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INTRODUCTION4</w:t>
      </w:r>
      <w:r>
        <w:tab/>
      </w:r>
    </w:p>
    <w:p w14:paraId="35969208" w14:textId="77777777" w:rsidR="00F3687A" w:rsidRDefault="00F14F6A">
      <w:pPr>
        <w:pStyle w:val="ContentsEntry"/>
      </w:pPr>
      <w:r>
        <w:t>1.1 Relevance and problem statement4</w:t>
      </w:r>
      <w:r>
        <w:tab/>
      </w:r>
    </w:p>
    <w:p w14:paraId="6C6CFF97" w14:textId="77777777" w:rsidR="00F3687A" w:rsidRDefault="00F14F6A">
      <w:pPr>
        <w:pStyle w:val="ContentsEntry"/>
      </w:pPr>
      <w:r>
        <w:t>1.2 Aim and objectives of the project5</w:t>
      </w:r>
      <w:r>
        <w:tab/>
      </w:r>
    </w:p>
    <w:p w14:paraId="2C963706" w14:textId="77777777" w:rsidR="00F3687A" w:rsidRDefault="00F14F6A">
      <w:pPr>
        <w:pStyle w:val="ContentsEntry"/>
      </w:pPr>
      <w:r>
        <w:t>1.3 Object and subject of the project6</w:t>
      </w:r>
      <w:r>
        <w:tab/>
      </w:r>
    </w:p>
    <w:p w14:paraId="19C99BB4" w14:textId="77777777" w:rsidR="00F3687A" w:rsidRDefault="00F14F6A">
      <w:pPr>
        <w:pStyle w:val="ContentsEntry"/>
      </w:pPr>
      <w:r>
        <w:t>1.4 Practical significance6</w:t>
      </w:r>
      <w:r>
        <w:tab/>
      </w:r>
    </w:p>
    <w:p w14:paraId="6666F68B" w14:textId="77777777" w:rsidR="00F3687A" w:rsidRDefault="00F14F6A">
      <w:pPr>
        <w:pStyle w:val="ContentsEntry"/>
      </w:pPr>
      <w:r>
        <w:t xml:space="preserve">1.5 Structure of the </w:t>
      </w:r>
      <w:r>
        <w:t>thesis7</w:t>
      </w:r>
      <w:r>
        <w:tab/>
      </w:r>
    </w:p>
    <w:p w14:paraId="170D2E81" w14:textId="77777777" w:rsidR="00F3687A" w:rsidRDefault="00F14F6A">
      <w:pPr>
        <w:pStyle w:val="ContentsEntry"/>
      </w:pPr>
      <w:r>
        <w:t>2 ANALYSIS OF TEMPERATURE CONTROL AND MONITORING SYSTEMS8</w:t>
      </w:r>
      <w:r>
        <w:tab/>
      </w:r>
    </w:p>
    <w:p w14:paraId="6FBDD5F0" w14:textId="77777777" w:rsidR="00F3687A" w:rsidRDefault="00F14F6A">
      <w:pPr>
        <w:pStyle w:val="ContentsEntry"/>
      </w:pPr>
      <w:r>
        <w:t>2.1 Temperature-control process characteristics8</w:t>
      </w:r>
      <w:r>
        <w:tab/>
      </w:r>
    </w:p>
    <w:p w14:paraId="60C5588A" w14:textId="77777777" w:rsidR="00F3687A" w:rsidRDefault="00F14F6A">
      <w:pPr>
        <w:pStyle w:val="ContentsEntry"/>
      </w:pPr>
      <w:r>
        <w:t>2.2 Closed-loop control principles9</w:t>
      </w:r>
      <w:r>
        <w:tab/>
      </w:r>
    </w:p>
    <w:p w14:paraId="0DE285D2" w14:textId="77777777" w:rsidR="00F3687A" w:rsidRDefault="00F14F6A">
      <w:pPr>
        <w:pStyle w:val="ContentsEntry"/>
      </w:pPr>
      <w:r>
        <w:t>2.3 Edge-based execution in temperature-control systems9</w:t>
      </w:r>
      <w:r>
        <w:tab/>
      </w:r>
    </w:p>
    <w:p w14:paraId="46347B0B" w14:textId="77777777" w:rsidR="00F3687A" w:rsidRDefault="00F14F6A">
      <w:pPr>
        <w:pStyle w:val="ContentsEntry"/>
      </w:pPr>
      <w:r>
        <w:t xml:space="preserve">2.4 Data acquisition and </w:t>
      </w:r>
      <w:r>
        <w:t>monitoring requirements10</w:t>
      </w:r>
      <w:r>
        <w:tab/>
      </w:r>
    </w:p>
    <w:p w14:paraId="66611FD9" w14:textId="77777777" w:rsidR="00F3687A" w:rsidRDefault="00F14F6A">
      <w:pPr>
        <w:pStyle w:val="ContentsEntry"/>
      </w:pPr>
      <w:r>
        <w:t>2.5 HMI requirements for supervisory control11</w:t>
      </w:r>
      <w:r>
        <w:tab/>
      </w:r>
    </w:p>
    <w:p w14:paraId="370FB348" w14:textId="77777777" w:rsidR="00F3687A" w:rsidRDefault="00F14F6A">
      <w:pPr>
        <w:pStyle w:val="ContentsEntry"/>
      </w:pPr>
      <w:r>
        <w:t>2.6 Auxiliary decision-support role11</w:t>
      </w:r>
      <w:r>
        <w:tab/>
      </w:r>
    </w:p>
    <w:p w14:paraId="705D96C3" w14:textId="77777777" w:rsidR="00F3687A" w:rsidRDefault="00F14F6A">
      <w:pPr>
        <w:pStyle w:val="ContentsEntry"/>
      </w:pPr>
      <w:r>
        <w:t>2.7 Requirements for the developed system12</w:t>
      </w:r>
      <w:r>
        <w:tab/>
      </w:r>
    </w:p>
    <w:p w14:paraId="516DAD3A" w14:textId="77777777" w:rsidR="00F3687A" w:rsidRDefault="00F14F6A">
      <w:pPr>
        <w:pStyle w:val="ContentsEntry"/>
      </w:pPr>
      <w:r>
        <w:t>3 ARCHITECTURE OF THE DEVELOPED SYSTEM14</w:t>
      </w:r>
      <w:r>
        <w:tab/>
      </w:r>
    </w:p>
    <w:p w14:paraId="779B639B" w14:textId="77777777" w:rsidR="00F3687A" w:rsidRDefault="00F14F6A">
      <w:pPr>
        <w:pStyle w:val="ContentsEntry"/>
      </w:pPr>
      <w:r>
        <w:t>3.1 General architecture of the system14</w:t>
      </w:r>
      <w:r>
        <w:tab/>
      </w:r>
    </w:p>
    <w:p w14:paraId="1F4933D6" w14:textId="77777777" w:rsidR="00F3687A" w:rsidRDefault="00F14F6A">
      <w:pPr>
        <w:pStyle w:val="ContentsEntry"/>
      </w:pPr>
      <w:r>
        <w:t>3.2 Edge control layer16</w:t>
      </w:r>
      <w:r>
        <w:tab/>
      </w:r>
    </w:p>
    <w:p w14:paraId="56565C40" w14:textId="77777777" w:rsidR="00F3687A" w:rsidRDefault="00F14F6A">
      <w:pPr>
        <w:pStyle w:val="ContentsEntry"/>
      </w:pPr>
      <w:r>
        <w:t>3.3 Data Hub layer16</w:t>
      </w:r>
      <w:r>
        <w:tab/>
      </w:r>
    </w:p>
    <w:p w14:paraId="4A1DF657" w14:textId="77777777" w:rsidR="00F3687A" w:rsidRDefault="00F14F6A">
      <w:pPr>
        <w:pStyle w:val="ContentsEntry"/>
      </w:pPr>
      <w:r>
        <w:t>3.4 HMI layer17</w:t>
      </w:r>
      <w:r>
        <w:tab/>
      </w:r>
    </w:p>
    <w:p w14:paraId="7A804171" w14:textId="77777777" w:rsidR="00F3687A" w:rsidRDefault="00F14F6A">
      <w:pPr>
        <w:pStyle w:val="ContentsEntry"/>
      </w:pPr>
      <w:r>
        <w:t>3.5 Closed-loop data and command flow18</w:t>
      </w:r>
      <w:r>
        <w:tab/>
      </w:r>
    </w:p>
    <w:p w14:paraId="255B8416" w14:textId="77777777" w:rsidR="00F3687A" w:rsidRDefault="00F14F6A">
      <w:pPr>
        <w:pStyle w:val="ContentsEntry"/>
      </w:pPr>
      <w:r>
        <w:t>3.6 Communication protocol and data model19</w:t>
      </w:r>
      <w:r>
        <w:tab/>
      </w:r>
    </w:p>
    <w:p w14:paraId="42E71962" w14:textId="77777777" w:rsidR="00F3687A" w:rsidRDefault="00F14F6A">
      <w:pPr>
        <w:pStyle w:val="ContentsEntry"/>
      </w:pPr>
      <w:r>
        <w:t>3.7 Auxiliary decision-support interface20</w:t>
      </w:r>
      <w:r>
        <w:tab/>
      </w:r>
    </w:p>
    <w:p w14:paraId="36C592D4" w14:textId="77777777" w:rsidR="00F3687A" w:rsidRDefault="00F14F6A">
      <w:pPr>
        <w:pStyle w:val="ContentsEntry"/>
      </w:pPr>
      <w:r>
        <w:t>4 IMPLEMENTATION OF THE EDGE CONTROL LAYER21</w:t>
      </w:r>
      <w:r>
        <w:tab/>
      </w:r>
    </w:p>
    <w:p w14:paraId="549E9AC4" w14:textId="77777777" w:rsidR="00F3687A" w:rsidRDefault="00F14F6A">
      <w:pPr>
        <w:pStyle w:val="ContentsEntry"/>
      </w:pPr>
      <w:r>
        <w:t xml:space="preserve">4.1 Control target and </w:t>
      </w:r>
      <w:r>
        <w:t>hardware design scope21</w:t>
      </w:r>
      <w:r>
        <w:tab/>
      </w:r>
    </w:p>
    <w:p w14:paraId="63A4438B" w14:textId="77777777" w:rsidR="00F3687A" w:rsidRDefault="00F14F6A">
      <w:pPr>
        <w:pStyle w:val="ContentsEntry"/>
      </w:pPr>
      <w:r>
        <w:t>4.2 Electrical schematic and pin assignment24</w:t>
      </w:r>
      <w:r>
        <w:tab/>
      </w:r>
    </w:p>
    <w:p w14:paraId="2FC00C61" w14:textId="77777777" w:rsidR="00F3687A" w:rsidRDefault="00F14F6A">
      <w:pPr>
        <w:pStyle w:val="ContentsEntry"/>
      </w:pPr>
      <w:r>
        <w:t>4.3 Power path and MOSFET driver design25</w:t>
      </w:r>
      <w:r>
        <w:tab/>
      </w:r>
    </w:p>
    <w:p w14:paraId="75A7B9C1" w14:textId="77777777" w:rsidR="00F3687A" w:rsidRDefault="00F14F6A">
      <w:pPr>
        <w:pStyle w:val="ContentsEntry"/>
      </w:pPr>
      <w:r>
        <w:t>4.4 PCB and enclosure design27</w:t>
      </w:r>
      <w:r>
        <w:tab/>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lastRenderedPageBreak/>
        <w:t>4.5 Temperature measurement, feedback, and local control algorithm29</w:t>
      </w:r>
      <w:r>
        <w:tab/>
      </w:r>
    </w:p>
    <w:p w14:paraId="33103877" w14:textId="77777777" w:rsidR="00F3687A" w:rsidRDefault="00F14F6A">
      <w:pPr>
        <w:pStyle w:val="ContentsEntry"/>
      </w:pPr>
      <w:r>
        <w:t>4.6 Runtime configuration, MQTT handling, and safety validation32</w:t>
      </w:r>
      <w:r>
        <w:tab/>
      </w:r>
    </w:p>
    <w:p w14:paraId="105308B9" w14:textId="77777777" w:rsidR="00F3687A" w:rsidRDefault="00F14F6A">
      <w:pPr>
        <w:pStyle w:val="ContentsEntry"/>
      </w:pPr>
      <w:r>
        <w:t>5 IMPLEMENTATION OF THE DATA HUB AND HMI LAYERS36</w:t>
      </w:r>
      <w:r>
        <w:tab/>
      </w:r>
    </w:p>
    <w:p w14:paraId="5C824C5D" w14:textId="77777777" w:rsidR="00F3687A" w:rsidRDefault="00F14F6A">
      <w:pPr>
        <w:pStyle w:val="ContentsEntry"/>
      </w:pPr>
      <w:r>
        <w:t>5.1 MQTT ingestion pipeline36</w:t>
      </w:r>
      <w:r>
        <w:tab/>
      </w:r>
    </w:p>
    <w:p w14:paraId="0DB87D9B" w14:textId="77777777" w:rsidR="00F3687A" w:rsidRDefault="00F14F6A">
      <w:pPr>
        <w:pStyle w:val="ContentsEntry"/>
      </w:pPr>
      <w:r>
        <w:t>5.2 Message parsing and topic model38</w:t>
      </w:r>
      <w:r>
        <w:tab/>
      </w:r>
    </w:p>
    <w:p w14:paraId="79B75369" w14:textId="77777777" w:rsidR="00F3687A" w:rsidRDefault="00F14F6A">
      <w:pPr>
        <w:pStyle w:val="ContentsEntry"/>
      </w:pPr>
      <w:r>
        <w:t>5.3 Telemetry filtering, aggregation, and storage39</w:t>
      </w:r>
      <w:r>
        <w:tab/>
      </w:r>
    </w:p>
    <w:p w14:paraId="0907D484" w14:textId="77777777" w:rsidR="00F3687A" w:rsidRDefault="00F14F6A">
      <w:pPr>
        <w:pStyle w:val="ContentsEntry"/>
      </w:pPr>
      <w:r>
        <w:t>5.4 Alarm and rule processing40</w:t>
      </w:r>
      <w:r>
        <w:tab/>
      </w:r>
    </w:p>
    <w:p w14:paraId="0C7078B0" w14:textId="77777777" w:rsidR="00F3687A" w:rsidRDefault="00F14F6A">
      <w:pPr>
        <w:pStyle w:val="ContentsEntry"/>
      </w:pPr>
      <w:r>
        <w:t>5.5 HMI backend and frontend41</w:t>
      </w:r>
      <w:r>
        <w:tab/>
      </w:r>
    </w:p>
    <w:p w14:paraId="51D2BC45" w14:textId="77777777" w:rsidR="00F3687A" w:rsidRDefault="00F14F6A">
      <w:pPr>
        <w:pStyle w:val="ContentsEntry"/>
      </w:pPr>
      <w:r>
        <w:t>5.6 Device monitoring and parameter configuration43</w:t>
      </w:r>
      <w:r>
        <w:tab/>
      </w:r>
    </w:p>
    <w:p w14:paraId="1C8D9615" w14:textId="77777777" w:rsidR="00F3687A" w:rsidRDefault="00F14F6A">
      <w:pPr>
        <w:pStyle w:val="ContentsEntry"/>
      </w:pPr>
      <w:r>
        <w:t>6 AUXILIARY DECISION-SUPPORT AND SYSTEM VALIDATION47</w:t>
      </w:r>
      <w:r>
        <w:tab/>
      </w:r>
    </w:p>
    <w:p w14:paraId="7EC3767F" w14:textId="77777777" w:rsidR="00F3687A" w:rsidRDefault="00F14F6A">
      <w:pPr>
        <w:pStyle w:val="ContentsEntry"/>
      </w:pPr>
      <w:r>
        <w:t>6.1 Purpose of decision support47</w:t>
      </w:r>
      <w:r>
        <w:tab/>
      </w:r>
    </w:p>
    <w:p w14:paraId="2BA5E24B" w14:textId="77777777" w:rsidR="00F3687A" w:rsidRDefault="00F14F6A">
      <w:pPr>
        <w:pStyle w:val="ContentsEntry"/>
      </w:pPr>
      <w:r>
        <w:t>6.2 Data preparation and feature extraction47</w:t>
      </w:r>
      <w:r>
        <w:tab/>
      </w:r>
    </w:p>
    <w:p w14:paraId="15E73057" w14:textId="77777777" w:rsidR="00F3687A" w:rsidRDefault="00F14F6A">
      <w:pPr>
        <w:pStyle w:val="ContentsEntry"/>
      </w:pPr>
      <w:r>
        <w:t xml:space="preserve">6.3 </w:t>
      </w:r>
      <w:r>
        <w:t>Recommendation and feedback mechanism49</w:t>
      </w:r>
      <w:r>
        <w:tab/>
      </w:r>
    </w:p>
    <w:p w14:paraId="61362BF5" w14:textId="77777777" w:rsidR="00F3687A" w:rsidRDefault="00F14F6A">
      <w:pPr>
        <w:pStyle w:val="ContentsEntry"/>
      </w:pPr>
      <w:r>
        <w:t>6.4 Experimental setup51</w:t>
      </w:r>
      <w:r>
        <w:tab/>
      </w:r>
    </w:p>
    <w:p w14:paraId="7641323D" w14:textId="77777777" w:rsidR="00F3687A" w:rsidRDefault="00F14F6A">
      <w:pPr>
        <w:pStyle w:val="ContentsEntry"/>
      </w:pPr>
      <w:r>
        <w:t>6.5 Closed-loop tests52</w:t>
      </w:r>
      <w:r>
        <w:tab/>
      </w:r>
    </w:p>
    <w:p w14:paraId="3E313F01" w14:textId="77777777" w:rsidR="00F3687A" w:rsidRDefault="00F14F6A">
      <w:pPr>
        <w:pStyle w:val="ContentsEntry"/>
      </w:pPr>
      <w:r>
        <w:t>6.6 Telemetry and HMI validation53</w:t>
      </w:r>
      <w:r>
        <w:tab/>
      </w:r>
    </w:p>
    <w:p w14:paraId="024AD1F9" w14:textId="77777777" w:rsidR="00F3687A" w:rsidRDefault="00F14F6A">
      <w:pPr>
        <w:pStyle w:val="ContentsEntry"/>
      </w:pPr>
      <w:r>
        <w:t>6.7 Results analysis55</w:t>
      </w:r>
      <w:r>
        <w:tab/>
      </w:r>
    </w:p>
    <w:p w14:paraId="0B65F150" w14:textId="77777777" w:rsidR="00F3687A" w:rsidRDefault="00F14F6A">
      <w:pPr>
        <w:pStyle w:val="ContentsEntry"/>
      </w:pPr>
      <w:r>
        <w:t>7 CONCLUSION57</w:t>
      </w:r>
      <w:r>
        <w:tab/>
      </w:r>
    </w:p>
    <w:p w14:paraId="60E731DA" w14:textId="77777777" w:rsidR="00F3687A" w:rsidRDefault="00F14F6A">
      <w:pPr>
        <w:pStyle w:val="ContentsEntry"/>
      </w:pPr>
      <w:r>
        <w:t>7.1 Achieved engineering results57</w:t>
      </w:r>
      <w:r>
        <w:tab/>
      </w:r>
    </w:p>
    <w:p w14:paraId="207053FA" w14:textId="77777777" w:rsidR="00F3687A" w:rsidRDefault="00F14F6A">
      <w:pPr>
        <w:pStyle w:val="ContentsEntry"/>
      </w:pPr>
      <w:r>
        <w:t>7.2 Deployment and validation support58</w:t>
      </w:r>
      <w:r>
        <w:tab/>
      </w:r>
    </w:p>
    <w:p w14:paraId="10525592" w14:textId="77777777" w:rsidR="00F3687A" w:rsidRDefault="00F14F6A">
      <w:pPr>
        <w:pStyle w:val="ContentsEntry"/>
      </w:pPr>
      <w:r>
        <w:t xml:space="preserve">7.3 </w:t>
      </w:r>
      <w:r>
        <w:t>Limitations and further work59</w:t>
      </w:r>
      <w:r>
        <w:tab/>
      </w:r>
    </w:p>
    <w:p w14:paraId="41A97AE9" w14:textId="77777777" w:rsidR="00F3687A" w:rsidRDefault="00F14F6A">
      <w:pPr>
        <w:pStyle w:val="ContentsEntry"/>
      </w:pPr>
      <w:r>
        <w:t>REFERENCES60</w:t>
      </w:r>
      <w:r>
        <w:tab/>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t>
      </w:r>
      <w:r>
        <w:t>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w:t>
      </w:r>
      <w:r>
        <w:t>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w:t>
      </w:r>
      <w:r>
        <w:t>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w:t>
      </w:r>
      <w:r>
        <w:t xml:space="preserve">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 xml:space="preserve">The practical significance of the project lies in the implementation of a complete layered prototype that demonstrates an industrial-style workflow for temperature control and monitoring. The system is not </w:t>
      </w:r>
      <w:r>
        <w:t>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 xml:space="preserve">The auxiliary decision-support mechanism adds </w:t>
      </w:r>
      <w:r>
        <w:t>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w:t>
      </w:r>
      <w:r>
        <w: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w:t>
      </w:r>
      <w:r>
        <w:t>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 xml:space="preserve">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w:t>
      </w:r>
      <w:r>
        <w:t>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w:t>
      </w:r>
      <w:r>
        <w:t>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w:t>
      </w:r>
      <w:r>
        <w:t>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w:t>
      </w:r>
      <w:r>
        <w:t xml:space="preserve">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w:t>
      </w:r>
      <w:r>
        <w:t xml:space="preserve">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 xml:space="preserve">Acquire temperature, execute local control, apply actuator output, maintain runtime </w:t>
            </w:r>
            <w:r>
              <w:rPr>
                <w:rFonts w:ascii="Times New Roman" w:eastAsia="Times New Roman" w:hAnsi="Times New Roman"/>
                <w:sz w:val="26"/>
              </w:rPr>
              <w:t>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 xml:space="preserve">Test the complete path from </w:t>
            </w:r>
            <w:r>
              <w:rPr>
                <w:rFonts w:ascii="Times New Roman" w:eastAsia="Times New Roman" w:hAnsi="Times New Roman"/>
                <w:sz w:val="26"/>
              </w:rPr>
              <w:t>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w:t>
      </w:r>
      <w:r>
        <w:t>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w:t>
      </w:r>
      <w:r>
        <w:t xml:space="preserve">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w:t>
      </w:r>
      <w:r>
        <w:t xml:space="preserve">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 xml:space="preserve">the three main layers are aligned around the closed-loop measurement, command, and verification path, while the auxiliary decision-support mechanism remains outside the main control chain. The layered structure of the </w:t>
      </w:r>
      <w:r>
        <w:t>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 xml:space="preserve">Local measurement, control execution, actuator output, runtime parameter </w:t>
            </w:r>
            <w:r>
              <w:rPr>
                <w:rFonts w:ascii="Times New Roman" w:eastAsia="Times New Roman" w:hAnsi="Times New Roman"/>
                <w:sz w:val="26"/>
              </w:rPr>
              <w:t>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 xml:space="preserve">Historical windows, control-performance features, </w:t>
            </w:r>
            <w:r>
              <w:rPr>
                <w:rFonts w:ascii="Times New Roman" w:eastAsia="Times New Roman" w:hAnsi="Times New Roman"/>
                <w:sz w:val="26"/>
              </w:rPr>
              <w:t>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 xml:space="preserve">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w:t>
      </w:r>
      <w:r>
        <w:t>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 xml:space="preserve">3.5 Closed-loop data and </w:t>
      </w:r>
      <w:r>
        <w:rPr>
          <w:rFonts w:ascii="Times New Roman" w:eastAsia="Times New Roman" w:hAnsi="Times New Roman"/>
        </w:rPr>
        <w:t>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 xml:space="preserve">Continue of the </w:t>
      </w:r>
      <w:r>
        <w:t>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 xml:space="preserve">The </w:t>
      </w:r>
      <w:r>
        <w:t>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w:t>
      </w:r>
      <w:r>
        <w:t>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 xml:space="preserve">The edge control layer is the local execution part of </w:t>
      </w:r>
      <w:r>
        <w:t>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w:t>
      </w:r>
      <w:r>
        <w:t>event the operator from applying a target temperature outside the intended small-chamber control task [1].</w:t>
      </w:r>
    </w:p>
    <w:p w14:paraId="1B6F82D4" w14:textId="77777777" w:rsidR="00F3687A" w:rsidRDefault="00F14F6A">
      <w:pPr>
        <w:pStyle w:val="BodyText"/>
      </w:pPr>
      <w:r>
        <w:t xml:space="preserve">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w:t>
      </w:r>
      <w:r>
        <w:t>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 xml:space="preserve">Heater </w:t>
            </w:r>
            <w:r>
              <w:rPr>
                <w:rFonts w:ascii="Times New Roman" w:eastAsia="Times New Roman" w:hAnsi="Times New Roman"/>
                <w:sz w:val="26"/>
              </w:rPr>
              <w:t>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 xml:space="preserve">Supplies the load side and stable low-voltage </w:t>
            </w:r>
            <w:r>
              <w:rPr>
                <w:rFonts w:ascii="Times New Roman" w:eastAsia="Times New Roman" w:hAnsi="Times New Roman"/>
                <w:sz w:val="26"/>
              </w:rPr>
              <w:t>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w:t>
      </w:r>
      <w:r>
        <w:t xml:space="preserve"> chamber. After real assembly, the same indicators must be measured again with an external thermometer and instrumented PWM/load-current checks.</w:t>
      </w:r>
    </w:p>
    <w:p w14:paraId="0AF2D0DA" w14:textId="77777777" w:rsidR="00F3687A" w:rsidRDefault="00F14F6A">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w:t>
      </w:r>
      <w:r>
        <w:t xml:space="preserv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w:t>
      </w:r>
      <w:r>
        <w:t>lity, the edge hardware must also support debugging, status indication, and a communication-capable controller.</w:t>
      </w:r>
    </w:p>
    <w:p w14:paraId="414F9F3A" w14:textId="77777777" w:rsidR="00F3687A" w:rsidRDefault="00F14F6A">
      <w:pPr>
        <w:pStyle w:val="BodyText"/>
      </w:pPr>
      <w:r>
        <w:t xml:space="preserve">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w:t>
      </w:r>
      <w:r>
        <w:t>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w:t>
      </w:r>
      <w:r>
        <w:t>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 xml:space="preserve">Figure 4.1 shows the </w:t>
      </w:r>
      <w:r>
        <w:t>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w:t>
      </w:r>
      <w:r>
        <w:t xml:space="preserve">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w:t>
      </w:r>
      <w:r>
        <w:t xml:space="preserve">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r>
      <w:r>
        <w:t>(4.1)</w:t>
      </w:r>
    </w:p>
    <w:p w14:paraId="1BCDB2AC" w14:textId="77777777" w:rsidR="00F3687A" w:rsidRDefault="00F14F6A">
      <w:pPr>
        <w:pStyle w:val="BodyText"/>
        <w:tabs>
          <w:tab w:val="left" w:pos="907"/>
        </w:tabs>
        <w:ind w:firstLine="0"/>
        <w:jc w:val="left"/>
      </w:pPr>
      <w:r>
        <w:t xml:space="preserve">where </w:t>
      </w:r>
      <w:r>
        <w:tab/>
      </w:r>
      <w:r>
        <w:t>I_pullup – pull-up current, A;</w:t>
      </w:r>
    </w:p>
    <w:p w14:paraId="3D4C2BC1" w14:textId="77777777" w:rsidR="00F3687A" w:rsidRDefault="00F14F6A">
      <w:pPr>
        <w:pStyle w:val="BodyText"/>
        <w:tabs>
          <w:tab w:val="left" w:pos="907"/>
        </w:tabs>
        <w:ind w:firstLine="0"/>
        <w:jc w:val="left"/>
      </w:pPr>
      <w:r>
        <w:tab/>
      </w:r>
      <w:r>
        <w:t>U_DD – logic supply voltage, V;</w:t>
      </w:r>
    </w:p>
    <w:p w14:paraId="2E375897" w14:textId="77777777" w:rsidR="00F3687A" w:rsidRDefault="00F14F6A">
      <w:pPr>
        <w:pStyle w:val="BodyText"/>
        <w:tabs>
          <w:tab w:val="left" w:pos="907"/>
        </w:tabs>
        <w:ind w:firstLine="0"/>
        <w:jc w:val="left"/>
      </w:pPr>
      <w:r>
        <w:tab/>
      </w:r>
      <w:r>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w:t>
      </w:r>
      <w:r>
        <w:t>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r>
      <w:r>
        <w:t>(4.2)</w:t>
      </w:r>
    </w:p>
    <w:p w14:paraId="69884D1B" w14:textId="77777777" w:rsidR="00F3687A" w:rsidRDefault="00F14F6A">
      <w:pPr>
        <w:pStyle w:val="BodyText"/>
        <w:tabs>
          <w:tab w:val="left" w:pos="907"/>
        </w:tabs>
        <w:ind w:firstLine="0"/>
        <w:jc w:val="left"/>
      </w:pPr>
      <w:r>
        <w:t xml:space="preserve">where </w:t>
      </w:r>
      <w:r>
        <w:tab/>
      </w:r>
      <w:r>
        <w:t>U_avg – average load voltage over one PWM period, V;</w:t>
      </w:r>
    </w:p>
    <w:p w14:paraId="2D03053D" w14:textId="77777777" w:rsidR="00F3687A" w:rsidRDefault="00F14F6A">
      <w:pPr>
        <w:pStyle w:val="BodyText"/>
        <w:tabs>
          <w:tab w:val="left" w:pos="907"/>
        </w:tabs>
        <w:ind w:firstLine="0"/>
        <w:jc w:val="left"/>
      </w:pPr>
      <w:r>
        <w:tab/>
      </w:r>
      <w:r>
        <w:t>D – PWM duty ratio;</w:t>
      </w:r>
    </w:p>
    <w:p w14:paraId="67ECB55F" w14:textId="77777777" w:rsidR="00F3687A" w:rsidRDefault="00F14F6A">
      <w:pPr>
        <w:pStyle w:val="BodyText"/>
        <w:tabs>
          <w:tab w:val="left" w:pos="907"/>
        </w:tabs>
        <w:ind w:firstLine="0"/>
        <w:jc w:val="left"/>
      </w:pPr>
      <w:r>
        <w:tab/>
      </w:r>
      <w:r>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r>
      <w:r>
        <w:t>(4.3)</w:t>
      </w:r>
    </w:p>
    <w:p w14:paraId="14922155" w14:textId="77777777" w:rsidR="00F3687A" w:rsidRDefault="00F14F6A">
      <w:pPr>
        <w:pStyle w:val="BodyText"/>
        <w:tabs>
          <w:tab w:val="left" w:pos="907"/>
        </w:tabs>
        <w:ind w:firstLine="0"/>
        <w:jc w:val="left"/>
      </w:pPr>
      <w:r>
        <w:t xml:space="preserve">where </w:t>
      </w:r>
      <w:r>
        <w:tab/>
      </w:r>
      <w:r>
        <w:t>P_load – heater load power, W;</w:t>
      </w:r>
    </w:p>
    <w:p w14:paraId="4515755F" w14:textId="77777777" w:rsidR="00F3687A" w:rsidRDefault="00F14F6A">
      <w:pPr>
        <w:pStyle w:val="BodyText"/>
        <w:tabs>
          <w:tab w:val="left" w:pos="907"/>
        </w:tabs>
        <w:ind w:firstLine="0"/>
        <w:jc w:val="left"/>
      </w:pPr>
      <w:r>
        <w:tab/>
      </w:r>
      <w:r>
        <w:t>U_s – load supply voltage, V;</w:t>
      </w:r>
    </w:p>
    <w:p w14:paraId="63449FE4" w14:textId="77777777" w:rsidR="00F3687A" w:rsidRDefault="00F14F6A">
      <w:pPr>
        <w:pStyle w:val="BodyText"/>
        <w:tabs>
          <w:tab w:val="left" w:pos="907"/>
        </w:tabs>
        <w:ind w:firstLine="0"/>
        <w:jc w:val="left"/>
      </w:pPr>
      <w:r>
        <w:tab/>
      </w:r>
      <w:r>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w:t>
      </w:r>
      <w:r>
        <w:t>(4.4).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w:rPr>
                <w:rFonts w:ascii="Cambria Math" w:hAnsi="Cambria Math"/>
              </w:rPr>
              <m:t>(</m:t>
            </m:r>
            <m:r>
              <w:rPr>
                <w:rFonts w:ascii="Cambria Math" w:hAnsi="Cambria Math"/>
              </w:rPr>
              <m:t>on</m:t>
            </m:r>
            <m:r>
              <w:rPr>
                <w:rFonts w:ascii="Cambria Math" w:hAnsi="Cambria Math"/>
              </w:rPr>
              <m:t>)</m:t>
            </m:r>
          </m:sub>
        </m:sSub>
      </m:oMath>
      <w:r>
        <w:t>,</w:t>
      </w:r>
      <w:r>
        <w:tab/>
      </w:r>
      <w:r>
        <w:t>(4.4)</w:t>
      </w:r>
    </w:p>
    <w:p w14:paraId="4018FD3D" w14:textId="77777777" w:rsidR="00F3687A" w:rsidRDefault="00F14F6A">
      <w:pPr>
        <w:pStyle w:val="BodyText"/>
        <w:tabs>
          <w:tab w:val="left" w:pos="907"/>
        </w:tabs>
        <w:ind w:firstLine="0"/>
        <w:jc w:val="left"/>
      </w:pPr>
      <w:r>
        <w:t xml:space="preserve">where </w:t>
      </w:r>
      <w:r>
        <w:tab/>
      </w:r>
      <w:r>
        <w:t>P_Q – MOSFET conduction loss, W;</w:t>
      </w:r>
    </w:p>
    <w:p w14:paraId="19B7F6A9" w14:textId="77777777" w:rsidR="00F3687A" w:rsidRDefault="00F14F6A">
      <w:pPr>
        <w:pStyle w:val="BodyText"/>
        <w:tabs>
          <w:tab w:val="left" w:pos="907"/>
        </w:tabs>
        <w:ind w:firstLine="0"/>
        <w:jc w:val="left"/>
      </w:pPr>
      <w:r>
        <w:tab/>
      </w:r>
      <w:r>
        <w:t>I_load – heater current, A;</w:t>
      </w:r>
    </w:p>
    <w:p w14:paraId="417E81A5" w14:textId="77777777" w:rsidR="00F3687A" w:rsidRDefault="00F14F6A">
      <w:pPr>
        <w:pStyle w:val="BodyText"/>
        <w:tabs>
          <w:tab w:val="left" w:pos="907"/>
        </w:tabs>
        <w:ind w:firstLine="0"/>
        <w:jc w:val="left"/>
      </w:pPr>
      <w:r>
        <w:tab/>
      </w:r>
      <w:r>
        <w:t>R_DS(on) – MOSFET drain-source on-state resistance, Ω.</w:t>
      </w:r>
    </w:p>
    <w:p w14:paraId="2D405F06" w14:textId="77777777" w:rsidR="00F3687A" w:rsidRDefault="00F14F6A">
      <w:pPr>
        <w:pStyle w:val="BodyText"/>
      </w:pPr>
      <w:r>
        <w:t xml:space="preserve">This loss </w:t>
      </w:r>
      <w:r>
        <w:t>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w:t>
      </w:r>
      <w:r>
        <w:t>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w:t>
      </w:r>
      <w:r>
        <w:t>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 xml:space="preserve">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w:t>
      </w:r>
      <w:r>
        <w:t>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 xml:space="preserve">The enclosure is therefore part of the control design, not only a cosmetic shell. If the sensor is placed too close to the heater, the measured temperature may represent local </w:t>
      </w:r>
      <w:r>
        <w:t>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t>
      </w:r>
      <w:r>
        <w:t>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oMath>
      <w:r>
        <w:t>,</w:t>
      </w:r>
      <w:r>
        <w:tab/>
      </w:r>
      <w:r>
        <w:t>(4.5)</w:t>
      </w:r>
    </w:p>
    <w:p w14:paraId="6F8B325A" w14:textId="77777777" w:rsidR="00F3687A" w:rsidRDefault="00F14F6A">
      <w:pPr>
        <w:pStyle w:val="BodyText"/>
        <w:tabs>
          <w:tab w:val="left" w:pos="907"/>
        </w:tabs>
        <w:ind w:firstLine="0"/>
        <w:jc w:val="left"/>
      </w:pPr>
      <w:r>
        <w:t xml:space="preserve">where </w:t>
      </w:r>
      <w:r>
        <w:tab/>
      </w:r>
      <w:r>
        <w:t>e(t) – temperature-control error, °C;</w:t>
      </w:r>
    </w:p>
    <w:p w14:paraId="4A179AFC" w14:textId="77777777" w:rsidR="00F3687A" w:rsidRDefault="00F14F6A">
      <w:pPr>
        <w:pStyle w:val="BodyText"/>
        <w:tabs>
          <w:tab w:val="left" w:pos="907"/>
        </w:tabs>
        <w:ind w:firstLine="0"/>
        <w:jc w:val="left"/>
      </w:pPr>
      <w:r>
        <w:tab/>
      </w:r>
      <w:r>
        <w:t>T_set – target temperature, °C;</w:t>
      </w:r>
    </w:p>
    <w:p w14:paraId="06A18BCB" w14:textId="77777777" w:rsidR="00F3687A" w:rsidRDefault="00F14F6A">
      <w:pPr>
        <w:pStyle w:val="BodyText"/>
        <w:tabs>
          <w:tab w:val="left" w:pos="907"/>
        </w:tabs>
        <w:ind w:firstLine="0"/>
        <w:jc w:val="left"/>
      </w:pPr>
      <w:r>
        <w:tab/>
      </w:r>
      <w:r>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m:t>
            </m:r>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num>
          <m:den>
            <m:r>
              <w:rPr>
                <w:rFonts w:ascii="Cambria Math" w:hAnsi="Cambria Math"/>
              </w:rPr>
              <m:t>dt</m:t>
            </m:r>
          </m:den>
        </m:f>
      </m:oMath>
      <w:r>
        <w:t>,</w:t>
      </w:r>
      <w:r>
        <w:tab/>
      </w:r>
      <w:r>
        <w:t>(4.6)</w:t>
      </w:r>
    </w:p>
    <w:p w14:paraId="63A456E0" w14:textId="77777777" w:rsidR="00F3687A" w:rsidRDefault="00F14F6A">
      <w:pPr>
        <w:pStyle w:val="BodyText"/>
        <w:tabs>
          <w:tab w:val="left" w:pos="907"/>
        </w:tabs>
        <w:ind w:firstLine="0"/>
        <w:jc w:val="left"/>
      </w:pPr>
      <w:r>
        <w:t xml:space="preserve">where </w:t>
      </w:r>
      <w:r>
        <w:tab/>
      </w:r>
      <w:r>
        <w:t>u(t) – controller output before limiting;</w:t>
      </w:r>
    </w:p>
    <w:p w14:paraId="32A5B1AF" w14:textId="77777777" w:rsidR="00F3687A" w:rsidRDefault="00F14F6A">
      <w:pPr>
        <w:pStyle w:val="BodyText"/>
        <w:tabs>
          <w:tab w:val="left" w:pos="907"/>
        </w:tabs>
        <w:ind w:firstLine="0"/>
        <w:jc w:val="left"/>
      </w:pPr>
      <w:r>
        <w:tab/>
      </w:r>
      <w:r>
        <w:t>K_p – proportional gain;</w:t>
      </w:r>
    </w:p>
    <w:p w14:paraId="199E460B" w14:textId="77777777" w:rsidR="00F3687A" w:rsidRDefault="00F14F6A">
      <w:pPr>
        <w:pStyle w:val="BodyText"/>
        <w:tabs>
          <w:tab w:val="left" w:pos="907"/>
        </w:tabs>
        <w:ind w:firstLine="0"/>
        <w:jc w:val="left"/>
      </w:pPr>
      <w:r>
        <w:tab/>
      </w:r>
      <w:r>
        <w:t>K_i – integral gain;</w:t>
      </w:r>
    </w:p>
    <w:p w14:paraId="67F1C1B3" w14:textId="77777777" w:rsidR="00F3687A" w:rsidRDefault="00F14F6A">
      <w:pPr>
        <w:pStyle w:val="BodyText"/>
        <w:tabs>
          <w:tab w:val="left" w:pos="907"/>
        </w:tabs>
        <w:ind w:firstLine="0"/>
        <w:jc w:val="left"/>
      </w:pPr>
      <w:r>
        <w:tab/>
      </w:r>
      <w:r>
        <w:t>K_d – derivative gain.</w:t>
      </w:r>
    </w:p>
    <w:p w14:paraId="40A0E896" w14:textId="77777777" w:rsidR="00F3687A" w:rsidRDefault="00F14F6A">
      <w:pPr>
        <w:pStyle w:val="BodyText"/>
      </w:pPr>
      <w:r>
        <w:t xml:space="preserve">The initial controller </w:t>
      </w:r>
      <w:r>
        <w:t xml:space="preserve">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w:t>
      </w:r>
      <w:r>
        <w:t>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r>
      <w:r>
        <w:t>(4.7)</w:t>
      </w:r>
    </w:p>
    <w:p w14:paraId="58838959" w14:textId="77777777" w:rsidR="00F3687A" w:rsidRDefault="00F14F6A">
      <w:pPr>
        <w:pStyle w:val="BodyText"/>
        <w:tabs>
          <w:tab w:val="left" w:pos="907"/>
        </w:tabs>
        <w:ind w:firstLine="0"/>
        <w:jc w:val="left"/>
      </w:pPr>
      <w:r>
        <w:t xml:space="preserve">where </w:t>
      </w:r>
      <w:r>
        <w:tab/>
      </w:r>
      <w:r>
        <w:t>K_u – ultimate proportional gain obtained from the onset of sustained oscillation;</w:t>
      </w:r>
    </w:p>
    <w:p w14:paraId="49391025" w14:textId="77777777" w:rsidR="00F3687A" w:rsidRDefault="00F14F6A">
      <w:pPr>
        <w:pStyle w:val="BodyText"/>
        <w:tabs>
          <w:tab w:val="left" w:pos="907"/>
        </w:tabs>
        <w:ind w:firstLine="0"/>
        <w:jc w:val="left"/>
      </w:pPr>
      <w:r>
        <w:tab/>
      </w:r>
      <w:r>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w:t>
      </w:r>
      <w:r>
        <w:t>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w:t>
      </w:r>
      <w:r>
        <w:t>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255</m:t>
            </m:r>
          </m:den>
        </m:f>
      </m:oMath>
      <w:r>
        <w:t>,</w:t>
      </w:r>
      <w:r>
        <w:tab/>
      </w:r>
      <w:r>
        <w:t>(4.8)</w:t>
      </w:r>
    </w:p>
    <w:p w14:paraId="00280876" w14:textId="77777777" w:rsidR="00F3687A" w:rsidRDefault="00F14F6A">
      <w:pPr>
        <w:pStyle w:val="BodyText"/>
        <w:tabs>
          <w:tab w:val="left" w:pos="907"/>
        </w:tabs>
        <w:ind w:firstLine="0"/>
        <w:jc w:val="left"/>
      </w:pPr>
      <w:r>
        <w:t xml:space="preserve">where </w:t>
      </w:r>
      <w:r>
        <w:tab/>
      </w:r>
      <w:r>
        <w:t>D – normalized PWM duty ratio;</w:t>
      </w:r>
    </w:p>
    <w:p w14:paraId="1AD9550F" w14:textId="77777777" w:rsidR="00F3687A" w:rsidRDefault="00F14F6A">
      <w:pPr>
        <w:pStyle w:val="BodyText"/>
        <w:tabs>
          <w:tab w:val="left" w:pos="907"/>
        </w:tabs>
        <w:ind w:firstLine="0"/>
        <w:jc w:val="left"/>
      </w:pPr>
      <w:r>
        <w:tab/>
      </w:r>
      <w:r>
        <w:t>u – limited controller output.</w:t>
      </w:r>
    </w:p>
    <w:p w14:paraId="1EA0F127" w14:textId="77777777" w:rsidR="00F3687A" w:rsidRDefault="00F14F6A">
      <w:pPr>
        <w:pStyle w:val="BodyText"/>
      </w:pPr>
      <w:r>
        <w:t xml:space="preserve">Several implementation details improve </w:t>
      </w:r>
      <w:r>
        <w:t>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 xml:space="preserve">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w:t>
      </w:r>
      <w:r>
        <w:t>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w:t>
      </w:r>
      <w:r>
        <w:t>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w:t>
      </w:r>
      <w:r>
        <w:t>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w:t>
      </w:r>
      <w:r>
        <w:t>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w:t>
      </w:r>
      <w:r>
        <w:t>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 xml:space="preserve">5 IMPLEMENTATION OF THE </w:t>
      </w:r>
      <w:r>
        <w:rPr>
          <w:rFonts w:ascii="Times New Roman" w:eastAsia="Times New Roman" w:hAnsi="Times New Roman"/>
        </w:rPr>
        <w:t>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 xml:space="preserve">The Data Hub layer is the central processing part of the developed temperature-control and monitoring system. Its role is to receive messages from the edge control layer, transform them into stable </w:t>
      </w:r>
      <w:r>
        <w:t>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w:t>
      </w:r>
      <w:r>
        <w:t>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w:t>
      </w:r>
      <w:r>
        <w:t>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w:t>
      </w:r>
      <w:r>
        <w:t>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 xml:space="preserve">Counters for received, </w:t>
            </w:r>
            <w:r>
              <w:rPr>
                <w:rFonts w:ascii="Times New Roman" w:eastAsia="Times New Roman" w:hAnsi="Times New Roman"/>
                <w:sz w:val="26"/>
              </w:rPr>
              <w:t>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 xml:space="preserve">The implemented message parser uses both the MQTT topic and the JSON payload. The topic identifies the device and the </w:t>
      </w:r>
      <w:r>
        <w:t>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w:t>
      </w:r>
      <w:r>
        <w:t>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w:t>
      </w:r>
      <w:r>
        <w: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w:t>
      </w:r>
      <w:r>
        <w:t>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w:t>
      </w:r>
      <w:r>
        <w:t xml:space="preserve">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w:t>
      </w:r>
      <w:r>
        <w:t>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w:t>
      </w:r>
      <w:r>
        <w:t>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w:t>
      </w:r>
      <w:r>
        <w:t>ctions.</w:t>
      </w:r>
    </w:p>
    <w:p w14:paraId="3D614BDF" w14:textId="77777777" w:rsidR="00F3687A" w:rsidRDefault="00F14F6A">
      <w:pPr>
        <w:pStyle w:val="BodyText"/>
      </w:pPr>
      <w: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w:t>
      </w:r>
      <w:r>
        <w:t>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w:t>
      </w:r>
      <w:r>
        <w:t>,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 xml:space="preserve">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w:t>
      </w:r>
      <w:r>
        <w:t>the reason for rejection.</w:t>
      </w:r>
    </w:p>
    <w:p w14:paraId="36E3BB3A" w14:textId="77777777" w:rsidR="00F3687A" w:rsidRDefault="00F14F6A">
      <w:pPr>
        <w:pStyle w:val="BodyText"/>
      </w:pPr>
      <w:r>
        <w:t xml:space="preserve">The command-publishing fragment is shown in Figure 5.4. It demonstrates that the HMI backend </w:t>
      </w:r>
      <w:r>
        <w:t>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w:t>
      </w:r>
      <w:r>
        <w:t>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w:t>
      </w:r>
      <w:r>
        <w:t>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w:t>
      </w:r>
      <w:r>
        <w: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w:t>
      </w:r>
      <w:r>
        <w:t>ew, audit policy, and network-hardening procedure.</w:t>
      </w:r>
    </w:p>
    <w:p w14:paraId="10B03FDD" w14:textId="77777777" w:rsidR="00F3687A" w:rsidRDefault="00F14F6A">
      <w:pPr>
        <w:pStyle w:val="BodyText"/>
      </w:pPr>
      <w:r>
        <w:t xml:space="preserve">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w:t>
      </w:r>
      <w:r>
        <w:t>in the HMI layer.</w:t>
      </w:r>
    </w:p>
    <w:p w14:paraId="548EAA7F" w14:textId="77777777" w:rsidR="00F3687A" w:rsidRDefault="00F14F6A">
      <w:pPr>
        <w:pStyle w:val="BodyText"/>
      </w:pPr>
      <w:r>
        <w:t xml:space="preserve">From the engineering point of view, the main result of the HMI implementation is that </w:t>
      </w:r>
      <w:r>
        <w:t>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w:t>
      </w:r>
      <w:r>
        <w:t>e visible response even when the command has been accepted correctly.</w:t>
      </w:r>
    </w:p>
    <w:p w14:paraId="002FA03C" w14:textId="77777777" w:rsidR="00F3687A" w:rsidRDefault="00F14F6A">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w:t>
      </w:r>
      <w:r>
        <w:t>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w:t>
      </w:r>
      <w:r>
        <w:t>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w:t>
      </w:r>
      <w:r>
        <w: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w:t>
      </w:r>
      <w:r>
        <w:t xml:space="preserve">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w:t>
      </w:r>
      <w:r>
        <w:t>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 xml:space="preserve">First time after which the error </w:t>
            </w:r>
            <w:r>
              <w:rPr>
                <w:rFonts w:ascii="Times New Roman" w:eastAsia="Times New Roman" w:hAnsi="Times New Roman"/>
                <w:sz w:val="26"/>
              </w:rPr>
              <w:t>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 xml:space="preserve">Limited </w:t>
            </w:r>
            <w:r>
              <w:rPr>
                <w:rFonts w:ascii="Times New Roman" w:eastAsia="Times New Roman" w:hAnsi="Times New Roman"/>
                <w:sz w:val="26"/>
              </w:rPr>
              <w:t>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 xml:space="preserve">The recommendation logic uses the extracted indicators to classify the observed behavior and select a limited parameter change. This is intentionally conservative. The mechanism should not </w:t>
      </w:r>
      <w:r>
        <w:t>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w:t>
      </w:r>
      <w:r>
        <w:t>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 xml:space="preserve">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w:t>
      </w:r>
      <w:r>
        <w:t>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 xml:space="preserve">Edge </w:t>
            </w:r>
            <w:r>
              <w:rPr>
                <w:rFonts w:ascii="Times New Roman" w:eastAsia="Times New Roman" w:hAnsi="Times New Roman"/>
                <w:sz w:val="26"/>
              </w:rPr>
              <w:t>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2E3DC17" w14:textId="77777777">
        <w:trPr>
          <w:cantSplit/>
          <w:tblHeader/>
          <w:jc w:val="center"/>
        </w:trPr>
        <w:tc>
          <w:tcPr>
            <w:tcW w:w="2154" w:type="dxa"/>
          </w:tcPr>
          <w:p w14:paraId="5FC7EB10" w14:textId="77777777" w:rsidR="00F3687A" w:rsidRDefault="00F14F6A">
            <w:pPr>
              <w:spacing w:line="300" w:lineRule="auto"/>
            </w:pPr>
            <w:r>
              <w:rPr>
                <w:rFonts w:ascii="Times New Roman" w:eastAsia="Times New Roman" w:hAnsi="Times New Roman"/>
                <w:b/>
                <w:sz w:val="26"/>
              </w:rPr>
              <w:t>Scenario</w:t>
            </w:r>
          </w:p>
        </w:tc>
        <w:tc>
          <w:tcPr>
            <w:tcW w:w="4932"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trPr>
          <w:cantSplit/>
          <w:jc w:val="center"/>
        </w:trPr>
        <w:tc>
          <w:tcPr>
            <w:tcW w:w="2154"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932" w:type="dxa"/>
          </w:tcPr>
          <w:p w14:paraId="1CF4EF57" w14:textId="77777777" w:rsidR="00F3687A" w:rsidRDefault="00F14F6A">
            <w:pPr>
              <w:spacing w:line="300" w:lineRule="auto"/>
            </w:pPr>
            <w:r>
              <w:rPr>
                <w:rFonts w:ascii="Times New Roman" w:eastAsia="Times New Roman" w:hAnsi="Times New Roman"/>
                <w:sz w:val="26"/>
              </w:rPr>
              <w:t xml:space="preserve">Edge validation → MQTT params/ack → Data Hub </w:t>
            </w:r>
            <w:r>
              <w:rPr>
                <w:rFonts w:ascii="Times New Roman" w:eastAsia="Times New Roman" w:hAnsi="Times New Roman"/>
                <w:sz w:val="26"/>
              </w:rPr>
              <w:t>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trPr>
          <w:cantSplit/>
          <w:jc w:val="center"/>
        </w:trPr>
        <w:tc>
          <w:tcPr>
            <w:tcW w:w="2154"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932"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trPr>
          <w:cantSplit/>
          <w:jc w:val="center"/>
        </w:trPr>
        <w:tc>
          <w:tcPr>
            <w:tcW w:w="2154"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 xml:space="preserve">Closed-loop testing focused on whether the system preserves the engineering meaning of each action. A </w:t>
      </w:r>
      <w:r>
        <w:t>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w:t>
      </w:r>
      <w:r>
        <w:t xml:space="preserve">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 xml:space="preserve">6.6 Telemetry and HMI </w:t>
      </w:r>
      <w:r>
        <w:rPr>
          <w:rFonts w:ascii="Times New Roman" w:eastAsia="Times New Roman" w:hAnsi="Times New Roman"/>
        </w:rPr>
        <w:t>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 xml:space="preserve">The result shows that the tested validation scenario successfully demonstrates the post-apply </w:t>
      </w:r>
      <w:r>
        <w:t>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w:t>
      </w:r>
      <w:r>
        <w:t>ommand intent, device acknowledgement, and observed thermal response.</w:t>
      </w:r>
    </w:p>
    <w:p w14:paraId="45D51931" w14:textId="77777777" w:rsidR="00F3687A" w:rsidRDefault="00F14F6A">
      <w:pPr>
        <w:pStyle w:val="BodyText"/>
      </w:pPr>
      <w:r>
        <w:t xml:space="preserve">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w:t>
      </w:r>
      <w:r>
        <w:t>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 xml:space="preserve">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w:t>
      </w:r>
      <w:r>
        <w:t>operator access to monitoring, historical behavior, parameter configuration, command feedback, and post-apply observation.</w:t>
      </w:r>
    </w:p>
    <w:p w14:paraId="634EBE00" w14:textId="77777777" w:rsidR="00F3687A" w:rsidRDefault="00F14F6A">
      <w:pPr>
        <w:pStyle w:val="BodyText"/>
      </w:pPr>
      <w:r>
        <w:t xml:space="preserve">The main </w:t>
      </w:r>
      <w:r>
        <w:t>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w:t>
      </w:r>
      <w:r>
        <w:t>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w:t>
      </w:r>
      <w:r>
        <w:t>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w:t>
      </w:r>
      <w:r>
        <w:t>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w:t>
      </w:r>
      <w:r>
        <w:t xml:space="preserve">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w:t>
      </w:r>
      <w:r>
        <w:t>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w:t>
      </w:r>
      <w:r>
        <w:t xml:space="preserv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w:t>
      </w:r>
      <w:r>
        <w:t>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 xml:space="preserve">[9] React. React Reference Overview. Available: </w:t>
      </w:r>
      <w:r>
        <w:t>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58918" w14:textId="77777777" w:rsidR="00735C23" w:rsidRDefault="00735C23">
      <w:r>
        <w:separator/>
      </w:r>
    </w:p>
  </w:endnote>
  <w:endnote w:type="continuationSeparator" w:id="0">
    <w:p w14:paraId="78A7BD51"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E755" w14:textId="77777777" w:rsidR="00735C23" w:rsidRDefault="00735C23">
      <w:r>
        <w:separator/>
      </w:r>
    </w:p>
  </w:footnote>
  <w:footnote w:type="continuationSeparator" w:id="0">
    <w:p w14:paraId="63C569FA"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14F6A"/>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2026-06-18T06:02:00Z</dcterms:modified>
  <cp:category/>
</cp:coreProperties>
</file>