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E4DD38" w14:textId="77777777" w:rsidR="00F3687A" w:rsidRPr="00937815" w:rsidRDefault="00F14F6A">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50768E9" w14:textId="77777777" w:rsidR="00F3687A" w:rsidRPr="00937815" w:rsidRDefault="00F14F6A">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68509BFE" w14:textId="77777777" w:rsidR="00F3687A" w:rsidRPr="00937815" w:rsidRDefault="00F14F6A">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777D47F2" w14:textId="77777777" w:rsidR="00F3687A" w:rsidRPr="00937815" w:rsidRDefault="00F14F6A">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1C3E059A" w14:textId="77777777" w:rsidR="00F3687A" w:rsidRDefault="00F3687A">
      <w:pPr>
        <w:spacing w:line="20" w:lineRule="exact"/>
        <w:jc w:val="center"/>
        <w:rPr>
          <w:rFonts w:ascii="Arial" w:hAnsi="Arial"/>
          <w:sz w:val="28"/>
        </w:rPr>
      </w:pPr>
    </w:p>
    <w:p w14:paraId="1269B3FF" w14:textId="77777777" w:rsidR="00F3687A" w:rsidRPr="00540C8D" w:rsidRDefault="00F14F6A">
      <w:pPr>
        <w:spacing w:after="160"/>
        <w:ind w:left="5386"/>
      </w:pPr>
      <w:r>
        <w:rPr>
          <w:rFonts w:ascii="Times New Roman" w:eastAsia="Times New Roman" w:hAnsi="Times New Roman" w:cs="Times New Roman"/>
          <w:i/>
          <w:noProof/>
          <w:sz w:val="27"/>
        </w:rPr>
        <w:t>К защите допускаю</w:t>
      </w:r>
    </w:p>
    <w:p w14:paraId="7C2B0950" w14:textId="77777777" w:rsidR="00F3687A" w:rsidRPr="00937815" w:rsidRDefault="00F14F6A">
      <w:pPr>
        <w:spacing w:after="400"/>
        <w:ind w:left="5386"/>
      </w:pPr>
      <w:r>
        <w:rPr>
          <w:rFonts w:ascii="Times New Roman" w:eastAsia="Times New Roman" w:hAnsi="Times New Roman" w:cs="Times New Roman"/>
          <w:noProof/>
          <w:sz w:val="27"/>
        </w:rPr>
        <w:t>Заведующий кафедрой</w:t>
      </w:r>
    </w:p>
    <w:p w14:paraId="1A112D70" w14:textId="77777777" w:rsidR="00F3687A" w:rsidRPr="00937815" w:rsidRDefault="00F14F6A">
      <w:pPr>
        <w:spacing w:after="160"/>
        <w:ind w:left="5386"/>
      </w:pPr>
      <w:r>
        <w:rPr>
          <w:rFonts w:ascii="Times New Roman" w:eastAsia="Times New Roman" w:hAnsi="Times New Roman" w:cs="Times New Roman"/>
          <w:noProof/>
          <w:sz w:val="27"/>
        </w:rPr>
        <w:t>________________ С.С. Дереченник</w:t>
      </w:r>
    </w:p>
    <w:p w14:paraId="2008E068" w14:textId="77777777" w:rsidR="00F3687A" w:rsidRDefault="00F14F6A">
      <w:pPr>
        <w:spacing w:after="1160"/>
        <w:ind w:left="5386"/>
        <w:rPr>
          <w:rFonts w:ascii="Arial" w:hAnsi="Arial"/>
        </w:rPr>
      </w:pPr>
      <w:r>
        <w:rPr>
          <w:rFonts w:ascii="Times New Roman" w:eastAsia="Times New Roman" w:hAnsi="Times New Roman" w:cs="Times New Roman"/>
          <w:noProof/>
          <w:sz w:val="27"/>
        </w:rPr>
        <w:t>«____»___________ 2026 г.</w:t>
      </w:r>
    </w:p>
    <w:p w14:paraId="0F95AA89" w14:textId="77777777" w:rsidR="00F3687A" w:rsidRDefault="00F3687A">
      <w:pPr>
        <w:spacing w:line="20" w:lineRule="exact"/>
        <w:jc w:val="center"/>
        <w:rPr>
          <w:rFonts w:ascii="Arial" w:hAnsi="Arial"/>
        </w:rPr>
      </w:pPr>
    </w:p>
    <w:p w14:paraId="7BBBF872" w14:textId="77777777" w:rsidR="00F3687A" w:rsidRDefault="00F3687A">
      <w:pPr>
        <w:spacing w:line="20" w:lineRule="exact"/>
        <w:jc w:val="center"/>
        <w:rPr>
          <w:rFonts w:ascii="Arial" w:hAnsi="Arial"/>
        </w:rPr>
      </w:pPr>
    </w:p>
    <w:p w14:paraId="753733D5" w14:textId="77777777" w:rsidR="00F3687A" w:rsidRDefault="00F3687A">
      <w:pPr>
        <w:spacing w:line="20" w:lineRule="exact"/>
        <w:jc w:val="center"/>
        <w:rPr>
          <w:rFonts w:ascii="Arial" w:hAnsi="Arial"/>
        </w:rPr>
      </w:pPr>
    </w:p>
    <w:p w14:paraId="61CC6D56" w14:textId="77777777" w:rsidR="00F3687A" w:rsidRDefault="00F3687A">
      <w:pPr>
        <w:spacing w:line="20" w:lineRule="exact"/>
        <w:jc w:val="center"/>
        <w:rPr>
          <w:rFonts w:ascii="Arial" w:hAnsi="Arial"/>
        </w:rPr>
      </w:pPr>
    </w:p>
    <w:p w14:paraId="7A8B58ED" w14:textId="77777777" w:rsidR="00F3687A" w:rsidRPr="005C1488" w:rsidRDefault="00F14F6A"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4EDF7063" w14:textId="77777777" w:rsidR="00F3687A" w:rsidRPr="00937815" w:rsidRDefault="00F14F6A">
      <w:pPr>
        <w:spacing w:after="600"/>
        <w:jc w:val="center"/>
      </w:pPr>
      <w:r>
        <w:rPr>
          <w:rFonts w:ascii="Times New Roman" w:eastAsia="Times New Roman" w:hAnsi="Times New Roman" w:cs="Times New Roman"/>
          <w:noProof/>
          <w:sz w:val="28"/>
        </w:rPr>
        <w:t>ПОЯСНИТЕЛЬНАЯ ЗАПИСКА К ДИПЛОМНОМУ ПРОЕКТУ</w:t>
      </w:r>
    </w:p>
    <w:p w14:paraId="6CE75C34" w14:textId="77777777" w:rsidR="00F3687A" w:rsidRDefault="00F3687A">
      <w:pPr>
        <w:spacing w:line="20" w:lineRule="exact"/>
        <w:jc w:val="center"/>
        <w:rPr>
          <w:rFonts w:ascii="Arial" w:hAnsi="Arial"/>
        </w:rPr>
      </w:pPr>
    </w:p>
    <w:p w14:paraId="02C939B8" w14:textId="77777777" w:rsidR="00F3687A" w:rsidRDefault="00F3687A">
      <w:pPr>
        <w:spacing w:line="20" w:lineRule="exact"/>
        <w:jc w:val="center"/>
        <w:rPr>
          <w:rFonts w:ascii="Arial" w:hAnsi="Arial"/>
        </w:rPr>
      </w:pPr>
    </w:p>
    <w:p w14:paraId="7CB800DC" w14:textId="77777777" w:rsidR="00F3687A" w:rsidRPr="00937815" w:rsidRDefault="00F14F6A">
      <w:pPr>
        <w:spacing w:after="440"/>
        <w:jc w:val="center"/>
        <w:rPr>
          <w:b/>
          <w:sz w:val="32"/>
        </w:rPr>
      </w:pPr>
      <w:r>
        <w:rPr>
          <w:rFonts w:ascii="Times New Roman" w:eastAsia="Times New Roman" w:hAnsi="Times New Roman" w:cs="Times New Roman"/>
          <w:b/>
          <w:noProof/>
          <w:sz w:val="34"/>
        </w:rPr>
        <w:t>БрГТУ.241297 - 05 81 00</w:t>
      </w:r>
    </w:p>
    <w:p w14:paraId="3A0600E5" w14:textId="77777777" w:rsidR="00F3687A" w:rsidRPr="00011DB6" w:rsidRDefault="00F3687A">
      <w:pPr>
        <w:spacing w:line="20" w:lineRule="exact"/>
        <w:jc w:val="center"/>
        <w:rPr>
          <w:rFonts w:ascii="Arial" w:hAnsi="Arial"/>
          <w:b/>
        </w:rPr>
      </w:pPr>
    </w:p>
    <w:p w14:paraId="135D1D19" w14:textId="77777777" w:rsidR="00F3687A" w:rsidRPr="007E202B" w:rsidRDefault="00F14F6A">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72C30D1D" w14:textId="77777777" w:rsidTr="005B7E98">
        <w:trPr>
          <w:trHeight w:hRule="exact" w:val="604"/>
          <w:jc w:val="center"/>
        </w:trPr>
        <w:tc>
          <w:tcPr>
            <w:tcW w:w="3400" w:type="dxa"/>
            <w:vAlign w:val="center"/>
          </w:tcPr>
          <w:p w14:paraId="7631FBA1" w14:textId="77777777" w:rsidR="00F3687A" w:rsidRDefault="00F14F6A">
            <w:pPr>
              <w:ind w:right="200"/>
              <w:jc w:val="right"/>
            </w:pPr>
            <w:r>
              <w:t>Руководитель</w:t>
            </w:r>
          </w:p>
        </w:tc>
        <w:tc>
          <w:tcPr>
            <w:tcW w:w="5000" w:type="dxa"/>
            <w:vAlign w:val="center"/>
          </w:tcPr>
          <w:p w14:paraId="768F4E7D" w14:textId="77777777" w:rsidR="00F3687A" w:rsidRDefault="00F14F6A">
            <w:pPr>
              <w:ind w:left="1500"/>
            </w:pPr>
            <w:r>
              <w:t>V.S. Razumeichik</w:t>
            </w:r>
          </w:p>
        </w:tc>
      </w:tr>
      <w:tr w:rsidR="00C566F9" w:rsidRPr="00937815" w14:paraId="028CB944" w14:textId="77777777" w:rsidTr="005B7E98">
        <w:trPr>
          <w:trHeight w:hRule="exact" w:val="593"/>
          <w:jc w:val="center"/>
        </w:trPr>
        <w:tc>
          <w:tcPr>
            <w:tcW w:w="3400" w:type="dxa"/>
            <w:vAlign w:val="center"/>
          </w:tcPr>
          <w:p w14:paraId="3FDB0D8B" w14:textId="77777777" w:rsidR="00F3687A" w:rsidRDefault="00F14F6A">
            <w:pPr>
              <w:ind w:right="200"/>
              <w:jc w:val="right"/>
            </w:pPr>
            <w:r>
              <w:t>Выполнил</w:t>
            </w:r>
          </w:p>
        </w:tc>
        <w:tc>
          <w:tcPr>
            <w:tcW w:w="5000" w:type="dxa"/>
            <w:vAlign w:val="center"/>
          </w:tcPr>
          <w:p w14:paraId="51A358A6" w14:textId="77777777" w:rsidR="00F3687A" w:rsidRDefault="00F14F6A">
            <w:pPr>
              <w:ind w:left="1500"/>
            </w:pPr>
            <w:r>
              <w:t>Wang Gen</w:t>
            </w:r>
          </w:p>
        </w:tc>
      </w:tr>
      <w:tr w:rsidR="00C566F9" w:rsidRPr="00937815" w14:paraId="17EA7884" w14:textId="77777777" w:rsidTr="005B7E98">
        <w:trPr>
          <w:trHeight w:hRule="exact" w:val="420"/>
          <w:jc w:val="center"/>
        </w:trPr>
        <w:tc>
          <w:tcPr>
            <w:tcW w:w="3400" w:type="dxa"/>
            <w:vAlign w:val="center"/>
          </w:tcPr>
          <w:p w14:paraId="6BAC1AD3" w14:textId="77777777" w:rsidR="00F3687A" w:rsidRDefault="00F14F6A">
            <w:pPr>
              <w:ind w:right="200"/>
              <w:jc w:val="right"/>
            </w:pPr>
            <w:r>
              <w:t>Нормоконтроль</w:t>
            </w:r>
          </w:p>
        </w:tc>
        <w:tc>
          <w:tcPr>
            <w:tcW w:w="5000" w:type="dxa"/>
            <w:vAlign w:val="center"/>
          </w:tcPr>
          <w:p w14:paraId="448E088A" w14:textId="77777777" w:rsidR="00F3687A" w:rsidRDefault="00F14F6A">
            <w:pPr>
              <w:ind w:left="1500"/>
            </w:pPr>
            <w:r>
              <w:t>Н.Н.Мешечек</w:t>
            </w:r>
          </w:p>
        </w:tc>
      </w:tr>
      <w:tr w:rsidR="00C566F9" w:rsidRPr="00937815" w14:paraId="6372AA94" w14:textId="77777777" w:rsidTr="005B7E98">
        <w:trPr>
          <w:trHeight w:hRule="exact" w:val="680"/>
          <w:jc w:val="center"/>
        </w:trPr>
        <w:tc>
          <w:tcPr>
            <w:tcW w:w="3400" w:type="dxa"/>
            <w:vAlign w:val="center"/>
          </w:tcPr>
          <w:p w14:paraId="191E2663" w14:textId="77777777" w:rsidR="00F3687A" w:rsidRDefault="00F14F6A">
            <w:pPr>
              <w:ind w:right="200"/>
              <w:jc w:val="right"/>
            </w:pPr>
            <w:r>
              <w:t>Рецензент</w:t>
            </w:r>
          </w:p>
        </w:tc>
        <w:tc>
          <w:tcPr>
            <w:tcW w:w="5000" w:type="dxa"/>
            <w:vAlign w:val="center"/>
          </w:tcPr>
          <w:p w14:paraId="34B373EA" w14:textId="77777777" w:rsidR="00F3687A" w:rsidRDefault="00F3687A"/>
        </w:tc>
      </w:tr>
    </w:tbl>
    <w:p w14:paraId="4106D00C" w14:textId="77777777" w:rsidR="00F3687A" w:rsidRPr="00937815" w:rsidRDefault="00F3687A" w:rsidP="004E033D">
      <w:pPr>
        <w:spacing w:line="20" w:lineRule="exact"/>
        <w:jc w:val="center"/>
        <w:rPr>
          <w:sz w:val="8"/>
        </w:rPr>
      </w:pPr>
    </w:p>
    <w:p w14:paraId="3D6845DC" w14:textId="77777777" w:rsidR="00F3687A" w:rsidRDefault="00F3687A" w:rsidP="00332C93">
      <w:pPr>
        <w:spacing w:line="20" w:lineRule="exact"/>
        <w:jc w:val="center"/>
        <w:rPr>
          <w:sz w:val="28"/>
          <w:lang w:val="pl-PL"/>
        </w:rPr>
      </w:pPr>
    </w:p>
    <w:p w14:paraId="644CD92B" w14:textId="77777777" w:rsidR="00F3687A" w:rsidRDefault="00F3687A" w:rsidP="00332C93">
      <w:pPr>
        <w:spacing w:line="20" w:lineRule="exact"/>
        <w:jc w:val="center"/>
        <w:rPr>
          <w:sz w:val="28"/>
          <w:lang w:val="pl-PL"/>
        </w:rPr>
      </w:pPr>
    </w:p>
    <w:p w14:paraId="73343510" w14:textId="77777777" w:rsidR="00F3687A" w:rsidRDefault="00F3687A" w:rsidP="00332C93">
      <w:pPr>
        <w:spacing w:line="20" w:lineRule="exact"/>
        <w:jc w:val="center"/>
        <w:rPr>
          <w:sz w:val="28"/>
          <w:lang w:val="pl-PL"/>
        </w:rPr>
      </w:pPr>
    </w:p>
    <w:p w14:paraId="34E49CFA" w14:textId="77777777" w:rsidR="00F3687A" w:rsidRDefault="00F3687A" w:rsidP="00332C93">
      <w:pPr>
        <w:spacing w:line="20" w:lineRule="exact"/>
        <w:jc w:val="center"/>
        <w:rPr>
          <w:sz w:val="28"/>
          <w:lang w:val="pl-PL"/>
        </w:rPr>
      </w:pPr>
    </w:p>
    <w:p w14:paraId="4166E788" w14:textId="77777777" w:rsidR="00F3687A" w:rsidRPr="00540C8D" w:rsidRDefault="00F3687A" w:rsidP="00332C93">
      <w:pPr>
        <w:spacing w:line="20" w:lineRule="exact"/>
        <w:jc w:val="center"/>
        <w:rPr>
          <w:sz w:val="28"/>
          <w:lang w:val="pl-PL"/>
        </w:rPr>
      </w:pPr>
    </w:p>
    <w:p w14:paraId="23CD158A" w14:textId="77777777" w:rsidR="00F3687A" w:rsidRDefault="00F14F6A"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pPr>
        <w:sectPr w:rsidR="00E02084" w:rsidRPr="00EC78FC" w:rsidSect="004D3039">
          <w:headerReference w:type="default" r:id="rId24"/>
          <w:footerReference w:type="default" r:id="rId25"/>
          <w:type w:val="nextPage"/>
          <w:pgSz w:w="11909" w:h="16834" w:code="9"/>
          <w:pgMar w:top="567" w:right="567" w:bottom="1701" w:left="1418" w:header="567" w:footer="567" w:gutter="0"/>
          <w:cols w:space="720"/>
          <w:noEndnote/>
          <w:docGrid w:linePitch="360"/>
        </w:sectPr>
      </w:pPr>
    </w:p>
    <w:p w:rsidR="004724DA" w:rsidRDefault="00B532C2">
      <w:bookmarkStart w:id="0" w:name="_GoBack"/>
      <w:bookmarkEnd w:id="0"/>
      <w:r>
        <w:rPr>
          <w:noProof/>
          <w:lang w:eastAsia="ru-RU"/>
        </w:rPr>
        <mc:AlternateContent>
          <mc:Choice Requires="wpg">
            <w:drawing>
              <wp:anchor distT="0" distB="0" distL="114300" distR="114300" simplePos="0" relativeHeight="251658240" behindDoc="0" locked="0" layoutInCell="1" allowOverlap="1">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F83AFD" w:rsidRDefault="00C220B5" w:rsidP="00B532C2">
                              <w:pPr>
                                <w:pStyle w:val="a3"/>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Pr>
                                  <w:sz w:val="18"/>
                                  <w:lang w:val="en-US"/>
                                </w:rPr>
                                <w:t>60</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C220B5" w:rsidP="00B532C2">
                                  <w:pPr>
                                    <w:pStyle w:val="a3"/>
                                    <w:rPr>
                                      <w:sz w:val="18"/>
                                      <w:lang w:val="en-US"/>
                                    </w:rPr>
                                    <w:jc w:val="center"/>
                                  </w:pPr>
                                  <w:r>
                                    <w:rPr>
                                      <w:lang w:val="en-US"/>
                                    </w:rPr>
                                    <w:t>EdgeHub-Based Closed-Loop Temperature Control System</w:t>
                                  </w:r>
                                  <w:r>
                                    <w:rPr>
                                      <w:lang w:val="en-US"/>
                                    </w:rPr>
                                    <w:br/>
                                  </w:r>
                                  <w:r>
                                    <w:rPr>
                                      <w:lang w:val="en-US"/>
                                    </w:rPr>
                                    <w:t>Explanatory note</w:t>
                                  </w:r>
                                </w:p>
                              </w:txbxContent>
                            </wps:txbx>
                            <wps:bodyPr rot="0" vert="horz" wrap="square" lIns="12700" tIns="12700" rIns="12700" bIns="12700" anchor="ctr"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07551E" w:rsidP="00B532C2">
                                                      <w:pPr>
                                                        <w:pStyle w:val="a3"/>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9D240B" w:rsidRDefault="009D240B" w:rsidP="009D240B">
                                                      <w:pPr>
                                                        <w:pStyle w:val="a3"/>
                                                        <w:spacing w:line="168" w:lineRule="auto" w:before="0" w:after="0"/>
                                                        <w:rPr>
                                                          <w:sz w:val="18"/>
                                                          <w:szCs w:val="18"/>
                                                        </w:rPr>
                                                      </w:pPr>
                                                      <w:r>
                                                        <w:rPr>
                                                          <w:rFonts w:ascii="Times New Roman" w:hAnsi="Times New Roman"/>
                                                          <w:iCs/>
                                                          <w:sz w:val="18"/>
                                                          <w:szCs w:val="18"/>
                                                          <w:lang w:val="pl-PL"/>
                                                        </w:rPr>
                                                        <w:t>V.S. Razumeichik</w:t>
                                                      </w:r>
                                                    </w:p>
                                                    <w:p w:rsidR="00B532C2" w:rsidRDefault="00B532C2"/>
                                                  </w:txbxContent>
                                                </wps:txbx>
                                                <wps:bodyPr rot="0" vert="horz" wrap="square" lIns="12700" tIns="0" rIns="12700" bIns="0" anchor="ctr"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C220B5" w:rsidRDefault="00C220B5" w:rsidP="00B532C2">
                                                      <w:pPr>
                                                        <w:pStyle w:val="a3"/>
                                                        <w:rPr>
                                                          <w:sz w:val="18"/>
                                                          <w:lang w:val="en-US"/>
                                                        </w:rPr>
                                                        <w:jc w:val="center"/>
                                                      </w:pPr>
                                                      <w:r>
                                                        <w:rPr>
                                                          <w:sz w:val="18"/>
                                                          <w:lang w:val="en-US"/>
                                                        </w:rPr>
                                                        <w:t>4</w:t>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350582" w:rsidRDefault="00B532C2" w:rsidP="00B532C2">
                                                        <w:pPr>
                                                          <w:spacing w:line="360" w:lineRule="auto"/>
                                                          <w:rPr>
                                                            <w:rFonts w:ascii="ISOCPEUR" w:hAnsi="ISOCPEUR"/>
                                                            <w:i/>
                                                            <w:sz w:val="32"/>
                                                          </w:rPr>
                                                          <w:jc w:val="center"/>
                                                        </w:pPr>
                                                        <w:r>
                                                          <w:rPr>
                                                            <w:rFonts w:ascii="ISOCPEUR" w:hAnsi="ISOCPEUR"/>
                                                            <w:i/>
                                                            <w:sz w:val="32"/>
                                                            <w:lang w:val="en-US"/>
                                                          </w:rPr>
                                                          <w:t>БрГТУ.241297 - 05 81 00</w:t>
                                                        </w:r>
                                                      </w:p>
                                                      <w:p w:rsidR="00B532C2" w:rsidRDefault="00B532C2" w:rsidP="00B532C2">
                                                        <w:pPr>
                                                          <w:pStyle w:val="a3"/>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1C2604" w:rsidP="00B532C2">
                                                            <w:pPr>
                                                              <w:pStyle w:val="a3"/>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94478" w:rsidRDefault="009D240B" w:rsidP="00B532C2">
                                                            <w:pPr>
                                                              <w:pStyle w:val="a3"/>
                                                              <w:rPr>
                                                                <w:sz w:val="18"/>
                                                                <w:szCs w:val="18"/>
                                                                <w:lang w:val="ru-RU"/>
                                                              </w:rPr>
                                                            </w:pPr>
                                                            <w:r>
                                                              <w:rPr>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DA4DC2" w:rsidRDefault="00B532C2" w:rsidP="00B532C2">
                                                        <w:pPr>
                                                          <w:pStyle w:val="a3"/>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B532C2" w:rsidP="00B532C2">
                                            <w:pPr>
                                              <w:pStyle w:val="a3"/>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AlternateContent>
      </w:r>
    </w:p>
    <w:p>
      <w:pPr>
        <w:pStyle w:val="ContentsTitle"/>
        <w:jc w:val="center"/>
      </w:pPr>
      <w:r>
        <w:rPr>
          <w:rFonts w:ascii="Times New Roman" w:hAnsi="Times New Roman" w:eastAsia="Times New Roman"/>
          <w:b/>
          <w:color w:val="000000"/>
          <w:sz w:val="28"/>
        </w:rPr>
        <w:t>Contents</w:t>
      </w:r>
    </w:p>
    <w:p/>
    <w:p>
      <w:pPr>
        <w:pStyle w:val="ContentsEntry"/>
        <w:tabs>
          <w:tab w:pos="9354" w:val="right" w:leader="dot"/>
        </w:tabs>
        <w:ind w:firstLine="0" w:left="0"/>
      </w:pPr>
      <w:r>
        <w:rPr>
          <w:rFonts w:ascii="Times New Roman" w:hAnsi="Times New Roman" w:eastAsia="Times New Roman"/>
          <w:color w:val="000000"/>
          <w:sz w:val="26"/>
        </w:rPr>
        <w:t>INTRODUCTION</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 ANALYSIS OF TEMPERATURE CONTROL AND MONITORING SYSTEMS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1.1 Temperature-control process characteristics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1.2 Closed-loop control principles</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1.3 Edge-based execution in temperature-control systems</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1.4 Data acquisition and monitoring requirements</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1.5 HMI requirements for supervisory control</w:t>
      </w:r>
      <w:r>
        <w:tab/>
      </w:r>
      <w:r>
        <w:rPr>
          <w:rFonts w:ascii="Times New Roman" w:hAnsi="Times New Roman" w:eastAsia="Times New Roman"/>
          <w:color w:val="000000"/>
          <w:sz w:val="26"/>
        </w:rPr>
        <w:t>13</w:t>
      </w:r>
    </w:p>
    <w:p>
      <w:pPr>
        <w:pStyle w:val="ContentsEntry"/>
        <w:tabs>
          <w:tab w:pos="9354" w:val="right" w:leader="dot"/>
        </w:tabs>
        <w:ind w:firstLine="0" w:left="0"/>
      </w:pPr>
      <w:r>
        <w:rPr>
          <w:rFonts w:ascii="Times New Roman" w:hAnsi="Times New Roman" w:eastAsia="Times New Roman"/>
          <w:color w:val="000000"/>
          <w:sz w:val="26"/>
        </w:rPr>
        <w:t>1.6 Auxiliary decision-support role</w:t>
      </w:r>
      <w:r>
        <w:tab/>
      </w:r>
      <w:r>
        <w:rPr>
          <w:rFonts w:ascii="Times New Roman" w:hAnsi="Times New Roman" w:eastAsia="Times New Roman"/>
          <w:color w:val="000000"/>
          <w:sz w:val="26"/>
        </w:rPr>
        <w:t>13</w:t>
      </w:r>
    </w:p>
    <w:p>
      <w:pPr>
        <w:pStyle w:val="ContentsEntry"/>
        <w:tabs>
          <w:tab w:pos="9354" w:val="right" w:leader="dot"/>
        </w:tabs>
        <w:ind w:firstLine="0" w:left="0"/>
      </w:pPr>
      <w:r>
        <w:rPr>
          <w:rFonts w:ascii="Times New Roman" w:hAnsi="Times New Roman" w:eastAsia="Times New Roman"/>
          <w:color w:val="000000"/>
          <w:sz w:val="26"/>
        </w:rPr>
        <w:t>1.7 Requirements for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2 ARCHITECTURE OF THE DEVELOPED SYSTEM</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2.1 General architecture of the system</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2.2 Edge control layer</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2.3 Data Hub layer</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2.4 HMI layer</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2.5 Closed-loop data and command flow</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2.6 Communication protocol and data model</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2.7 Auxiliary decision-support interface</w:t>
      </w:r>
      <w:r>
        <w:tab/>
      </w:r>
      <w:r>
        <w:rPr>
          <w:rFonts w:ascii="Times New Roman" w:hAnsi="Times New Roman" w:eastAsia="Times New Roman"/>
          <w:color w:val="000000"/>
          <w:sz w:val="26"/>
        </w:rPr>
        <w:t>22</w:t>
      </w:r>
    </w:p>
    <w:p>
      <w:pPr>
        <w:pStyle w:val="ContentsEntry"/>
        <w:tabs>
          <w:tab w:pos="9354" w:val="right" w:leader="dot"/>
        </w:tabs>
        <w:ind w:firstLine="0" w:left="0"/>
      </w:pPr>
      <w:r>
        <w:rPr>
          <w:rFonts w:ascii="Times New Roman" w:hAnsi="Times New Roman" w:eastAsia="Times New Roman"/>
          <w:color w:val="000000"/>
          <w:sz w:val="26"/>
        </w:rPr>
        <w:t>3 IMPLEMENTATION OF THE EDGE CONTROL LAYER</w:t>
      </w:r>
      <w:r>
        <w:tab/>
      </w:r>
      <w:r>
        <w:rPr>
          <w:rFonts w:ascii="Times New Roman" w:hAnsi="Times New Roman" w:eastAsia="Times New Roman"/>
          <w:color w:val="000000"/>
          <w:sz w:val="26"/>
        </w:rPr>
        <w:t>23</w:t>
      </w:r>
    </w:p>
    <w:p>
      <w:pPr>
        <w:pStyle w:val="ContentsEntry"/>
        <w:tabs>
          <w:tab w:pos="9354" w:val="right" w:leader="dot"/>
        </w:tabs>
        <w:ind w:firstLine="0" w:left="0"/>
      </w:pPr>
      <w:r>
        <w:rPr>
          <w:rFonts w:ascii="Times New Roman" w:hAnsi="Times New Roman" w:eastAsia="Times New Roman"/>
          <w:color w:val="000000"/>
          <w:sz w:val="26"/>
        </w:rPr>
        <w:t>3.1 Control target and hardware design scope</w:t>
      </w:r>
      <w:r>
        <w:tab/>
      </w:r>
      <w:r>
        <w:rPr>
          <w:rFonts w:ascii="Times New Roman" w:hAnsi="Times New Roman" w:eastAsia="Times New Roman"/>
          <w:color w:val="000000"/>
          <w:sz w:val="26"/>
        </w:rPr>
        <w:t>23</w:t>
      </w:r>
    </w:p>
    <w:p>
      <w:pPr>
        <w:pStyle w:val="ContentsEntry"/>
        <w:tabs>
          <w:tab w:pos="9354" w:val="right" w:leader="dot"/>
        </w:tabs>
        <w:ind w:firstLine="0" w:left="0"/>
      </w:pPr>
      <w:r>
        <w:rPr>
          <w:rFonts w:ascii="Times New Roman" w:hAnsi="Times New Roman" w:eastAsia="Times New Roman"/>
          <w:color w:val="000000"/>
          <w:sz w:val="26"/>
        </w:rPr>
        <w:t>3.2 Electrical schematic and pin assignment</w:t>
      </w:r>
      <w:r>
        <w:tab/>
      </w:r>
      <w:r>
        <w:rPr>
          <w:rFonts w:ascii="Times New Roman" w:hAnsi="Times New Roman" w:eastAsia="Times New Roman"/>
          <w:color w:val="000000"/>
          <w:sz w:val="26"/>
        </w:rPr>
        <w:t>26</w:t>
      </w:r>
    </w:p>
    <w:p>
      <w:pPr>
        <w:pStyle w:val="ContentsEntry"/>
        <w:tabs>
          <w:tab w:pos="9354" w:val="right" w:leader="dot"/>
        </w:tabs>
        <w:ind w:firstLine="0" w:left="0"/>
      </w:pPr>
      <w:r>
        <w:rPr>
          <w:rFonts w:ascii="Times New Roman" w:hAnsi="Times New Roman" w:eastAsia="Times New Roman"/>
          <w:color w:val="000000"/>
          <w:sz w:val="26"/>
        </w:rPr>
        <w:t>3.3 Power path and MOSFET driver design</w:t>
      </w:r>
      <w:r>
        <w:tab/>
      </w:r>
      <w:r>
        <w:rPr>
          <w:rFonts w:ascii="Times New Roman" w:hAnsi="Times New Roman" w:eastAsia="Times New Roman"/>
          <w:color w:val="000000"/>
          <w:sz w:val="26"/>
        </w:rPr>
        <w:t>27</w:t>
      </w:r>
    </w:p>
    <w:p>
      <w:pPr>
        <w:pStyle w:val="ContentsEntry"/>
        <w:tabs>
          <w:tab w:pos="9354" w:val="right" w:leader="dot"/>
        </w:tabs>
        <w:ind w:firstLine="0" w:left="0"/>
      </w:pPr>
      <w:r>
        <w:rPr>
          <w:rFonts w:ascii="Times New Roman" w:hAnsi="Times New Roman" w:eastAsia="Times New Roman"/>
          <w:color w:val="000000"/>
          <w:sz w:val="26"/>
        </w:rPr>
        <w:t>3.4 PCB and enclosure design</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3.5 Temperature measurement, feedback, and local control algorithm</w:t>
      </w:r>
      <w:r>
        <w:tab/>
      </w:r>
      <w:r>
        <w:rPr>
          <w:rFonts w:ascii="Times New Roman" w:hAnsi="Times New Roman" w:eastAsia="Times New Roman"/>
          <w:color w:val="000000"/>
          <w:sz w:val="26"/>
        </w:rPr>
        <w:t>31</w:t>
      </w:r>
    </w:p>
    <w:p>
      <w:pPr>
        <w:pStyle w:val="ContentsEntry"/>
        <w:tabs>
          <w:tab w:pos="9354" w:val="right" w:leader="dot"/>
        </w:tabs>
        <w:ind w:firstLine="0" w:left="0"/>
      </w:pPr>
      <w:r>
        <w:rPr>
          <w:rFonts w:ascii="Times New Roman" w:hAnsi="Times New Roman" w:eastAsia="Times New Roman"/>
          <w:color w:val="000000"/>
          <w:sz w:val="26"/>
        </w:rPr>
        <w:t>3.6 Runtime configuration, MQTT handling, and safety validation</w:t>
      </w:r>
      <w:r>
        <w:tab/>
      </w:r>
      <w:r>
        <w:rPr>
          <w:rFonts w:ascii="Times New Roman" w:hAnsi="Times New Roman" w:eastAsia="Times New Roman"/>
          <w:color w:val="000000"/>
          <w:sz w:val="26"/>
        </w:rPr>
        <w:t>34</w:t>
      </w:r>
    </w:p>
    <w:p>
      <w:pPr>
        <w:pStyle w:val="ContentsEntry"/>
        <w:tabs>
          <w:tab w:pos="9354" w:val="right" w:leader="dot"/>
        </w:tabs>
        <w:ind w:firstLine="0" w:left="0"/>
      </w:pPr>
      <w:r>
        <w:rPr>
          <w:rFonts w:ascii="Times New Roman" w:hAnsi="Times New Roman" w:eastAsia="Times New Roman"/>
          <w:color w:val="000000"/>
          <w:sz w:val="26"/>
        </w:rPr>
        <w:t>4 IMPLEMENTATION OF THE DATA HUB AND HMI LAYERS</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4.1 MQTT ingestion pipeline</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4.2 Message parsing and topic model</w:t>
      </w:r>
      <w:r>
        <w:tab/>
      </w:r>
      <w:r>
        <w:rPr>
          <w:rFonts w:ascii="Times New Roman" w:hAnsi="Times New Roman" w:eastAsia="Times New Roman"/>
          <w:color w:val="000000"/>
          <w:sz w:val="26"/>
        </w:rPr>
        <w:t>40</w:t>
      </w:r>
    </w:p>
    <w:p>
      <w:pPr>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4.3 Telemetry filtering, aggregation, and storage</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4.4 Alarm and rule processing</w:t>
      </w:r>
      <w:r>
        <w:tab/>
      </w:r>
      <w:r>
        <w:rPr>
          <w:rFonts w:ascii="Times New Roman" w:hAnsi="Times New Roman" w:eastAsia="Times New Roman"/>
          <w:color w:val="000000"/>
          <w:sz w:val="26"/>
        </w:rPr>
        <w:t>42</w:t>
      </w:r>
    </w:p>
    <w:p>
      <w:pPr>
        <w:pStyle w:val="ContentsEntry"/>
        <w:tabs>
          <w:tab w:pos="9354" w:val="right" w:leader="dot"/>
        </w:tabs>
        <w:ind w:firstLine="0" w:left="0"/>
      </w:pPr>
      <w:r>
        <w:rPr>
          <w:rFonts w:ascii="Times New Roman" w:hAnsi="Times New Roman" w:eastAsia="Times New Roman"/>
          <w:color w:val="000000"/>
          <w:sz w:val="26"/>
        </w:rPr>
        <w:t>4.5 HMI backend and frontend</w:t>
      </w:r>
      <w:r>
        <w:tab/>
      </w:r>
      <w:r>
        <w:rPr>
          <w:rFonts w:ascii="Times New Roman" w:hAnsi="Times New Roman" w:eastAsia="Times New Roman"/>
          <w:color w:val="000000"/>
          <w:sz w:val="26"/>
        </w:rPr>
        <w:t>43</w:t>
      </w:r>
    </w:p>
    <w:p>
      <w:pPr>
        <w:pStyle w:val="ContentsEntry"/>
        <w:tabs>
          <w:tab w:pos="9354" w:val="right" w:leader="dot"/>
        </w:tabs>
        <w:ind w:firstLine="0" w:left="0"/>
      </w:pPr>
      <w:r>
        <w:rPr>
          <w:rFonts w:ascii="Times New Roman" w:hAnsi="Times New Roman" w:eastAsia="Times New Roman"/>
          <w:color w:val="000000"/>
          <w:sz w:val="26"/>
        </w:rPr>
        <w:t>4.6 Device monitoring and parameter configuration</w:t>
      </w:r>
      <w:r>
        <w:tab/>
      </w:r>
      <w:r>
        <w:rPr>
          <w:rFonts w:ascii="Times New Roman" w:hAnsi="Times New Roman" w:eastAsia="Times New Roman"/>
          <w:color w:val="000000"/>
          <w:sz w:val="26"/>
        </w:rPr>
        <w:t>45</w:t>
      </w:r>
    </w:p>
    <w:p>
      <w:pPr>
        <w:pStyle w:val="ContentsEntry"/>
        <w:tabs>
          <w:tab w:pos="9354" w:val="right" w:leader="dot"/>
        </w:tabs>
        <w:ind w:firstLine="0" w:left="0"/>
      </w:pPr>
      <w:r>
        <w:rPr>
          <w:rFonts w:ascii="Times New Roman" w:hAnsi="Times New Roman" w:eastAsia="Times New Roman"/>
          <w:color w:val="000000"/>
          <w:sz w:val="26"/>
        </w:rPr>
        <w:t>5 AUXILIARY DECISION-SUPPORT AND SYSTEM VALIDATION</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5.1 Purpose of decision support</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5.2 Data preparation and feature extraction</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5.3 Recommendation and feedback mechanism</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5.4 Experimental setup</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5.5 Closed-loop tests</w:t>
      </w:r>
      <w:r>
        <w:tab/>
      </w:r>
      <w:r>
        <w:rPr>
          <w:rFonts w:ascii="Times New Roman" w:hAnsi="Times New Roman" w:eastAsia="Times New Roman"/>
          <w:color w:val="000000"/>
          <w:sz w:val="26"/>
        </w:rPr>
        <w:t>54</w:t>
      </w:r>
    </w:p>
    <w:p>
      <w:pPr>
        <w:pStyle w:val="ContentsEntry"/>
        <w:tabs>
          <w:tab w:pos="9354" w:val="right" w:leader="dot"/>
        </w:tabs>
        <w:ind w:firstLine="0" w:left="0"/>
      </w:pPr>
      <w:r>
        <w:rPr>
          <w:rFonts w:ascii="Times New Roman" w:hAnsi="Times New Roman" w:eastAsia="Times New Roman"/>
          <w:color w:val="000000"/>
          <w:sz w:val="26"/>
        </w:rPr>
        <w:t>5.6 Telemetry and HMI validation</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5.7 Results analysis</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CONCLUSION</w:t>
      </w:r>
      <w:r>
        <w:tab/>
      </w:r>
      <w:r>
        <w:rPr>
          <w:rFonts w:ascii="Times New Roman" w:hAnsi="Times New Roman" w:eastAsia="Times New Roman"/>
          <w:color w:val="000000"/>
          <w:sz w:val="26"/>
        </w:rPr>
        <w:t>59</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62</w:t>
      </w:r>
    </w:p>
    <w:p>
      <w:pPr>
        <w:pStyle w:val="Heading1"/>
        <w:keepNext/>
        <w:pageBreakBefore/>
        <w:spacing w:line="300" w:lineRule="auto" w:after="260"/>
        <w:ind w:firstLine="709"/>
      </w:pPr>
      <w:r>
        <w:rPr>
          <w:rFonts w:ascii="Times New Roman" w:hAnsi="Times New Roman" w:eastAsia="Times New Roman"/>
          <w:b/>
          <w:color w:val="000000"/>
          <w:sz w:val="28"/>
        </w:rPr>
        <w:t>INTRODUCTION</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BodyText"/>
        <w:spacing w:line="300" w:lineRule="auto" w:before="0" w:after="0"/>
        <w:ind w:firstLine="709"/>
        <w:jc w:val="both"/>
      </w:pPr>
      <w:r>
        <w:rPr>
          <w:rFonts w:ascii="Times New Roman" w:hAnsi="Times New Roman" w:eastAsia="Times New Roman"/>
          <w:color w:val="000000"/>
          <w:sz w:val="26"/>
        </w:rPr>
        <w:t>After the introduction, the thesis contains five numbered main sections, followed by the conclusion and references. Section 1 analyzes temperature control and monitoring systems. It considers feedback control principles, edge-based execution, telemetry exchange, HMI requirements, decision-support functions, and the requirements for the developed system. Section 2 describes the system architecture, explains the responsibilities of the edge control layer, the Data Hub layer, and the HMI layer, and presents the closed-loop flow of measurements, commands, acknowledgements, and feedback. Section 3 describes the implementation of the edge control layer, including temperature acquisition, heater control, the control algorithm, runtime configuration, MQTT communication, and local response to parameter updates. Section 4 describes the implementation of the Data Hub and HMI layers, including MQTT ingestion, message parsing, telemetry processing, persistent storage, backend services, frontend interaction, monitoring, and parameter configuration. Section 5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 The conclusion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1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1.1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1.2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1.3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1.4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1.5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1.6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1.7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1.1.</w:t>
      </w: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1.1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BodyText"/>
        <w:spacing w:line="260" w:lineRule="exact" w:before="0" w:after="0"/>
        <w:ind w:firstLine="0" w:left="0" w:right="0"/>
        <w:jc w:val="left"/>
      </w:pPr>
    </w:p>
    <w:p>
      <w:pPr>
        <w:pStyle w:val="Heading1"/>
        <w:keepNext/>
        <w:pageBreakBefore/>
        <w:spacing w:line="300" w:lineRule="auto" w:after="260"/>
        <w:ind w:firstLine="709"/>
      </w:pPr>
      <w:r>
        <w:rPr>
          <w:rFonts w:ascii="Times New Roman" w:hAnsi="Times New Roman" w:eastAsia="Times New Roman"/>
          <w:b/>
          <w:color w:val="000000"/>
          <w:sz w:val="28"/>
        </w:rPr>
        <w:t>2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2.1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2.1 presents the general architecture of the developed system and shows the relationship between the three main layers and the auxiliary decision-support mechanism.</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785679"/>
            <wp:docPr id="1" name="Picture 1"/>
            <wp:cNvGraphicFramePr>
              <a:graphicFrameLocks noChangeAspect="1"/>
            </wp:cNvGraphicFramePr>
            <a:graphic>
              <a:graphicData uri="http://schemas.openxmlformats.org/drawingml/2006/picture">
                <pic:pic>
                  <pic:nvPicPr>
                    <pic:cNvPr id="0" name="figure_3_1_general_architecture_cropped.png"/>
                    <pic:cNvPicPr/>
                  </pic:nvPicPr>
                  <pic:blipFill>
                    <a:blip r:embed="rId9"/>
                    <a:stretch>
                      <a:fillRect/>
                    </a:stretch>
                  </pic:blipFill>
                  <pic:spPr>
                    <a:xfrm>
                      <a:off x="0" y="0"/>
                      <a:ext cx="5940000" cy="278567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2.1 – General architecture of the developed system</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2.1, the three main layers are aligned around the closed-loop measurement, command, and verification path, while the auxiliary decision-support mechanism remains outside the main control chain. The layered structure of the developed system is summarized in Table 2.1.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2.1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2.2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2.3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2.4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2.5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2.2.</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2.2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2.2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2.6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2.7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architecture.</w:t>
      </w:r>
    </w:p>
    <w:p>
      <w:pPr>
        <w:pStyle w:val="Heading1"/>
        <w:keepNext/>
        <w:pageBreakBefore/>
        <w:spacing w:line="300" w:lineRule="auto" w:after="260"/>
        <w:ind w:firstLine="709"/>
      </w:pPr>
      <w:r>
        <w:rPr>
          <w:rFonts w:ascii="Times New Roman" w:hAnsi="Times New Roman" w:eastAsia="Times New Roman"/>
          <w:b/>
          <w:color w:val="000000"/>
          <w:sz w:val="28"/>
        </w:rPr>
        <w:t>3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3.1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section are evaluated not only by component availability, but also by their influence on measurement reliability, actuator safety, and later experimental verification.</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3.1. The table is limited to the key design decisions that affect control execution, temperature feedback, power switching, supply stability, testing safety, debugging, and physical placement.</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3.1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3.1. It represents the main control, sensing, low-voltage supply, MOSFET switching, status indication, and connector paths prepared for the hardware stage.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Electrical schematic of the edge temperature-control node</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3.2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3.1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(3.1).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(3.1)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3.3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(3.2).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(3.2)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(3.3).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(3.3)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(3.4).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(3.4)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3.4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3.2.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3.2 – Component placement of the edge control node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3.3.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032000" cy="34272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427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3.3 – Three-dimensional enclosure layout with PCB reference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3.4.</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860000" cy="334125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4860000" cy="334125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3.4 – Printable enclosure parts prepared for later fabrication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3.5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(3.5).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rPr>
          <w:rFonts w:ascii="Times New Roman" w:hAnsi="Times New Roman" w:eastAsia="Times New Roman"/>
          <w:color w:val="000000"/>
          <w:sz w:val="26"/>
        </w:rPr>
        <w:t>,</w:t>
      </w:r>
      <w:r>
        <w:tab/>
      </w:r>
      <w:r>
        <w:rPr>
          <w:rFonts w:ascii="Times New Roman" w:hAnsi="Times New Roman" w:eastAsia="Times New Roman"/>
          <w:color w:val="000000"/>
          <w:sz w:val="26"/>
        </w:rPr>
        <w:t>(3.5)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(3.6).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(3.6)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(3.6), the corresponding initial relations are given by formula (3.7).</w:t>
      </w:r>
    </w:p>
    <w:p>
      <w:pPr>
        <w:pStyle w:val="Formula"/>
        <w:tabs>
          <w:tab w:pos="4677" w:val="center"/>
          <w:tab w:pos="9354" w:val="right"/>
        </w:tabs>
        <w:spacing w:line="300" w:lineRule="auto" w:before="260" w:after="260"/>
        <w:ind w:firstLine="0"/>
        <w:jc w:val="left"/>
      </w:pPr>
      <w:r>
        <w:tab/>
      </w:r>
      <m:oMath>
        <m:sSub>
          <m:e>
            <m:r>
              <m:t>K</m:t>
            </m:r>
          </m:e>
          <m:sub>
            <m:r>
              <m:t>p</m:t>
            </m:r>
          </m:sub>
        </m:sSub>
        <m:r>
          <m:t>=0.6</m:t>
        </m:r>
        <m:sSub>
          <m:e>
            <m:r>
              <m:t>K</m:t>
            </m:r>
          </m:e>
          <m:sub>
            <m:r>
              <m:t>u</m:t>
            </m:r>
          </m:sub>
        </m:sSub>
        <m:r>
          <m:t xml:space="preserve">; </m:t>
        </m:r>
        <m:sSub>
          <m:e>
            <m:r>
              <m:t>K</m:t>
            </m:r>
          </m:e>
          <m:sub>
            <m:r>
              <m:t>i</m:t>
            </m:r>
          </m:sub>
        </m:sSub>
        <m:r>
          <m:t>=</m:t>
        </m:r>
        <m:f>
          <m:fPr>
            <m:type m:val="bar"/>
          </m:fPr>
          <m:num>
            <m:r>
              <m:t>1.2</m:t>
            </m:r>
            <m:sSub>
              <m:e>
                <m:r>
                  <m:t>K</m:t>
                </m:r>
              </m:e>
              <m:sub>
                <m:r>
                  <m:t>u</m:t>
                </m:r>
              </m:sub>
            </m:sSub>
          </m:num>
          <m:den>
            <m:sSub>
              <m:e>
                <m:r>
                  <m:t>T</m:t>
                </m:r>
              </m:e>
              <m:sub>
                <m:r>
                  <m:t>u</m:t>
                </m:r>
              </m:sub>
            </m:sSub>
          </m:den>
        </m:f>
        <m:r>
          <m:t xml:space="preserve">; </m:t>
        </m:r>
        <m:sSub>
          <m:e>
            <m:r>
              <m:t>K</m:t>
            </m:r>
          </m:e>
          <m:sub>
            <m:r>
              <m:t>d</m:t>
            </m:r>
          </m:sub>
        </m:sSub>
        <m:r>
          <m:t>=0.075</m:t>
        </m:r>
        <m:sSub>
          <m:e>
            <m:r>
              <m:t>K</m:t>
            </m:r>
          </m:e>
          <m:sub>
            <m:r>
              <m:t>u</m:t>
            </m:r>
          </m:sub>
        </m:sSub>
        <m:sSub>
          <m:e>
            <m:r>
              <m:t>T</m:t>
            </m:r>
          </m:e>
          <m:sub>
            <m:r>
              <m:t>u</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(3.7)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(3.8).</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(3.8)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3.5.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3.5 – PID output limiting and anti-windup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3.6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3.6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3.6 – Edge control tick with safety forcing and telemetry publishing</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4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4.1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4.1. The fragment demonstrates the bounded buffer, configured overflow behavior, parallel scheduler, and fixed device-lane partitioning used to process MQTT messages without relying on an uncontrolled queue.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Data Hub bounded MQTT ingestion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4.1.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4.1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4.1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4.3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4.4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4.5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4.2. It combines process history, target band visualization, current parameters, editable PID fields, and acknowledgement-related feedback in one view, which supports the closed-loop interpretation of operator actions.</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HMI device detail screen for monitoring and parameter configuration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4.3 is used for Data Hub and ingestion monitoring. This screen is not an operator control screen; it is an engineering view that helps inspect MQTT ingress rate, processing rate, queue depth, and runtime status during development and validation.</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HMI operations console for Data Hub and ingestion monitoring</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4.4. It demonstrates that the HMI backend constructs a structured parameter payload, removes fields that were not changed by the operator, marks the source as HMI, and publishes the result through the device-specific MQTT command path.</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HMI backend parameter command publishing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5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5.1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5.2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5.1.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5.1.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Feature extraction for control-behavior analysis</w:t>
      </w:r>
    </w:p>
    <w:p>
      <w:pPr>
        <w:pStyle w:val="BodyText"/>
        <w:spacing w:line="260" w:lineRule="exact" w:before="0" w:after="0"/>
        <w:ind w:firstLine="0" w:left="0" w:right="0"/>
        <w:jc w:val="left"/>
      </w:pP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5.1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5.2.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Rule-based parameter recommendation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5.4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5.2. They cover the main system behavior expected from a layered closed-loop temperature-control and monitoring system.</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5.2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bl>
    <w:p>
      <w:pPr>
        <w:pStyle w:val="BodyText"/>
        <w:keepNext/>
        <w:pageBreakBefore/>
        <w:spacing w:line="300" w:lineRule="auto" w:before="0" w:after="0"/>
        <w:ind w:firstLine="0" w:left="0"/>
        <w:jc w:val="left"/>
      </w:pPr>
      <w:r>
        <w:rPr>
          <w:rFonts w:ascii="Times New Roman" w:hAnsi="Times New Roman" w:eastAsia="Times New Roman"/>
          <w:color w:val="000000"/>
          <w:sz w:val="26"/>
        </w:rPr>
        <w:t>Continue of the Table 5.2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5.3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post-apply validation view with telemetry comparison</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5.4.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Post-apply effect evaluation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5.3. These values are used as demonstration evidence for the software workflow and should be interpreted as simulated or seeded validation data, not as final measurements of the untested physical PCB.</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5.3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5.7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CONCLUSION</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8"/>
      <w:footerReference w:type="default" r:id="rId29"/>
      <w:pgSz w:w="11909" w:h="16834" w:code="9"/>
      <w:pgMar w:top="1134" w:right="850" w:bottom="1531" w:left="1701" w:header="709" w:footer="964" w:gutter="0"/>
      <w:pgNumType w:start="5"/>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251657728" behindDoc="0" locked="0" layoutInCell="1" allowOverlap="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БрГТУ</w:t>
                            </w:r>
                            <w:r>
                              <w:rPr>
                                <w:rFonts w:ascii="ISOCPEUR" w:hAnsi="ISOCPEUR" w:eastAsia="ISOCPEUR"/>
                                <w:i/>
                                <w:sz w:val="28"/>
                                <w:szCs w:val="28"/>
                              </w:rPr>
                              <w:t>.241297 - 05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no'?>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