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1</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15</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25</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28</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30</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34</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34</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37</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50</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56</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25</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w:t>
      </w:r>
    </w:p>
    <w:p>
      <w:pPr>
        <w:pStyle w:val="BodyText"/>
        <w:spacing w:line="300" w:lineRule="auto" w:before="0" w:after="0"/>
        <w:ind w:firstLine="709"/>
        <w:jc w:val="both"/>
      </w:pPr>
      <w:r>
        <w:rPr>
          <w:rFonts w:ascii="Times New Roman" w:hAnsi="Times New Roman" w:eastAsia="Times New Roman"/>
          <w:color w:val="000000"/>
          <w:sz w:val="26"/>
        </w:rPr>
        <w:t>This interface keeps the auxiliary mechanism explainable and traceable. It improves the engineering value of the system by supporting parameter analysis and recommendation preparation, while the main architecture remains based on edge execution, Data Hub processing, and HMI supervision.</w:t>
      </w:r>
    </w:p>
    <w:p>
      <w:pPr>
        <w:pStyle w:val="BodyText"/>
        <w:spacing w:line="300" w:lineRule="auto" w:before="0" w:after="0"/>
        <w:ind w:firstLine="709"/>
        <w:jc w:val="both"/>
      </w:pPr>
      <w:r>
        <w:rPr>
          <w:rFonts w:ascii="Times New Roman" w:hAnsi="Times New Roman" w:eastAsia="Times New Roman"/>
          <w:color w:val="000000"/>
          <w:sz w:val="26"/>
        </w:rPr>
        <w:t>The architecture described in this section defines the structural basis for the implementation of the developed system. The following section focuses on the edge control layer, including temperature acquisition, local control execution, runtime parameter handling, MQTT communication, and acknowledgement processing.</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Therefore, the derivative part is available in the runtime structure but is not active in the tuned default behavior. The proportional term reacts to current error, while the integral term helps reduce steady-state error. The calculated output is limited to the PWM range from 0 to 255, and the normalized duty ratio sent to the actuator path is calculated by formula (4.7).</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