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ectPr w:rsidR="00E02084" w:rsidRPr="00EC78FC" w:rsidSect="004D3039">
          <w:headerReference w:type="default" r:id="rId24"/>
          <w:footerReference w:type="default" r:id="rId25"/>
          <w:type w:val="nextPage"/>
          <w:pgSz w:w="11909" w:h="16834" w:code="9"/>
          <w:pgMar w:top="567" w:right="567" w:bottom="1701" w:left="1418" w:header="567" w:footer="567" w:gutter="0"/>
          <w:cols w:space="720"/>
          <w:noEndnote/>
          <w:docGrid w:linePitch="360"/>
        </w:sectPr>
      </w:pPr>
    </w:p>
    <w:p w:rsidR="004724DA" w:rsidRDefault="00B532C2">
      <w:bookmarkStart w:id="0" w:name="_GoBack"/>
      <w:bookmarkEnd w:id="0"/>
      <w:r>
        <w:rPr>
          <w:noProof/>
          <w:lang w:eastAsia="ru-RU"/>
        </w:rPr>
        <mc:AlternateContent>
          <mc:Choice Requires="wpg">
            <w:drawing>
              <wp:anchor distT="0" distB="0" distL="114300" distR="114300" simplePos="0" relativeHeight="251658240" behindDoc="0" locked="0" layoutInCell="1" allowOverlap="1">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F83AFD" w:rsidRDefault="00C220B5" w:rsidP="00B532C2">
                              <w:pPr>
                                <w:pStyle w:val="a3"/>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Pr>
                                  <w:sz w:val="18"/>
                                  <w:lang w:val="en-US"/>
                                </w:rPr>
                                <w:t>60</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07551E" w:rsidP="00B532C2">
                                                      <w:pPr>
                                                        <w:pStyle w:val="a3"/>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C220B5" w:rsidRDefault="00C220B5" w:rsidP="00B532C2">
                                                      <w:pPr>
                                                        <w:pStyle w:val="a3"/>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Pr>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1C2604" w:rsidP="00B532C2">
                                                            <w:pPr>
                                                              <w:pStyle w:val="a3"/>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DA4DC2" w:rsidRDefault="00B532C2" w:rsidP="00B532C2">
                                                        <w:pPr>
                                                          <w:pStyle w:val="a3"/>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B532C2" w:rsidP="00B532C2">
                                            <w:pPr>
                                              <w:pStyle w:val="a3"/>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па 4" o:spid="_x0000_s1026" style="position:absolute;margin-left:-37.5pt;margin-top:-40.4pt;width:528.85pt;height:817.8pt;z-index:251658240" coordorigin="1161,414" coordsize="10448,1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">
                <v:rect id="Rectangle 6" o:spid="_x0000_s1027"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" filled="f" stroked="f" strokeweight=".25pt">
                  <v:textbox inset="1pt,1pt,1pt,1pt">
                    <w:txbxContent>
                      <w:p w:rsidR="00B532C2" w:rsidRPr="00F83AFD" w:rsidRDefault="00C220B5" w:rsidP="00B532C2">
                        <w:pPr>
                          <w:pStyle w:val="a3"/>
                          <w:jc w:val="center"/>
                          <w:rPr>
                            <w:sz w:val="18"/>
                            <w:lang w:val="ru-RU"/>
                          </w:rPr>
                        </w:pPr>
                        <w:r>
                          <w:rPr>
                            <w:sz w:val="18"/>
                            <w:highlight w:val="yellow"/>
                            <w:lang w:val="en-US"/>
                          </w:rPr>
                          <w:t>46</w:t>
                        </w:r>
                      </w:p>
                    </w:txbxContent>
                  </v:textbox>
                </v:rect>
                <v:group id="Group 7" o:spid="_x0000_s1028" style="position:absolute;left:1161;top:414;width:10448;height:16137" coordorigin="1161,414" coordsize="10448,1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2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9" o:spid="_x0000_s1030" style="position:absolute;left:5201;top:15107;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" filled="f" stroked="f" strokeweight=".25pt">
                      <v:textbox inset="1pt,1pt,1pt,1pt">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v:textbox>
                    </v:rect>
                    <v:group id="Group 10" o:spid="_x0000_s103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1" o:spid="_x0000_s1032" style="position:absolute;left:1700;top:14766;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rsidR="00B532C2" w:rsidRDefault="00B532C2" w:rsidP="00B532C2">
                              <w:pPr>
                                <w:pStyle w:val="a3"/>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3" o:spid="_x0000_s1034" style="position:absolute;left:2325;top:14760;width:2862;height:1107" coordorigin="9281,-69329" coordsize="22973,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4" o:spid="_x0000_s1035" style="position:absolute;left:20420;top:-69329;width:11834;height:2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rsidR="00B532C2" w:rsidRPr="00457996" w:rsidRDefault="00457996" w:rsidP="00B532C2">
                                  <w:pPr>
                                    <w:pStyle w:val="a3"/>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rsidR="00B532C2" w:rsidRDefault="00B532C2" w:rsidP="00B532C2">
                                  <w:pPr>
                                    <w:pStyle w:val="a3"/>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7" o:spid="_x0000_s1038" style="position:absolute;left:10280;top:15062;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rsidR="00B532C2" w:rsidRPr="00457996" w:rsidRDefault="00457996" w:rsidP="00B532C2">
                                  <w:pPr>
                                    <w:pStyle w:val="a3"/>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9" o:spid="_x0000_s104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20" o:spid="_x0000_s104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1" o:spid="_x0000_s1042" style="position:absolute;left:1175;top:161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4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rsidR="00B532C2" w:rsidRDefault="00B532C2" w:rsidP="00B532C2">
                                          <w:pPr>
                                            <w:pStyle w:val="a3"/>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5" o:spid="_x0000_s1046" style="position:absolute;left:1169;top:1590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6" o:spid="_x0000_s10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rsidR="00B532C2" w:rsidRDefault="00B532C2" w:rsidP="00B532C2">
                                            <w:pPr>
                                              <w:pStyle w:val="a3"/>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29" o:spid="_x0000_s105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30" o:spid="_x0000_s1051" style="position:absolute;left:1181;top:15329;width:2724;height:487" coordorigin=",-1543" coordsize="21870,39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1"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rsidR="00B532C2" w:rsidRPr="0007551E" w:rsidRDefault="0007551E" w:rsidP="00B532C2">
                                                <w:pPr>
                                                  <w:pStyle w:val="a3"/>
                                                  <w:rPr>
                                                    <w:sz w:val="20"/>
                                                  </w:rPr>
                                                </w:pPr>
                                                <w:r w:rsidRPr="0007551E">
                                                  <w:rPr>
                                                    <w:sz w:val="18"/>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v:textbox>
                                        </v:rect>
                                      </v:group>
                                      <v:group id="Group 33" o:spid="_x0000_s1054" style="position:absolute;left:1161;top:414;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4" o:spid="_x0000_s1055"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rsidR="00B532C2" w:rsidRPr="00C220B5" w:rsidRDefault="00C220B5" w:rsidP="00B532C2">
                                                <w:pPr>
                                                  <w:pStyle w:val="a3"/>
                                                  <w:jc w:val="center"/>
                                                  <w:rPr>
                                                    <w:sz w:val="18"/>
                                                    <w:lang w:val="en-US"/>
                                                  </w:rPr>
                                                </w:pPr>
                                                <w:r>
                                                  <w:rPr>
                                                    <w:sz w:val="18"/>
                                                    <w:lang w:val="en-US"/>
                                                  </w:rPr>
                                                  <w:t>2</w:t>
                                                </w:r>
                                              </w:p>
                                            </w:txbxContent>
                                          </v:textbox>
                                        </v:rect>
                                        <v:group id="Group 35" o:spid="_x0000_s1056"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6" o:spid="_x0000_s1057"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59"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sw0xAAAANsAAAAPAAAAZHJzL2Rvd25yZXYueG1sRI/NasMw&#10;EITvhbyD2EBujZwG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M+uzDTEAAAA2wAAAA8A&#10;AAAAAAAAAAAAAAAABwIAAGRycy9kb3ducmV2LnhtbFBLBQYAAAAAAwADALcAAAD4AgAAAAA=&#10;" filled="f" strokeweight="2pt"/>
                                            <v:line id="Line 39" o:spid="_x0000_s1060"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 o:spid="_x0000_s1061"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1" o:spid="_x0000_s1062"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42" o:spid="_x0000_s1063"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43" o:spid="_x0000_s1064"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44" o:spid="_x0000_s1065"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5" o:spid="_x0000_s1066"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6" o:spid="_x0000_s1067"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47" o:spid="_x0000_s1068"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line id="Line 48" o:spid="_x0000_s1069"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49" o:spid="_x0000_s1070"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50" o:spid="_x0000_s1071"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51" o:spid="_x0000_s1072"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52" o:spid="_x0000_s1073"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group id="Group 53" o:spid="_x0000_s1074"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4"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rsidR="00B532C2" w:rsidRPr="0007551E" w:rsidRDefault="001C2604" w:rsidP="00B532C2">
                                                      <w:pPr>
                                                        <w:pStyle w:val="a3"/>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7" o:spid="_x0000_s1078"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8" o:spid="_x0000_s1079"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9" o:spid="_x0000_s1080"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60" o:spid="_x0000_s1081"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Line 61" o:spid="_x0000_s1082"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group>
                                          <v:rect id="Rectangle 62" o:spid="_x0000_s1083" style="position:absolute;left:8550;top:15818;width:2910;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rsidR="00B532C2" w:rsidRPr="00DA4DC2" w:rsidRDefault="00B532C2" w:rsidP="00B532C2">
                                                  <w:pPr>
                                                    <w:pStyle w:val="a3"/>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rsidR="00B532C2" w:rsidRDefault="00B532C2" w:rsidP="00B532C2">
                                            <w:pPr>
                                              <w:pStyle w:val="a3"/>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rsidR="00B532C2" w:rsidRPr="00457996" w:rsidRDefault="00B532C2" w:rsidP="00B532C2">
                                      <w:pPr>
                                        <w:pStyle w:val="a3"/>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v:textbox>
                  </v:shape>
                </v:group>
              </v:group>
            </w:pict>
          </mc:Fallback>
        </mc:AlternateContent>
      </w:r>
    </w:p>
    <w:p>
      <w:pPr>
        <w:pStyle w:val="ContentsTitle"/>
        <w:jc w:val="center"/>
      </w:pPr>
      <w:r>
        <w:rPr>
          <w:rFonts w:ascii="Times New Roman" w:hAnsi="Times New Roman" w:eastAsia="Times New Roman"/>
          <w:b/>
          <w:color w:val="000000"/>
          <w:sz w:val="28"/>
        </w:rPr>
        <w:t>Contents</w:t>
      </w:r>
    </w:p>
    <w:p/>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22</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22</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25</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26</w:t>
      </w:r>
    </w:p>
    <w:p>
      <w:pPr>
        <w:spacing w:before="0" w:after="0" w:line="1" w:lineRule="exact"/>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31</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35</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35</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37</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42</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46</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46</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46</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48</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50</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52</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54</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56</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56</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58</w:t>
      </w:r>
    </w:p>
    <w:p>
      <w:pPr>
        <w:pStyle w:val="ContentsEntry"/>
        <w:tabs>
          <w:tab w:pos="9354" w:val="right" w:leader="dot"/>
        </w:tabs>
        <w:ind w:firstLine="0" w:left="0"/>
      </w:pPr>
      <w:r>
        <w:rPr>
          <w:rFonts w:ascii="Times New Roman" w:hAnsi="Times New Roman"/>
          <w:color w:val="000000"/>
          <w:sz w:val="26"/>
        </w:rPr>
        <w:t>REFERENCES</w:t>
        <w:tab/>
        <w:t>59</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color w:val="000000"/>
          <w:sz w:val="26"/>
        </w:rPr>
        <w:t>Temperature control is a common engineering task in small heated chambers used for laboratory stands, storage tests, curing or drying cabinets, and embedded automation training equipment. In this thesis the practical target is narrowed to a small-chamber prototype with a nominal 35 °C operating point, an operator setpoint range of 20-60 °C, and supervisory software for checking whether parameter changes really improve behavior. The temperature value must therefore not only be measured, but also kept near a specified setpoint under actuator limits, thermal inertia, sensor errors, and communication delay. For this reason, the system is considered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color w:val="000000"/>
          <w:sz w:val="26"/>
        </w:rPr>
        <w:t>The practical significance of the project lies in the implementation of a complete layered prototype for a small-chamber temperature-control task.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xml:space="preserve">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 [13].</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pPr>
        <w:pStyle w:val="TableCaption"/>
        <w:keepNext/>
        <w:spacing w:line="300" w:lineRule="auto" w:before="26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9"/>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TableCaption"/>
        <w:keepNext/>
        <w:spacing w:line="300" w:lineRule="auto" w:before="26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TableCaption"/>
        <w:keepNext/>
        <w:spacing w:line="300" w:lineRule="auto" w:before="26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w:t>
      </w:r>
    </w:p>
    <w:p>
      <w:pPr>
        <w:pStyle w:val="BodyText"/>
        <w:spacing w:line="300" w:lineRule="auto" w:before="0" w:after="0"/>
        <w:ind w:firstLine="709"/>
        <w:jc w:val="both"/>
      </w:pPr>
      <w:r>
        <w:rPr>
          <w:rFonts w:ascii="Times New Roman" w:hAnsi="Times New Roman" w:eastAsia="Times New Roman"/>
          <w:color w:val="000000"/>
          <w:sz w:val="26"/>
        </w:rPr>
        <w:t>This interface keeps the auxiliary mechanism explainable and traceable. It improves the engineering value of the system by supporting parameter analysis and recommendation preparation, while the main architecture remains based on edge execution, Data Hub processing, and HMI supervision.</w:t>
      </w:r>
    </w:p>
    <w:p>
      <w:pPr>
        <w:pStyle w:val="BodyText"/>
        <w:spacing w:line="300" w:lineRule="auto" w:before="0" w:after="0"/>
        <w:ind w:firstLine="709"/>
        <w:jc w:val="both"/>
      </w:pPr>
      <w:r>
        <w:rPr>
          <w:rFonts w:ascii="Times New Roman" w:hAnsi="Times New Roman" w:eastAsia="Times New Roman"/>
          <w:color w:val="000000"/>
          <w:sz w:val="26"/>
        </w:rPr>
        <w:t>This organization also supports verification because every important operation has a defined source, path, and observable result. Local control actions can be related to telemetry records, telemetry records can be related to stored state, and operator commands can be related to acknowledgements and later process behavior. As a result, the architecture provides not only functional separation but also traceability across the complete engineering loop.</w:t>
      </w:r>
    </w:p>
    <w:p>
      <w:pPr>
        <w:pStyle w:val="BodyText"/>
        <w:spacing w:line="300" w:lineRule="auto" w:before="0" w:after="0"/>
        <w:ind w:firstLine="709"/>
        <w:jc w:val="both"/>
      </w:pPr>
      <w:r>
        <w:rPr>
          <w:rFonts w:ascii="Times New Roman" w:hAnsi="Times New Roman" w:eastAsia="Times New Roman"/>
          <w:color w:val="000000"/>
          <w:sz w:val="26"/>
        </w:rPr>
        <w:t>The separation between the main layers and the auxiliary decision-support mechanism is especially important for the developed prototype. Control execution remains local to the edge device, supervisory processing remains in the Data Hub and HMI, and recommendations remain reviewable information for the operator. This prevents the supporting analytical function from being interpreted as an autonomous controller and preserves the intended operator-in-the-loop design.</w:t>
      </w:r>
    </w:p>
    <w:p>
      <w:pPr>
        <w:pStyle w:val="BodyText"/>
        <w:spacing w:line="300" w:lineRule="auto" w:before="0" w:after="0"/>
        <w:ind w:firstLine="709"/>
        <w:jc w:val="both"/>
      </w:pPr>
      <w:r>
        <w:rPr>
          <w:rFonts w:ascii="Times New Roman" w:hAnsi="Times New Roman" w:eastAsia="Times New Roman"/>
          <w:color w:val="000000"/>
          <w:sz w:val="26"/>
        </w:rPr>
        <w:t>The architecture described in this section defines the structural basis for the implementation of the developed system. The following section focuses on the edge control layer, including temperature acquisition, local control execution, runtime parameter handling, MQTT communication, and acknowledgement processing.</w:t>
      </w:r>
    </w:p>
    <w:p>
      <w:pPr>
        <w:pStyle w:val="BodyText"/>
        <w:spacing w:line="300" w:lineRule="auto" w:before="0" w:after="0"/>
        <w:ind w:firstLine="709"/>
        <w:jc w:val="both"/>
      </w:pPr>
      <w:r>
        <w:rPr>
          <w:rFonts w:ascii="Times New Roman" w:hAnsi="Times New Roman" w:eastAsia="Times New Roman"/>
          <w:color w:val="000000"/>
          <w:sz w:val="26"/>
        </w:rPr>
        <w:t>For this reason, the architecture can be used as the basis for implementation without changing the role of each part. The edge device remains responsible for time-dependent measurement and control, the Data Hub remains responsible for message processing and storage, and the HMI remains responsible for operator supervision. This distribution of responsibilities is necessary for a controllable engineering prototype.</w:t>
      </w:r>
    </w:p>
    <w:p>
      <w:pPr>
        <w:pStyle w:val="BodyText"/>
        <w:spacing w:line="300" w:lineRule="auto" w:before="0" w:after="0"/>
        <w:ind w:firstLine="709"/>
        <w:jc w:val="both"/>
      </w:pPr>
      <w:r>
        <w:rPr>
          <w:rFonts w:ascii="Times New Roman" w:hAnsi="Times New Roman" w:eastAsia="Times New Roman"/>
          <w:color w:val="000000"/>
          <w:sz w:val="26"/>
        </w:rPr>
        <w:t>The architecture also defines where verification evidence should be collected. Correct operation cannot be confirmed only by observing a temperature value on the screen. It must be confirmed by checking telemetry records, command identifiers, acknowledgement messages, parameter versions, and the measured behavior after the applied change. These elements make later testing reproducible and traceable.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therefore connected to the architecture as an analytical extension rather than as a replacement for the controller. It uses stored behavior to prepare recommendations, while the actual decision to apply a parameter change remains with the operator. This distinction keeps the system explainable and prevents automatic parameter changes from being introduced without review.</w:t>
      </w:r>
    </w:p>
    <w:p>
      <w:pPr>
        <w:pStyle w:val="BodyText"/>
        <w:spacing w:line="300" w:lineRule="auto" w:before="0" w:after="0"/>
        <w:ind w:firstLine="709"/>
        <w:jc w:val="both"/>
      </w:pPr>
      <w:r>
        <w:rPr>
          <w:rFonts w:ascii="Times New Roman" w:hAnsi="Times New Roman" w:eastAsia="Times New Roman"/>
          <w:color w:val="000000"/>
          <w:sz w:val="26"/>
        </w:rPr>
        <w:t>Consequently, the implementation can be evaluated against clearly separated control, data-processing, and supervisory responsibilities, with each layer producing observable evidence for later validation and practical comparison during system tests.</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 xml:space="preserve">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[15].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 xml:space="preserve">where </w:t>
      </w: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I</w:t>
      </w:r>
      <w:r>
        <w:rPr>
          <w:rFonts w:ascii="Times New Roman" w:hAnsi="Times New Roman" w:cs="Times New Roman" w:eastAsia="Times New Roman"/>
          <w:sz w:val="26"/>
          <w:color w:val="000000"/>
          <w:vertAlign w:val="subscript"/>
        </w:rPr>
        <w:t>pullup</w:t>
      </w:r>
      <w:r>
        <w:rPr>
          <w:rFonts w:ascii="Times New Roman" w:hAnsi="Times New Roman" w:cs="Times New Roman" w:eastAsia="Times New Roman"/>
          <w:sz w:val="26"/>
          <w:color w:val="000000"/>
        </w:rPr>
        <w:t xml:space="preserve"> – pull-up current, A;</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U</w:t>
      </w:r>
      <w:r>
        <w:rPr>
          <w:rFonts w:ascii="Times New Roman" w:hAnsi="Times New Roman" w:cs="Times New Roman" w:eastAsia="Times New Roman"/>
          <w:sz w:val="26"/>
          <w:color w:val="000000"/>
          <w:vertAlign w:val="subscript"/>
        </w:rPr>
        <w:t>DD</w:t>
      </w:r>
      <w:r>
        <w:rPr>
          <w:rFonts w:ascii="Times New Roman" w:hAnsi="Times New Roman" w:cs="Times New Roman" w:eastAsia="Times New Roman"/>
          <w:sz w:val="26"/>
          <w:color w:val="000000"/>
        </w:rPr>
        <w:t xml:space="preserve"> – logic supply voltage, V;</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R</w:t>
      </w:r>
      <w:r>
        <w:rPr>
          <w:rFonts w:ascii="Times New Roman" w:hAnsi="Times New Roman" w:cs="Times New Roman" w:eastAsia="Times New Roman"/>
          <w:sz w:val="26"/>
          <w:color w:val="000000"/>
          <w:vertAlign w:val="subscript"/>
        </w:rPr>
        <w:t>pullup</w:t>
      </w:r>
      <w:r>
        <w:rPr>
          <w:rFonts w:ascii="Times New Roman" w:hAnsi="Times New Roman" w:cs="Times New Roman" w:eastAsia="Times New Roman"/>
          <w:sz w:val="26"/>
          <w:color w:val="000000"/>
        </w:rPr>
        <w:t xml:space="preserve"> – pull-up resistance, Ω;</w:t>
      </w:r>
    </w:p>
    <w:p>
      <w:pPr>
        <w:pStyle w:val="BodyText"/>
        <w:spacing w:line="300" w:lineRule="auto" w:before="0" w:after="0"/>
        <w:ind w:firstLine="709"/>
        <w:jc w:val="both"/>
      </w:pPr>
      <w:r>
        <w:rPr>
          <w:rFonts w:ascii="Times New Roman" w:hAnsi="Times New Roman" w:cs="Times New Roman" w:eastAsia="Times New Roman"/>
          <w:sz w:val="26"/>
          <w:color w:val="000000"/>
        </w:rPr>
        <w:t xml:space="preserve">For </w:t>
      </w:r>
      <w:r>
        <w:rPr>
          <w:rFonts w:ascii="Times New Roman" w:hAnsi="Times New Roman" w:cs="Times New Roman" w:eastAsia="Times New Roman"/>
          <w:sz w:val="26"/>
          <w:color w:val="000000"/>
        </w:rPr>
        <w:t>U</w:t>
      </w:r>
      <w:r>
        <w:rPr>
          <w:rFonts w:ascii="Times New Roman" w:hAnsi="Times New Roman" w:cs="Times New Roman" w:eastAsia="Times New Roman"/>
          <w:sz w:val="26"/>
          <w:color w:val="000000"/>
          <w:vertAlign w:val="subscript"/>
        </w:rPr>
        <w:t>DD</w:t>
      </w:r>
      <w:r>
        <w:rPr>
          <w:rFonts w:ascii="Times New Roman" w:hAnsi="Times New Roman" w:cs="Times New Roman" w:eastAsia="Times New Roman"/>
          <w:sz w:val="26"/>
          <w:color w:val="000000"/>
        </w:rPr>
        <w:t xml:space="preserve"> = 3.3 V and </w:t>
      </w:r>
      <w:r>
        <w:rPr>
          <w:rFonts w:ascii="Times New Roman" w:hAnsi="Times New Roman" w:cs="Times New Roman" w:eastAsia="Times New Roman"/>
          <w:sz w:val="26"/>
          <w:color w:val="000000"/>
        </w:rPr>
        <w:t>R</w:t>
      </w:r>
      <w:r>
        <w:rPr>
          <w:rFonts w:ascii="Times New Roman" w:hAnsi="Times New Roman" w:cs="Times New Roman" w:eastAsia="Times New Roman"/>
          <w:sz w:val="26"/>
          <w:color w:val="000000"/>
          <w:vertAlign w:val="subscript"/>
        </w:rPr>
        <w:t>pullup</w:t>
      </w:r>
      <w:r>
        <w:rPr>
          <w:rFonts w:ascii="Times New Roman" w:hAnsi="Times New Roman" w:cs="Times New Roman" w:eastAsia="Times New Roman"/>
          <w:sz w:val="26"/>
          <w:color w:val="000000"/>
        </w:rPr>
        <w:t xml:space="preserve">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 xml:space="preserve">The Wokwi connection is still used as a simulation and firmware-verification aid [11]. It validates the logical pin mapping and the firmware interaction with the sensor, LED, PWM signal, logic analyzer, and serial monitor [16], [25].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 xml:space="preserve">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 [15].</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 xml:space="preserve">where </w:t>
      </w: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U</w:t>
      </w:r>
      <w:r>
        <w:rPr>
          <w:rFonts w:ascii="Times New Roman" w:hAnsi="Times New Roman" w:cs="Times New Roman" w:eastAsia="Times New Roman"/>
          <w:sz w:val="26"/>
          <w:color w:val="000000"/>
          <w:vertAlign w:val="subscript"/>
        </w:rPr>
        <w:t>avg</w:t>
      </w:r>
      <w:r>
        <w:rPr>
          <w:rFonts w:ascii="Times New Roman" w:hAnsi="Times New Roman" w:cs="Times New Roman" w:eastAsia="Times New Roman"/>
          <w:sz w:val="26"/>
          <w:color w:val="000000"/>
        </w:rPr>
        <w:t xml:space="preserve">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U</w:t>
      </w:r>
      <w:r>
        <w:rPr>
          <w:rFonts w:ascii="Times New Roman" w:hAnsi="Times New Roman" w:cs="Times New Roman" w:eastAsia="Times New Roman"/>
          <w:sz w:val="26"/>
          <w:color w:val="000000"/>
          <w:vertAlign w:val="subscript"/>
        </w:rPr>
        <w:t>s</w:t>
      </w:r>
      <w:r>
        <w:rPr>
          <w:rFonts w:ascii="Times New Roman" w:hAnsi="Times New Roman" w:cs="Times New Roman" w:eastAsia="Times New Roman"/>
          <w:sz w:val="26"/>
          <w:color w:val="000000"/>
        </w:rPr>
        <w:t xml:space="preserve">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 xml:space="preserve">where </w:t>
      </w: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P</w:t>
      </w:r>
      <w:r>
        <w:rPr>
          <w:rFonts w:ascii="Times New Roman" w:hAnsi="Times New Roman" w:cs="Times New Roman" w:eastAsia="Times New Roman"/>
          <w:sz w:val="26"/>
          <w:color w:val="000000"/>
          <w:vertAlign w:val="subscript"/>
        </w:rPr>
        <w:t>load</w:t>
      </w:r>
      <w:r>
        <w:rPr>
          <w:rFonts w:ascii="Times New Roman" w:hAnsi="Times New Roman" w:cs="Times New Roman" w:eastAsia="Times New Roman"/>
          <w:sz w:val="26"/>
          <w:color w:val="000000"/>
        </w:rPr>
        <w:t xml:space="preserve"> – heater load power, W;</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U</w:t>
      </w:r>
      <w:r>
        <w:rPr>
          <w:rFonts w:ascii="Times New Roman" w:hAnsi="Times New Roman" w:cs="Times New Roman" w:eastAsia="Times New Roman"/>
          <w:sz w:val="26"/>
          <w:color w:val="000000"/>
          <w:vertAlign w:val="subscript"/>
        </w:rPr>
        <w:t>s</w:t>
      </w:r>
      <w:r>
        <w:rPr>
          <w:rFonts w:ascii="Times New Roman" w:hAnsi="Times New Roman" w:cs="Times New Roman" w:eastAsia="Times New Roman"/>
          <w:sz w:val="26"/>
          <w:color w:val="000000"/>
        </w:rPr>
        <w:t xml:space="preserve"> – load supply voltage, V;</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R</w:t>
      </w:r>
      <w:r>
        <w:rPr>
          <w:rFonts w:ascii="Times New Roman" w:hAnsi="Times New Roman" w:cs="Times New Roman" w:eastAsia="Times New Roman"/>
          <w:sz w:val="26"/>
          <w:color w:val="000000"/>
          <w:vertAlign w:val="subscript"/>
        </w:rPr>
        <w:t>load</w:t>
      </w:r>
      <w:r>
        <w:rPr>
          <w:rFonts w:ascii="Times New Roman" w:hAnsi="Times New Roman" w:cs="Times New Roman" w:eastAsia="Times New Roman"/>
          <w:sz w:val="26"/>
          <w:color w:val="000000"/>
        </w:rPr>
        <w:t xml:space="preserve">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 xml:space="preserve">where </w:t>
      </w: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P</w:t>
      </w:r>
      <w:r>
        <w:rPr>
          <w:rFonts w:ascii="Times New Roman" w:hAnsi="Times New Roman" w:cs="Times New Roman" w:eastAsia="Times New Roman"/>
          <w:sz w:val="26"/>
          <w:color w:val="000000"/>
          <w:vertAlign w:val="subscript"/>
        </w:rPr>
        <w:t>Q</w:t>
      </w:r>
      <w:r>
        <w:rPr>
          <w:rFonts w:ascii="Times New Roman" w:hAnsi="Times New Roman" w:cs="Times New Roman" w:eastAsia="Times New Roman"/>
          <w:sz w:val="26"/>
          <w:color w:val="000000"/>
        </w:rPr>
        <w:t xml:space="preserve"> – MOSFET conduction loss, W;</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I</w:t>
      </w:r>
      <w:r>
        <w:rPr>
          <w:rFonts w:ascii="Times New Roman" w:hAnsi="Times New Roman" w:cs="Times New Roman" w:eastAsia="Times New Roman"/>
          <w:sz w:val="26"/>
          <w:color w:val="000000"/>
          <w:vertAlign w:val="subscript"/>
        </w:rPr>
        <w:t>load</w:t>
      </w:r>
      <w:r>
        <w:rPr>
          <w:rFonts w:ascii="Times New Roman" w:hAnsi="Times New Roman" w:cs="Times New Roman" w:eastAsia="Times New Roman"/>
          <w:sz w:val="26"/>
          <w:color w:val="000000"/>
        </w:rPr>
        <w:t xml:space="preserve"> – heater current, A;</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R</w:t>
      </w:r>
      <w:r>
        <w:rPr>
          <w:rFonts w:ascii="Times New Roman" w:hAnsi="Times New Roman" w:cs="Times New Roman" w:eastAsia="Times New Roman"/>
          <w:sz w:val="26"/>
          <w:color w:val="000000"/>
          <w:vertAlign w:val="subscript"/>
        </w:rPr>
        <w:t>DS(on)</w:t>
      </w:r>
      <w:r>
        <w:rPr>
          <w:rFonts w:ascii="Times New Roman" w:hAnsi="Times New Roman" w:cs="Times New Roman" w:eastAsia="Times New Roman"/>
          <w:sz w:val="26"/>
          <w:color w:val="000000"/>
        </w:rPr>
        <w:t xml:space="preserve">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keepNext/>
        <w:spacing w:before="0" w:after="0"/>
        <w:ind w:firstLine="0"/>
        <w:jc w:val="center"/>
      </w:pPr>
      <w:r>
        <w:drawing>
          <wp:inline xmlns:a="http://schemas.openxmlformats.org/drawingml/2006/main" xmlns:pic="http://schemas.openxmlformats.org/drawingml/2006/picture">
            <wp:extent cx="4032000" cy="30240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024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keepNext/>
        <w:spacing w:before="0" w:after="0"/>
        <w:ind w:firstLine="0"/>
        <w:jc w:val="center"/>
      </w:pPr>
      <w:r>
        <w:drawing>
          <wp:inline xmlns:a="http://schemas.openxmlformats.org/drawingml/2006/main" xmlns:pic="http://schemas.openxmlformats.org/drawingml/2006/picture">
            <wp:extent cx="3780000" cy="283500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3780000" cy="2835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 [25].</w:t>
      </w:r>
    </w:p>
    <w:p>
      <w:pPr>
        <w:pStyle w:val="BodyText"/>
        <w:spacing w:line="300" w:lineRule="auto" w:before="0" w:after="0"/>
        <w:ind w:firstLine="709"/>
        <w:jc w:val="both"/>
      </w:pPr>
      <w:r>
        <w:rPr>
          <w:rFonts w:ascii="Times New Roman" w:hAnsi="Times New Roman" w:eastAsia="Times New Roman"/>
          <w:color w:val="000000"/>
          <w:sz w:val="26"/>
        </w:rPr>
        <w:t xml:space="preserve">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[26], [27].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 xml:space="preserve">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[14].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T</w:t>
      </w:r>
      <w:r>
        <w:rPr>
          <w:rFonts w:ascii="Times New Roman" w:hAnsi="Times New Roman" w:cs="Times New Roman" w:eastAsia="Times New Roman"/>
          <w:sz w:val="26"/>
          <w:color w:val="000000"/>
          <w:vertAlign w:val="subscript"/>
        </w:rPr>
        <w:t>set</w:t>
      </w:r>
      <w:r>
        <w:rPr>
          <w:rFonts w:ascii="Times New Roman" w:hAnsi="Times New Roman" w:cs="Times New Roman" w:eastAsia="Times New Roman"/>
          <w:sz w:val="26"/>
          <w:color w:val="000000"/>
        </w:rPr>
        <w:t xml:space="preserve">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 xml:space="preserve">The general continuous PID control law used as the reference form is given by formula (4.6) [14].</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p</w:t>
      </w:r>
      <w:r>
        <w:rPr>
          <w:rFonts w:ascii="Times New Roman" w:hAnsi="Times New Roman" w:cs="Times New Roman" w:eastAsia="Times New Roman"/>
          <w:sz w:val="26"/>
          <w:color w:val="000000"/>
        </w:rPr>
        <w:t xml:space="preserve"> – proportional gain;</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i</w:t>
      </w:r>
      <w:r>
        <w:rPr>
          <w:rFonts w:ascii="Times New Roman" w:hAnsi="Times New Roman" w:cs="Times New Roman" w:eastAsia="Times New Roman"/>
          <w:sz w:val="26"/>
          <w:color w:val="000000"/>
        </w:rPr>
        <w:t xml:space="preserve"> – integral gain;</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d</w:t>
      </w:r>
      <w:r>
        <w:rPr>
          <w:rFonts w:ascii="Times New Roman" w:hAnsi="Times New Roman" w:cs="Times New Roman" w:eastAsia="Times New Roman"/>
          <w:sz w:val="26"/>
          <w:color w:val="000000"/>
        </w:rPr>
        <w:t xml:space="preserve"> – derivative gain;</w:t>
      </w:r>
    </w:p>
    <w:p>
      <w:pPr>
        <w:pStyle w:val="BodyText"/>
        <w:spacing w:line="300" w:lineRule="auto" w:before="0" w:after="0"/>
        <w:ind w:firstLine="709"/>
        <w:jc w:val="both"/>
      </w:pPr>
      <w:r>
        <w:rPr>
          <w:rFonts w:ascii="Times New Roman" w:hAnsi="Times New Roman" w:cs="Times New Roman" w:eastAsia="Times New Roman"/>
          <w:sz w:val="26"/>
          <w:color w:val="000000"/>
        </w:rPr>
        <w:t xml:space="preserve">In the implemented default configuration, </w:t>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p</w:t>
      </w:r>
      <w:r>
        <w:rPr>
          <w:rFonts w:ascii="Times New Roman" w:hAnsi="Times New Roman" w:cs="Times New Roman" w:eastAsia="Times New Roman"/>
          <w:sz w:val="26"/>
          <w:color w:val="000000"/>
        </w:rPr>
        <w:t xml:space="preserve"> = 120, </w:t>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i</w:t>
      </w:r>
      <w:r>
        <w:rPr>
          <w:rFonts w:ascii="Times New Roman" w:hAnsi="Times New Roman" w:cs="Times New Roman" w:eastAsia="Times New Roman"/>
          <w:sz w:val="26"/>
          <w:color w:val="000000"/>
        </w:rPr>
        <w:t xml:space="preserve"> = 12, and </w:t>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d</w:t>
      </w:r>
      <w:r>
        <w:rPr>
          <w:rFonts w:ascii="Times New Roman" w:hAnsi="Times New Roman" w:cs="Times New Roman" w:eastAsia="Times New Roman"/>
          <w:sz w:val="26"/>
          <w:color w:val="000000"/>
        </w:rPr>
        <w:t xml:space="preserve"> = 0. Therefore, the derivative part is available in the runtime structure but is not active in the tuned default behavior. The proportional term reacts to current error, while the integral term helps reduce steady-state error. The calculated output is limited to the PWM range from 0 to 255, and the normalized duty ratio sent to the actuator path is calculated by formula (4.7).</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 xml:space="preserve">The edge node maintains an active runtime configuration that includes the target temperature, controller gains, control period, and control mode. During operation, this configuration can be changed through the MQTT parameter command path [2], [17].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 xml:space="preserve">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The MQTT client path uses a dedicated Java client library for broker communication [18].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 xml:space="preserve">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 [17], [18].</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TableCaption"/>
        <w:keepNext/>
        <w:spacing w:line="300" w:lineRule="auto" w:before="26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 xml:space="preserve">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[20], [21].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 xml:space="preserve">The HMI layer provides the operator-facing part of the system. It is implemented with a FastAPI backend and a React frontend [8], [9], [22], [23].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 xml:space="preserve">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 [20], [21], [22].</w:t>
      </w:r>
    </w:p>
    <w:p>
      <w:pPr>
        <w:pStyle w:val="BodyText"/>
        <w:spacing w:line="300" w:lineRule="auto" w:before="0" w:after="0"/>
        <w:ind w:firstLine="709"/>
        <w:jc w:val="both"/>
      </w:pPr>
      <w:r>
        <w:rPr>
          <w:rFonts w:ascii="Times New Roman" w:hAnsi="Times New Roman" w:eastAsia="Times New Roman"/>
          <w:color w:val="000000"/>
          <w:sz w:val="26"/>
        </w:rPr>
        <w:t xml:space="preserve">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 [23], [24].</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 xml:space="preserve">The operations console shown in Figure 5.3 is used for Data Hub and ingestion monitoring. This screen is not an operator control screen; it is an engineering view that helps inspect MQTT ingress rate, processing rate, queue depth, and runtime status during development and validation [29].</w:t>
      </w: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 xml:space="preserve">The command-publishing fragment is shown in Figure 5.4. It demonstrates that the HMI backend constructs a structured parameter payload, removes fields that were not changed by the operator, marks the source as HMI, and publishes the result through the device-specific MQTT command path [28].</w:t>
      </w: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 xml:space="preserve">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 [30].</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 [30].</w:t>
      </w: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TableCaption"/>
        <w:keepNext/>
        <w:spacing w:line="300" w:lineRule="auto" w:before="26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color w:val="000000"/>
          <w:sz w:val="26"/>
        </w:rPr>
        <w:t>Closed-loop testing focused on whether the system preserves the engineering meaning of each action. A temperature sample should become a stored telemetry fact, a parameter command should be treated as successful only after device acknowledgement, and a recommendation should be checked by later behavior. In addition to these functional checks, a reproducible simulator-based controller comparison used a first-order thermal model, a 35 °C target, a 24 °C initial temperature, and a 1 s control period.</w:t>
      </w:r>
    </w:p>
    <w:p>
      <w:pPr>
        <w:pStyle w:val="BodyText"/>
        <w:spacing w:line="300" w:lineRule="auto" w:before="0" w:after="0"/>
        <w:ind w:firstLine="709"/>
        <w:jc w:val="both"/>
      </w:pPr>
      <w:r>
        <w:rPr>
          <w:rFonts w:ascii="Times New Roman" w:hAnsi="Times New Roman"/>
          <w:color w:val="000000"/>
          <w:sz w:val="26"/>
        </w:rPr>
        <w:t>The first group of tests verified telemetry continuity. The edge node generated target temperature, process value, control error, controller output, PWM duty, saturation state, and controller parameters; the Data Hub stored these records for later use by the HMI and decision-support mechanism. On the same simulator profile, the proportional V2 controller stabilized at 33.751 °C with a 1.249 °C steady-state absolute error, while the tuned PI V3.1 controller reached 35.000 °C without measured overshoot and settled within the ±0.5 °C band in 19 s.</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TableCaption"/>
        <w:keepNext/>
        <w:spacing w:line="300" w:lineRule="auto" w:before="26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staged controller metrics strengthen this basis by comparing steady-state error, overshoot, settling time, mean absolute error, in-band ratio, and saturation ratio instead of relying only on screenshots or qualitative observation.</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 xml:space="preserve">The service deployment part of the project also supports the engineering result. Local infrastructure is prepared through Docker Compose files for PostgreSQL, TDengine, and Redis [10], [19].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simulator-based controller comparison also provides quantitative evidence: V2 stabilized at 33.751 °C with a 1.249 °C steady-state error, V3 removed final error but overshot by 1.399 °C, and V3.1 reached 35.000 °C without measured overshoot and settled within the ±0.5 °C band in 19 s.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 xml:space="preserve">[1] Astrom K. J. Feedback Systems: An Introduction for Scientists and Engineers / K. J. Astrom, R. M. Murray. – Princeton: Princeton University Press, 2008. – 408 p.</w:t>
      </w:r>
    </w:p>
    <w:p>
      <w:pPr>
        <w:pStyle w:val="ReferencesEntry"/>
        <w:spacing w:line="300" w:lineRule="auto" w:before="0" w:after="0"/>
        <w:ind w:firstLine="0" w:left="0"/>
        <w:jc w:val="left"/>
      </w:pPr>
      <w:r>
        <w:rPr>
          <w:rFonts w:ascii="Times New Roman" w:hAnsi="Times New Roman" w:eastAsia="Times New Roman"/>
          <w:color w:val="000000"/>
          <w:sz w:val="26"/>
        </w:rPr>
        <w:t xml:space="preserve">[2] MQTT Version 5.0 [Electronic resource] / OASIS. – OASIS Standard, 07 March 2019. – Mode of access: https://docs.oasis-open.org/mqtt/mqtt/v5.0/mqtt-v5.0.html.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[3] ESP32-WROOM-32 Datasheet [Electronic resource] / Espressif Systems. – Version 3.6. – Mode of access: https://documentation.espressif.com/esp32-wroom-32_datasheet_en.pdf.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[4] DS18B20 Programmable Resolution 1-Wire Digital Thermometer Data Sheet [Electronic resource] / Analog Devices. – Rev. 6. – Mode of access: https://www.analog.com/en/products/DS18B20.html.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[5] Spring Boot Reference Documentation [Electronic resource] / Spring. – Mode of access: https://docs.spring.io/spring-boot/reference/index.html.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[6] Reactor Reference Guide [Electronic resource] / Project Reactor. – Mode of access: https://projectreactor.io/docs/core/release/reference/.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[7] TDengine Documentation [Electronic resource] / TDengine. – Mode of access: https://docs.tdengine.com/.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[8] FastAPI Documentation [Electronic resource] / FastAPI. – Mode of access: https://fastapi.tiangolo.com/.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[9] React Reference Overview [Electronic resource] / React. – Mode of access: https://react.dev/reference/react.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[10] Docker Compose Documentation [Electronic resource] / Docker. – Mode of access: https://docs.docker.com/compose/.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[11] Wokwi Documentation [Electronic resource] / Wokwi. – Mode of access: https://docs.wokwi.com/.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[12] PostgreSQL Documentation [Electronic resource] / PostgreSQL Global Development Group. – Mode of access: https://www.postgresql.org/docs/.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[13] ISO/IEC/IEEE 29148:2018. Systems and software engineering. Life cycle processes. Requirements engineering. – Geneva: ISO, 2018.</w:t>
      </w:r>
    </w:p>
    <w:p>
      <w:pPr>
        <w:pStyle w:val="ReferencesEntry"/>
        <w:spacing w:line="300" w:lineRule="auto" w:before="0" w:after="0"/>
        <w:ind w:firstLine="0" w:left="0"/>
        <w:jc w:val="left"/>
      </w:pPr>
      <w:r>
        <w:rPr>
          <w:rFonts w:ascii="Times New Roman" w:hAnsi="Times New Roman" w:eastAsia="Times New Roman"/>
          <w:color w:val="000000"/>
          <w:sz w:val="26"/>
        </w:rPr>
        <w:t xml:space="preserve">[14] Astrom K. J. PID Controllers: Theory, Design, and Tuning / K. J. Astrom, T. Hagglund. – 2nd ed. – Research Triangle Park: Instrument Society of America, 1995. – 343 p.</w:t>
      </w:r>
    </w:p>
    <w:p>
      <w:pPr>
        <w:pStyle w:val="ReferencesEntry"/>
        <w:spacing w:line="300" w:lineRule="auto" w:before="0" w:after="0"/>
        <w:ind w:firstLine="0" w:left="0"/>
        <w:jc w:val="left"/>
      </w:pPr>
      <w:r>
        <w:rPr>
          <w:rFonts w:ascii="Times New Roman" w:hAnsi="Times New Roman" w:eastAsia="Times New Roman"/>
          <w:color w:val="000000"/>
          <w:sz w:val="26"/>
        </w:rPr>
        <w:t xml:space="preserve">[15] ESP-IDF Programming Guide for ESP32 [Electronic resource] / Espressif Systems. – Mode of access: https://docs.espressif.com/projects/esp-idf/en/stable/esp32/.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[16] PlatformIO Documentation [Electronic resource] / PlatformIO. – Mode of access: https://docs.platformio.org/.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[17] Eclipse Mosquitto Documentation [Electronic resource] / Eclipse Foundation. – Mode of access: https://mosquitto.org/documentation/.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[18] HiveMQ MQTT Client Documentation [Electronic resource] / HiveMQ. – Mode of access: https://hivemq.github.io/hivemq-mqtt-client/.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[19] Redis Documentation [Electronic resource] / Redis. – Mode of access: https://redis.io/docs/latest/.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[20] SQLAlchemy 2.0 Documentation [Electronic resource] / SQLAlchemy. – Mode of access: https://docs.sqlalchemy.org/en/20/.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[21] Alembic Documentation [Electronic resource] / Alembic. – Mode of access: https://alembic.sqlalchemy.org/.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[22] Pydantic Documentation [Electronic resource] / Pydantic. – Mode of access: https://docs.pydantic.dev/.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[23] Vite Guide [Electronic resource] / Vite. – Mode of access: https://vite.dev/guide/.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[24] Tailwind CSS Documentation [Electronic resource] / Tailwind Labs. – Mode of access: https://tailwindcss.com/docs.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[25] Arduino Documentation [Electronic resource] / Arduino. – Mode of access: https://docs.arduino.cc/.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[26] OneWire Library [Electronic resource] / P. Stoffregen. – Mode of access: https://www.pjrc.com/teensy/td_libs_OneWire.html.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[27] DallasTemperature Library Documentation [Electronic resource] / M. Burton. – Mode of access: https://github.com/milesburton/Arduino-Temperature-Control-Library.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[28] Paho MQTT Python Client Documentation [Electronic resource] / Eclipse Foundation. – Mode of access: https://eclipse.dev/paho/files/paho.mqtt.python/html/.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[29] Micrometer Documentation [Electronic resource] / Micrometer. – Mode of access: https://docs.micrometer.io/micrometer/reference/.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[30] scikit-learn User Guide [Electronic resource] / scikit-learn. – Mode of access: https://scikit-learn.org/stable/user_guide.html. – Date of access: 15.05.2026.</w:t>
      </w:r>
    </w:p>
    <w:sectPr w:rsidR="00E02084" w:rsidRPr="00EC78FC" w:rsidSect="004D3039">
      <w:headerReference w:type="default" r:id="rId28"/>
      <w:footerReference w:type="default" r:id="rId29"/>
      <w:pgSz w:w="11909" w:h="16834" w:code="9"/>
      <w:pgMar w:top="1134" w:right="850" w:bottom="1531" w:left="1701" w:header="709" w:footer="964"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251657728" behindDoc="0" locked="0" layoutInCell="1" allowOverlap="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BSTU</w:t>
                            </w:r>
                            <w:r>
                              <w:rPr>
                                <w:rFonts w:ascii="ISOCPEUR" w:hAnsi="ISOCPEUR" w:eastAsia="ISOCPEUR"/>
                                <w:i/>
                                <w:sz w:val="28"/>
                                <w:szCs w:val="28"/>
                              </w:rPr>
                              <w:t>.</w:t>
                            </w:r>
                            <w:r>
                              <w:rPr>
                                <w:rFonts w:ascii="ISOCPEUR" w:hAnsi="ISOCPEUR" w:eastAsia="ISOCPEUR"/>
                                <w:i/>
                                <w:sz w:val="28"/>
                                <w:szCs w:val="28"/>
                              </w:rPr>
                              <w:t>YOUR_NUMBER</w:t>
                            </w:r>
                            <w:r>
                              <w:rPr>
                                <w:rFonts w:ascii="ISOCPEUR" w:hAnsi="ISOCPEUR" w:eastAsia="ISOCPEUR"/>
                                <w:i/>
                                <w:sz w:val="28"/>
                                <w:szCs w:val="28"/>
                              </w:rPr>
                              <w:t>- 12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