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主体管理企查查同步与工商变更保护 PRD</w:t>
      </w:r>
    </w:p>
    <w:p>
      <w:pPr>
        <w:jc w:val="center"/>
      </w:pPr>
      <w:r>
        <w:t>版本：V1.0    日期：2026-05-20    适用系统：基础配置系统 / 主体管理</w:t>
      </w:r>
    </w:p>
    <w:p>
      <w:pPr>
        <w:jc w:val="center"/>
      </w:pPr>
      <w:r>
        <w:t>在线原型：https://wanggeng826-bot.github.io/erp-product-manager-workflow/prototype/principal-management/</w:t>
      </w:r>
    </w:p>
    <w:p>
      <w:pPr>
        <w:pStyle w:val="Heading1"/>
      </w:pPr>
      <w:r>
        <w:t>1. 背景</w:t>
      </w:r>
    </w:p>
    <w:p>
      <w:r>
        <w:t>现有主体管理已支持主体基础信息的新增、编辑、删除、启停、关联店铺查看和操作日志。当前主体数据主要依赖 ERP 内部人工维护，存在工商信息滞后、漏改、与外部工商权威信息不一致的问题。</w:t>
      </w:r>
    </w:p>
    <w:p>
      <w:r>
        <w:t>本次需求引入企查查企业工商详情接口，将企查查作为主体工商信息的权威来源，支持大陆企业、香港企业的工商信息同步，并预留海外企业支持能力。个人主体不调用企查查。</w:t>
      </w:r>
    </w:p>
    <w:p>
      <w:r>
        <w:t>同时需要处理一个关键业务场景：账号管理部可能已向工商局提交主体变更资料，并在 ERP 内先行维护了目标信息，但企查查仍返回变更前数据。此时不能简单用企查查旧数据覆盖 ERP 内部正在办理中的目标值，因此需要引入“工商变更办理中保护”机制。</w:t>
      </w:r>
    </w:p>
    <w:p>
      <w:pPr>
        <w:pStyle w:val="Heading1"/>
      </w:pPr>
      <w:r>
        <w:t>2. 目标</w:t>
      </w:r>
    </w:p>
    <w:p>
      <w:pPr>
        <w:pStyle w:val="ListNumber"/>
      </w:pPr>
      <w:r>
        <w:t>建立主体与企查查企业数据的匹配关系，保存企查查唯一识别码 QccCode。</w:t>
      </w:r>
    </w:p>
    <w:p>
      <w:pPr>
        <w:pStyle w:val="ListNumber"/>
      </w:pPr>
      <w:r>
        <w:t>对大陆企业、香港企业进行企查查工商信息同步。</w:t>
      </w:r>
    </w:p>
    <w:p>
      <w:pPr>
        <w:pStyle w:val="ListNumber"/>
      </w:pPr>
      <w:r>
        <w:t>默认以企查查返回数据自动覆盖 ERP 工商字段，减少人工维护滞后。</w:t>
      </w:r>
    </w:p>
    <w:p>
      <w:pPr>
        <w:pStyle w:val="ListNumber"/>
      </w:pPr>
      <w:r>
        <w:t>支持“工商变更办理中”保护，用户可录入保护截止日期，并可再次编辑。</w:t>
      </w:r>
    </w:p>
    <w:p>
      <w:pPr>
        <w:pStyle w:val="ListNumber"/>
      </w:pPr>
      <w:r>
        <w:t>超过保护截止日期后进行提醒，支持继续延长、撤回或标记失败。</w:t>
      </w:r>
    </w:p>
    <w:p>
      <w:pPr>
        <w:pStyle w:val="ListNumber"/>
      </w:pPr>
      <w:r>
        <w:t>完整记录同步日志、字段覆盖日志、跳过覆盖原因、保护编辑日志。</w:t>
      </w:r>
    </w:p>
    <w:p>
      <w:pPr>
        <w:pStyle w:val="Heading1"/>
      </w:pPr>
      <w:r>
        <w:t>3. 范围</w:t>
      </w:r>
    </w:p>
    <w:p>
      <w:pPr>
        <w:pStyle w:val="Heading2"/>
      </w:pPr>
      <w:r>
        <w:t>3.1 本期范围</w:t>
      </w:r>
    </w:p>
    <w:p>
      <w:pPr>
        <w:pStyle w:val="ListBullet"/>
      </w:pPr>
      <w:r>
        <w:t>主体列表增加企查查匹配状态、工商同步状态、保护截止日期、最后同步时间。</w:t>
      </w:r>
    </w:p>
    <w:p>
      <w:pPr>
        <w:pStyle w:val="ListBullet"/>
      </w:pPr>
      <w:r>
        <w:t>主体类型支持：大陆企业、香港企业、海外企业、个人。</w:t>
      </w:r>
    </w:p>
    <w:p>
      <w:pPr>
        <w:pStyle w:val="ListBullet"/>
      </w:pPr>
      <w:r>
        <w:t>大陆企业、香港企业支持企查查匹配和同步。</w:t>
      </w:r>
    </w:p>
    <w:p>
      <w:pPr>
        <w:pStyle w:val="ListBullet"/>
      </w:pPr>
      <w:r>
        <w:t>个人主体标记为不适用，不调用企查查。</w:t>
      </w:r>
    </w:p>
    <w:p>
      <w:pPr>
        <w:pStyle w:val="ListBullet"/>
      </w:pPr>
      <w:r>
        <w:t>海外企业先保留“待确认支持”状态，待接口覆盖范围确认后再启用同步。</w:t>
      </w:r>
    </w:p>
    <w:p>
      <w:pPr>
        <w:pStyle w:val="ListBullet"/>
      </w:pPr>
      <w:r>
        <w:t>主体详情增加工商信息、工商变更记录、同步日志、关联店铺。</w:t>
      </w:r>
    </w:p>
    <w:p>
      <w:pPr>
        <w:pStyle w:val="ListBullet"/>
      </w:pPr>
      <w:r>
        <w:t>支持工商变更办理中保护设置、保护超期提醒和再次编辑。</w:t>
      </w:r>
    </w:p>
    <w:p>
      <w:pPr>
        <w:pStyle w:val="Heading2"/>
      </w:pPr>
      <w:r>
        <w:t>3.2 非本期范围</w:t>
      </w:r>
    </w:p>
    <w:p>
      <w:pPr>
        <w:pStyle w:val="ListBullet"/>
      </w:pPr>
      <w:r>
        <w:t>不处理个人主体的外部实名或证照核验。</w:t>
      </w:r>
    </w:p>
    <w:p>
      <w:pPr>
        <w:pStyle w:val="ListBullet"/>
      </w:pPr>
      <w:r>
        <w:t>不接入其他国家工商数据库。</w:t>
      </w:r>
    </w:p>
    <w:p>
      <w:pPr>
        <w:pStyle w:val="ListBullet"/>
      </w:pPr>
      <w:r>
        <w:t>不自动发起工商局变更办理流程。</w:t>
      </w:r>
    </w:p>
    <w:p>
      <w:pPr>
        <w:pStyle w:val="ListBullet"/>
      </w:pPr>
      <w:r>
        <w:t>不替代账号管理部线下审核和材料流转。</w:t>
      </w:r>
    </w:p>
    <w:p>
      <w:pPr>
        <w:pStyle w:val="Heading1"/>
      </w:pPr>
      <w:r>
        <w:t>4.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角色</w:t>
            </w:r>
          </w:p>
        </w:tc>
        <w:tc>
          <w:tcPr>
            <w:tcW w:type="dxa" w:w="4320"/>
            <w:vAlign w:val="center"/>
          </w:tcPr>
          <w:p>
            <w:r>
              <w:t>权限</w:t>
            </w:r>
          </w:p>
        </w:tc>
      </w:tr>
      <w:tr>
        <w:tc>
          <w:tcPr>
            <w:tcW w:type="dxa" w:w="4320"/>
            <w:vAlign w:val="center"/>
          </w:tcPr>
          <w:p>
            <w:r>
              <w:t>账号管理部</w:t>
            </w:r>
          </w:p>
        </w:tc>
        <w:tc>
          <w:tcPr>
            <w:tcW w:type="dxa" w:w="4320"/>
            <w:vAlign w:val="center"/>
          </w:tcPr>
          <w:p>
            <w:r>
              <w:t>维护主体信息、提交工商变更保护、编辑保护截止日期、处理超期</w:t>
            </w:r>
          </w:p>
        </w:tc>
      </w:tr>
      <w:tr>
        <w:tc>
          <w:tcPr>
            <w:tcW w:type="dxa" w:w="4320"/>
            <w:vAlign w:val="center"/>
          </w:tcPr>
          <w:p>
            <w:r>
              <w:t>财务/运营</w:t>
            </w:r>
          </w:p>
        </w:tc>
        <w:tc>
          <w:tcPr>
            <w:tcW w:type="dxa" w:w="4320"/>
            <w:vAlign w:val="center"/>
          </w:tcPr>
          <w:p>
            <w:r>
              <w:t>查看主体工商信息、查看关联店铺、查看同步结果</w:t>
            </w:r>
          </w:p>
        </w:tc>
      </w:tr>
      <w:tr>
        <w:tc>
          <w:tcPr>
            <w:tcW w:type="dxa" w:w="4320"/>
            <w:vAlign w:val="center"/>
          </w:tcPr>
          <w:p>
            <w:r>
              <w:t>系统管理员</w:t>
            </w:r>
          </w:p>
        </w:tc>
        <w:tc>
          <w:tcPr>
            <w:tcW w:type="dxa" w:w="4320"/>
            <w:vAlign w:val="center"/>
          </w:tcPr>
          <w:p>
            <w:r>
              <w:t>配置同步策略、手动触发同步、查看全部日志</w:t>
            </w:r>
          </w:p>
        </w:tc>
      </w:tr>
      <w:tr>
        <w:tc>
          <w:tcPr>
            <w:tcW w:type="dxa" w:w="4320"/>
            <w:vAlign w:val="center"/>
          </w:tcPr>
          <w:p>
            <w:r>
              <w:t>系统任务</w:t>
            </w:r>
          </w:p>
        </w:tc>
        <w:tc>
          <w:tcPr>
            <w:tcW w:type="dxa" w:w="4320"/>
            <w:vAlign w:val="center"/>
          </w:tcPr>
          <w:p>
            <w:r>
              <w:t>定时调用企查查接口并执行自动覆盖或跳过覆盖</w:t>
            </w:r>
          </w:p>
        </w:tc>
      </w:tr>
    </w:tbl>
    <w:p/>
    <w:p>
      <w:pPr>
        <w:pStyle w:val="Heading1"/>
      </w:pPr>
      <w:r>
        <w:t>5. 核心规则</w:t>
      </w:r>
    </w:p>
    <w:p>
      <w:pPr>
        <w:pStyle w:val="Heading2"/>
      </w:pPr>
      <w:r>
        <w:t>5.1 主体类型与调用规则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t>主体类型</w:t>
            </w:r>
          </w:p>
        </w:tc>
        <w:tc>
          <w:tcPr>
            <w:tcW w:type="dxa" w:w="2880"/>
            <w:vAlign w:val="center"/>
          </w:tcPr>
          <w:p>
            <w:r>
              <w:t>是否调用企查查</w:t>
            </w:r>
          </w:p>
        </w:tc>
        <w:tc>
          <w:tcPr>
            <w:tcW w:type="dxa" w:w="2880"/>
            <w:vAlign w:val="center"/>
          </w:tcPr>
          <w:p>
            <w: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r>
              <w:t>大陆企业</w:t>
            </w:r>
          </w:p>
        </w:tc>
        <w:tc>
          <w:tcPr>
            <w:tcW w:type="dxa" w:w="2880"/>
            <w:vAlign w:val="center"/>
          </w:tcPr>
          <w:p>
            <w:r>
              <w:t>是</w:t>
            </w:r>
          </w:p>
        </w:tc>
        <w:tc>
          <w:tcPr>
            <w:tcW w:type="dxa" w:w="2880"/>
            <w:vAlign w:val="center"/>
          </w:tcPr>
          <w:p>
            <w:r>
              <w:t>使用统一社会信用代码、企业名称或 QccCode 查询</w:t>
            </w:r>
          </w:p>
        </w:tc>
      </w:tr>
      <w:tr>
        <w:tc>
          <w:tcPr>
            <w:tcW w:type="dxa" w:w="2880"/>
            <w:vAlign w:val="center"/>
          </w:tcPr>
          <w:p>
            <w:r>
              <w:t>香港企业</w:t>
            </w:r>
          </w:p>
        </w:tc>
        <w:tc>
          <w:tcPr>
            <w:tcW w:type="dxa" w:w="2880"/>
            <w:vAlign w:val="center"/>
          </w:tcPr>
          <w:p>
            <w:r>
              <w:t>是</w:t>
            </w:r>
          </w:p>
        </w:tc>
        <w:tc>
          <w:tcPr>
            <w:tcW w:type="dxa" w:w="2880"/>
            <w:vAlign w:val="center"/>
          </w:tcPr>
          <w:p>
            <w:r>
              <w:t>使用企业名称、企业编号、商业登记号码或 QccCode 查询</w:t>
            </w:r>
          </w:p>
        </w:tc>
      </w:tr>
      <w:tr>
        <w:tc>
          <w:tcPr>
            <w:tcW w:type="dxa" w:w="2880"/>
            <w:vAlign w:val="center"/>
          </w:tcPr>
          <w:p>
            <w:r>
              <w:t>海外企业</w:t>
            </w:r>
          </w:p>
        </w:tc>
        <w:tc>
          <w:tcPr>
            <w:tcW w:type="dxa" w:w="2880"/>
            <w:vAlign w:val="center"/>
          </w:tcPr>
          <w:p>
            <w:r>
              <w:t>待确认</w:t>
            </w:r>
          </w:p>
        </w:tc>
        <w:tc>
          <w:tcPr>
            <w:tcW w:type="dxa" w:w="2880"/>
            <w:vAlign w:val="center"/>
          </w:tcPr>
          <w:p>
            <w:r>
              <w:t>先保留状态，不默认调用</w:t>
            </w:r>
          </w:p>
        </w:tc>
      </w:tr>
      <w:tr>
        <w:tc>
          <w:tcPr>
            <w:tcW w:type="dxa" w:w="2880"/>
            <w:vAlign w:val="center"/>
          </w:tcPr>
          <w:p>
            <w:r>
              <w:t>个人</w:t>
            </w:r>
          </w:p>
        </w:tc>
        <w:tc>
          <w:tcPr>
            <w:tcW w:type="dxa" w:w="2880"/>
            <w:vAlign w:val="center"/>
          </w:tcPr>
          <w:p>
            <w:r>
              <w:t>否</w:t>
            </w:r>
          </w:p>
        </w:tc>
        <w:tc>
          <w:tcPr>
            <w:tcW w:type="dxa" w:w="2880"/>
            <w:vAlign w:val="center"/>
          </w:tcPr>
          <w:p>
            <w:r>
              <w:t>标记为不适用，不调用企查查</w:t>
            </w:r>
          </w:p>
        </w:tc>
      </w:tr>
    </w:tbl>
    <w:p/>
    <w:p>
      <w:pPr>
        <w:pStyle w:val="Heading2"/>
      </w:pPr>
      <w:r>
        <w:t>5.2 字段命名</w:t>
      </w:r>
    </w:p>
    <w:p>
      <w:r>
        <w:t>原“统一社会信用代码”字段调整为“注册/信用代码”。大陆企业展示统一社会信用代码；香港企业展示商业登记号码，必要时展示企业编号；个人可为空或不适用。</w:t>
      </w:r>
    </w:p>
    <w:p>
      <w:pPr>
        <w:pStyle w:val="Heading2"/>
      </w:pPr>
      <w:r>
        <w:t>5.3 权威数据规则</w:t>
      </w:r>
    </w:p>
    <w:p>
      <w:r>
        <w:t>企查查数据是工商信息权威来源。默认情况下，企查查同步成功后，系统自动覆盖 ERP 中的工商字段。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t>类型</w:t>
            </w:r>
          </w:p>
        </w:tc>
        <w:tc>
          <w:tcPr>
            <w:tcW w:type="dxa" w:w="2880"/>
            <w:vAlign w:val="center"/>
          </w:tcPr>
          <w:p>
            <w:r>
              <w:t>字段示例</w:t>
            </w:r>
          </w:p>
        </w:tc>
        <w:tc>
          <w:tcPr>
            <w:tcW w:type="dxa" w:w="2880"/>
            <w:vAlign w:val="center"/>
          </w:tcPr>
          <w:p>
            <w:r>
              <w:t>是否被企查查覆盖</w:t>
            </w:r>
          </w:p>
        </w:tc>
      </w:tr>
      <w:tr>
        <w:tc>
          <w:tcPr>
            <w:tcW w:type="dxa" w:w="2880"/>
            <w:vAlign w:val="center"/>
          </w:tcPr>
          <w:p>
            <w:r>
              <w:t>工商权威字段</w:t>
            </w:r>
          </w:p>
        </w:tc>
        <w:tc>
          <w:tcPr>
            <w:tcW w:type="dxa" w:w="2880"/>
            <w:vAlign w:val="center"/>
          </w:tcPr>
          <w:p>
            <w:r>
              <w:t>企业名称、法定代表人、注册/信用代码、登记状态、注册地址、经营范围、注册资本、成立日期、登记机关、核准日期、企业类型、QccCode</w:t>
            </w:r>
          </w:p>
        </w:tc>
        <w:tc>
          <w:tcPr>
            <w:tcW w:type="dxa" w:w="2880"/>
            <w:vAlign w:val="center"/>
          </w:tcPr>
          <w:p>
            <w:r>
              <w:t>是</w:t>
            </w:r>
          </w:p>
        </w:tc>
      </w:tr>
      <w:tr>
        <w:tc>
          <w:tcPr>
            <w:tcW w:type="dxa" w:w="2880"/>
            <w:vAlign w:val="center"/>
          </w:tcPr>
          <w:p>
            <w:r>
              <w:t>ERP 管理字段</w:t>
            </w:r>
          </w:p>
        </w:tc>
        <w:tc>
          <w:tcPr>
            <w:tcW w:type="dxa" w:w="2880"/>
            <w:vAlign w:val="center"/>
          </w:tcPr>
          <w:p>
            <w:r>
              <w:t>主体启停状态、备注、关联店铺、创建人、更新人、保护状态、保护截止日期</w:t>
            </w:r>
          </w:p>
        </w:tc>
        <w:tc>
          <w:tcPr>
            <w:tcW w:type="dxa" w:w="2880"/>
            <w:vAlign w:val="center"/>
          </w:tcPr>
          <w:p>
            <w:r>
              <w:t>否</w:t>
            </w:r>
          </w:p>
        </w:tc>
      </w:tr>
    </w:tbl>
    <w:p/>
    <w:p>
      <w:pPr>
        <w:pStyle w:val="Heading2"/>
      </w:pPr>
      <w:r>
        <w:t>5.4 工商变更办理中保护</w:t>
      </w:r>
    </w:p>
    <w:p>
      <w:r>
        <w:t>当用户在 ERP 内手动修改工商敏感字段，并选择“工商变更办理中”原因时，系统创建保护记录。</w:t>
      </w:r>
    </w:p>
    <w:p>
      <w:pPr>
        <w:pStyle w:val="ListBullet"/>
      </w:pPr>
      <w:r>
        <w:t>变更原因</w:t>
      </w:r>
    </w:p>
    <w:p>
      <w:pPr>
        <w:pStyle w:val="ListBullet"/>
      </w:pPr>
      <w:r>
        <w:t>工商提交日期</w:t>
      </w:r>
    </w:p>
    <w:p>
      <w:pPr>
        <w:pStyle w:val="ListBullet"/>
      </w:pPr>
      <w:r>
        <w:t>预计完成日期 / 保护截止日期</w:t>
      </w:r>
    </w:p>
    <w:p>
      <w:pPr>
        <w:pStyle w:val="ListBullet"/>
      </w:pPr>
      <w:r>
        <w:t>保护字段</w:t>
      </w:r>
    </w:p>
    <w:p>
      <w:pPr>
        <w:pStyle w:val="ListBullet"/>
      </w:pPr>
      <w:r>
        <w:t>办理状态</w:t>
      </w:r>
    </w:p>
    <w:p>
      <w:pPr>
        <w:pStyle w:val="ListBullet"/>
      </w:pPr>
      <w:r>
        <w:t>备注，选填</w:t>
      </w:r>
    </w:p>
    <w:p>
      <w:pPr>
        <w:pStyle w:val="ListBullet"/>
      </w:pPr>
      <w:r>
        <w:t>证明材料，选填</w:t>
      </w:r>
    </w:p>
    <w:p>
      <w:r>
        <w:t>保护期内，企查查同步仍正常调用，系统保存企查查原始快照。非保护字段正常自动覆盖；命中保护字段时不覆盖 ERP 当前值，并记录“因工商变更保护跳过覆盖”。</w:t>
      </w:r>
    </w:p>
    <w:p>
      <w:pPr>
        <w:pStyle w:val="Heading2"/>
      </w:pPr>
      <w:r>
        <w:t>5.5 自动解除保护</w:t>
      </w:r>
    </w:p>
    <w:p>
      <w:pPr>
        <w:pStyle w:val="ListNumber"/>
      </w:pPr>
      <w:r>
        <w:t>当企查查返回值与 ERP 当前目标值一致时，对应字段自动标记为已完成。</w:t>
      </w:r>
    </w:p>
    <w:p>
      <w:pPr>
        <w:pStyle w:val="ListNumber"/>
      </w:pPr>
      <w:r>
        <w:t>所有保护字段均一致后，保护记录自动变为已完成。</w:t>
      </w:r>
    </w:p>
    <w:p>
      <w:pPr>
        <w:pStyle w:val="ListNumber"/>
      </w:pPr>
      <w:r>
        <w:t>主体工商同步状态恢复为正常。</w:t>
      </w:r>
    </w:p>
    <w:p>
      <w:pPr>
        <w:pStyle w:val="ListNumber"/>
      </w:pPr>
      <w:r>
        <w:t>记录自动解除保护日志。</w:t>
      </w:r>
    </w:p>
    <w:p>
      <w:pPr>
        <w:pStyle w:val="Heading2"/>
      </w:pPr>
      <w:r>
        <w:t>5.6 保护超期</w:t>
      </w:r>
    </w:p>
    <w:p>
      <w:r>
        <w:t>当当前日期超过保护截止日期，且企查查返回值仍未与 ERP 当前目标值一致时，主体工商同步状态变为“保护已超期”。默认继续保护字段，不自动覆盖。</w:t>
      </w:r>
    </w:p>
    <w:p>
      <w:pPr>
        <w:pStyle w:val="ListBullet"/>
      </w:pPr>
      <w:r>
        <w:t>延长保护截止日期</w:t>
      </w:r>
    </w:p>
    <w:p>
      <w:pPr>
        <w:pStyle w:val="ListBullet"/>
      </w:pPr>
      <w:r>
        <w:t>标记工商变更审核失败</w:t>
      </w:r>
    </w:p>
    <w:p>
      <w:pPr>
        <w:pStyle w:val="ListBullet"/>
      </w:pPr>
      <w:r>
        <w:t>标记已撤回</w:t>
      </w:r>
    </w:p>
    <w:p>
      <w:pPr>
        <w:pStyle w:val="ListBullet"/>
      </w:pPr>
      <w:r>
        <w:t>撤回 ERP 修改并按企查查数据覆盖</w:t>
      </w:r>
    </w:p>
    <w:p>
      <w:pPr>
        <w:pStyle w:val="Heading1"/>
      </w:pPr>
      <w:r>
        <w:t>6. 页面设计</w:t>
      </w:r>
    </w:p>
    <w:p>
      <w:pPr>
        <w:pStyle w:val="Heading2"/>
      </w:pPr>
      <w:r>
        <w:t>6.1 主体列表</w:t>
      </w:r>
    </w:p>
    <w:p>
      <w:r>
        <w:t>新增筛选项：主体类型、企查查状态、工商同步状态。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字段</w:t>
            </w:r>
          </w:p>
        </w:tc>
        <w:tc>
          <w:tcPr>
            <w:tcW w:type="dxa" w:w="4320"/>
            <w:vAlign w:val="center"/>
          </w:tcPr>
          <w:p>
            <w: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r>
              <w:t>主体类型</w:t>
            </w:r>
          </w:p>
        </w:tc>
        <w:tc>
          <w:tcPr>
            <w:tcW w:type="dxa" w:w="4320"/>
            <w:vAlign w:val="center"/>
          </w:tcPr>
          <w:p>
            <w:r>
              <w:t>大陆企业、香港企业、海外企业、个人</w:t>
            </w:r>
          </w:p>
        </w:tc>
      </w:tr>
      <w:tr>
        <w:tc>
          <w:tcPr>
            <w:tcW w:type="dxa" w:w="4320"/>
            <w:vAlign w:val="center"/>
          </w:tcPr>
          <w:p>
            <w:r>
              <w:t>企查查状态</w:t>
            </w:r>
          </w:p>
        </w:tc>
        <w:tc>
          <w:tcPr>
            <w:tcW w:type="dxa" w:w="4320"/>
            <w:vAlign w:val="center"/>
          </w:tcPr>
          <w:p>
            <w:r>
              <w:t>未匹配、已匹配、匹配失败、不适用、待确认支持</w:t>
            </w:r>
          </w:p>
        </w:tc>
      </w:tr>
      <w:tr>
        <w:tc>
          <w:tcPr>
            <w:tcW w:type="dxa" w:w="4320"/>
            <w:vAlign w:val="center"/>
          </w:tcPr>
          <w:p>
            <w:r>
              <w:t>工商同步状态</w:t>
            </w:r>
          </w:p>
        </w:tc>
        <w:tc>
          <w:tcPr>
            <w:tcW w:type="dxa" w:w="4320"/>
            <w:vAlign w:val="center"/>
          </w:tcPr>
          <w:p>
            <w:r>
              <w:t>正常、工商变更办理中、保护已超期、同步失败、不调用</w:t>
            </w:r>
          </w:p>
        </w:tc>
      </w:tr>
      <w:tr>
        <w:tc>
          <w:tcPr>
            <w:tcW w:type="dxa" w:w="4320"/>
            <w:vAlign w:val="center"/>
          </w:tcPr>
          <w:p>
            <w:r>
              <w:t>保护截止</w:t>
            </w:r>
          </w:p>
        </w:tc>
        <w:tc>
          <w:tcPr>
            <w:tcW w:type="dxa" w:w="4320"/>
            <w:vAlign w:val="center"/>
          </w:tcPr>
          <w:p>
            <w:r>
              <w:t>存在保护记录时展示截止日期</w:t>
            </w:r>
          </w:p>
        </w:tc>
      </w:tr>
      <w:tr>
        <w:tc>
          <w:tcPr>
            <w:tcW w:type="dxa" w:w="4320"/>
            <w:vAlign w:val="center"/>
          </w:tcPr>
          <w:p>
            <w:r>
              <w:t>最后同步</w:t>
            </w:r>
          </w:p>
        </w:tc>
        <w:tc>
          <w:tcPr>
            <w:tcW w:type="dxa" w:w="4320"/>
            <w:vAlign w:val="center"/>
          </w:tcPr>
          <w:p>
            <w:r>
              <w:t>最近一次企查查同步时间</w:t>
            </w:r>
          </w:p>
        </w:tc>
      </w:tr>
    </w:tbl>
    <w:p/>
    <w:p>
      <w:r>
        <w:t>操作包含：工商详情、同步、编辑保护、日志、关联店铺。</w:t>
      </w:r>
    </w:p>
    <w:p>
      <w:pPr>
        <w:pStyle w:val="Heading2"/>
      </w:pPr>
      <w:r>
        <w:t>6.2 工商详情抽屉</w:t>
      </w:r>
    </w:p>
    <w:p>
      <w:r>
        <w:t>Tab 包含：工商信息、工商变更、同步日志、关联店铺。工商信息展示企业名称、QccCode、统一社会信用代码 / 商业登记号码、企业编号、法定代表人、登记状态、注册资本、成立日期、核准日期、登记机关、注册地址、经营范围。</w:t>
      </w:r>
    </w:p>
    <w:p>
      <w:pPr>
        <w:pStyle w:val="Heading2"/>
      </w:pPr>
      <w:r>
        <w:t>6.3 工商变更保护弹窗</w:t>
      </w:r>
    </w:p>
    <w:p>
      <w:r>
        <w:t>字段包含：变更原因、工商提交日期、预计完成日期 / 保护截止日期、保护字段、办理状态、证明材料、备注。支持再次编辑预计完成日期、补充证明材料、修改办理状态，每次编辑均记录日志。</w:t>
      </w:r>
    </w:p>
    <w:p>
      <w:pPr>
        <w:pStyle w:val="Heading2"/>
      </w:pPr>
      <w:r>
        <w:t>6.4 同步日志</w:t>
      </w:r>
    </w:p>
    <w:p>
      <w:r>
        <w:t>字段包含：同步时间、触发方式、查询参数、匹配企业、字段名、覆盖前、企查查返回值 / 覆盖后、处理结果、跳过原因、操作人。</w:t>
      </w:r>
    </w:p>
    <w:p>
      <w:pPr>
        <w:pStyle w:val="Heading1"/>
      </w:pPr>
      <w:r>
        <w:t>7. 企查查接口</w:t>
      </w:r>
    </w:p>
    <w:p>
      <w:r>
        <w:t>接口文档：https://openapi.qcc.com/dataApi/735</w:t>
      </w:r>
    </w:p>
    <w:p>
      <w:pPr>
        <w:pStyle w:val="ListBullet"/>
      </w:pPr>
      <w:r>
        <w:t>searchKey 支持企业名称、统一社会信用代码、注册号或 QccCode。</w:t>
      </w:r>
    </w:p>
    <w:p>
      <w:pPr>
        <w:pStyle w:val="ListBullet"/>
      </w:pPr>
      <w:r>
        <w:t>QccCode 是全球各类商业实体唯一识别码。</w:t>
      </w:r>
    </w:p>
    <w:p>
      <w:pPr>
        <w:pStyle w:val="ListBullet"/>
      </w:pPr>
      <w:r>
        <w:t>香港企业返回 No 作为企业编号。</w:t>
      </w:r>
    </w:p>
    <w:p>
      <w:pPr>
        <w:pStyle w:val="ListBullet"/>
      </w:pPr>
      <w:r>
        <w:t>香港企业返回 CreditCode 作为商业登记号码。</w:t>
      </w:r>
    </w:p>
    <w:p>
      <w:pPr>
        <w:pStyle w:val="ListBullet"/>
      </w:pPr>
      <w:r>
        <w:t>ChangeRecords 返回工商变更记录。</w:t>
      </w:r>
    </w:p>
    <w:p>
      <w:pPr>
        <w:pStyle w:val="Heading1"/>
      </w:pPr>
      <w:r>
        <w:t>8. 数据字段</w:t>
      </w:r>
    </w:p>
    <w:p>
      <w:pPr>
        <w:pStyle w:val="Heading2"/>
      </w:pPr>
      <w:r>
        <w:t>8.1 主体主表新增字段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字段</w:t>
            </w:r>
          </w:p>
        </w:tc>
        <w:tc>
          <w:tcPr>
            <w:tcW w:type="dxa" w:w="4320"/>
            <w:vAlign w:val="center"/>
          </w:tcPr>
          <w:p>
            <w: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r>
              <w:t>principalType</w:t>
            </w:r>
          </w:p>
        </w:tc>
        <w:tc>
          <w:tcPr>
            <w:tcW w:type="dxa" w:w="4320"/>
            <w:vAlign w:val="center"/>
          </w:tcPr>
          <w:p>
            <w:r>
              <w:t>主体类型</w:t>
            </w:r>
          </w:p>
        </w:tc>
      </w:tr>
      <w:tr>
        <w:tc>
          <w:tcPr>
            <w:tcW w:type="dxa" w:w="4320"/>
            <w:vAlign w:val="center"/>
          </w:tcPr>
          <w:p>
            <w:r>
              <w:t>qccCode</w:t>
            </w:r>
          </w:p>
        </w:tc>
        <w:tc>
          <w:tcPr>
            <w:tcW w:type="dxa" w:w="4320"/>
            <w:vAlign w:val="center"/>
          </w:tcPr>
          <w:p>
            <w:r>
              <w:t>企查查唯一识别码</w:t>
            </w:r>
          </w:p>
        </w:tc>
      </w:tr>
      <w:tr>
        <w:tc>
          <w:tcPr>
            <w:tcW w:type="dxa" w:w="4320"/>
            <w:vAlign w:val="center"/>
          </w:tcPr>
          <w:p>
            <w:r>
              <w:t>qccMatchStatus</w:t>
            </w:r>
          </w:p>
        </w:tc>
        <w:tc>
          <w:tcPr>
            <w:tcW w:type="dxa" w:w="4320"/>
            <w:vAlign w:val="center"/>
          </w:tcPr>
          <w:p>
            <w:r>
              <w:t>企查查匹配状态</w:t>
            </w:r>
          </w:p>
        </w:tc>
      </w:tr>
      <w:tr>
        <w:tc>
          <w:tcPr>
            <w:tcW w:type="dxa" w:w="4320"/>
            <w:vAlign w:val="center"/>
          </w:tcPr>
          <w:p>
            <w:r>
              <w:t>qccSyncStatus</w:t>
            </w:r>
          </w:p>
        </w:tc>
        <w:tc>
          <w:tcPr>
            <w:tcW w:type="dxa" w:w="4320"/>
            <w:vAlign w:val="center"/>
          </w:tcPr>
          <w:p>
            <w:r>
              <w:t>工商同步状态</w:t>
            </w:r>
          </w:p>
        </w:tc>
      </w:tr>
      <w:tr>
        <w:tc>
          <w:tcPr>
            <w:tcW w:type="dxa" w:w="4320"/>
            <w:vAlign w:val="center"/>
          </w:tcPr>
          <w:p>
            <w:r>
              <w:t>lastQccSyncTime</w:t>
            </w:r>
          </w:p>
        </w:tc>
        <w:tc>
          <w:tcPr>
            <w:tcW w:type="dxa" w:w="4320"/>
            <w:vAlign w:val="center"/>
          </w:tcPr>
          <w:p>
            <w:r>
              <w:t>最近同步时间</w:t>
            </w:r>
          </w:p>
        </w:tc>
      </w:tr>
      <w:tr>
        <w:tc>
          <w:tcPr>
            <w:tcW w:type="dxa" w:w="4320"/>
            <w:vAlign w:val="center"/>
          </w:tcPr>
          <w:p>
            <w:r>
              <w:t>protectionStatus</w:t>
            </w:r>
          </w:p>
        </w:tc>
        <w:tc>
          <w:tcPr>
            <w:tcW w:type="dxa" w:w="4320"/>
            <w:vAlign w:val="center"/>
          </w:tcPr>
          <w:p>
            <w:r>
              <w:t>保护状态</w:t>
            </w:r>
          </w:p>
        </w:tc>
      </w:tr>
      <w:tr>
        <w:tc>
          <w:tcPr>
            <w:tcW w:type="dxa" w:w="4320"/>
            <w:vAlign w:val="center"/>
          </w:tcPr>
          <w:p>
            <w:r>
              <w:t>protectionDeadline</w:t>
            </w:r>
          </w:p>
        </w:tc>
        <w:tc>
          <w:tcPr>
            <w:tcW w:type="dxa" w:w="4320"/>
            <w:vAlign w:val="center"/>
          </w:tcPr>
          <w:p>
            <w:r>
              <w:t>保护截止日期</w:t>
            </w:r>
          </w:p>
        </w:tc>
      </w:tr>
    </w:tbl>
    <w:p/>
    <w:p>
      <w:pPr>
        <w:pStyle w:val="Heading2"/>
      </w:pPr>
      <w:r>
        <w:t>8.2 同步快照表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字段</w:t>
            </w:r>
          </w:p>
        </w:tc>
        <w:tc>
          <w:tcPr>
            <w:tcW w:type="dxa" w:w="4320"/>
            <w:vAlign w:val="center"/>
          </w:tcPr>
          <w:p>
            <w: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r>
              <w:t>principalId</w:t>
            </w:r>
          </w:p>
        </w:tc>
        <w:tc>
          <w:tcPr>
            <w:tcW w:type="dxa" w:w="4320"/>
            <w:vAlign w:val="center"/>
          </w:tcPr>
          <w:p>
            <w:r>
              <w:t>主体 ID</w:t>
            </w:r>
          </w:p>
        </w:tc>
      </w:tr>
      <w:tr>
        <w:tc>
          <w:tcPr>
            <w:tcW w:type="dxa" w:w="4320"/>
            <w:vAlign w:val="center"/>
          </w:tcPr>
          <w:p>
            <w:r>
              <w:t>qccCode</w:t>
            </w:r>
          </w:p>
        </w:tc>
        <w:tc>
          <w:tcPr>
            <w:tcW w:type="dxa" w:w="4320"/>
            <w:vAlign w:val="center"/>
          </w:tcPr>
          <w:p>
            <w:r>
              <w:t>企查查唯一识别码</w:t>
            </w:r>
          </w:p>
        </w:tc>
      </w:tr>
      <w:tr>
        <w:tc>
          <w:tcPr>
            <w:tcW w:type="dxa" w:w="4320"/>
            <w:vAlign w:val="center"/>
          </w:tcPr>
          <w:p>
            <w:r>
              <w:t>requestParams</w:t>
            </w:r>
          </w:p>
        </w:tc>
        <w:tc>
          <w:tcPr>
            <w:tcW w:type="dxa" w:w="4320"/>
            <w:vAlign w:val="center"/>
          </w:tcPr>
          <w:p>
            <w:r>
              <w:t>请求参数</w:t>
            </w:r>
          </w:p>
        </w:tc>
      </w:tr>
      <w:tr>
        <w:tc>
          <w:tcPr>
            <w:tcW w:type="dxa" w:w="4320"/>
            <w:vAlign w:val="center"/>
          </w:tcPr>
          <w:p>
            <w:r>
              <w:t>responseSnapshot</w:t>
            </w:r>
          </w:p>
        </w:tc>
        <w:tc>
          <w:tcPr>
            <w:tcW w:type="dxa" w:w="4320"/>
            <w:vAlign w:val="center"/>
          </w:tcPr>
          <w:p>
            <w:r>
              <w:t>原始响应快照</w:t>
            </w:r>
          </w:p>
        </w:tc>
      </w:tr>
      <w:tr>
        <w:tc>
          <w:tcPr>
            <w:tcW w:type="dxa" w:w="4320"/>
            <w:vAlign w:val="center"/>
          </w:tcPr>
          <w:p>
            <w:r>
              <w:t>syncStatus</w:t>
            </w:r>
          </w:p>
        </w:tc>
        <w:tc>
          <w:tcPr>
            <w:tcW w:type="dxa" w:w="4320"/>
            <w:vAlign w:val="center"/>
          </w:tcPr>
          <w:p>
            <w:r>
              <w:t>同步结果</w:t>
            </w:r>
          </w:p>
        </w:tc>
      </w:tr>
      <w:tr>
        <w:tc>
          <w:tcPr>
            <w:tcW w:type="dxa" w:w="4320"/>
            <w:vAlign w:val="center"/>
          </w:tcPr>
          <w:p>
            <w:r>
              <w:t>syncTime</w:t>
            </w:r>
          </w:p>
        </w:tc>
        <w:tc>
          <w:tcPr>
            <w:tcW w:type="dxa" w:w="4320"/>
            <w:vAlign w:val="center"/>
          </w:tcPr>
          <w:p>
            <w:r>
              <w:t>同步时间</w:t>
            </w:r>
          </w:p>
        </w:tc>
      </w:tr>
      <w:tr>
        <w:tc>
          <w:tcPr>
            <w:tcW w:type="dxa" w:w="4320"/>
            <w:vAlign w:val="center"/>
          </w:tcPr>
          <w:p>
            <w:r>
              <w:t>triggerType</w:t>
            </w:r>
          </w:p>
        </w:tc>
        <w:tc>
          <w:tcPr>
            <w:tcW w:type="dxa" w:w="4320"/>
            <w:vAlign w:val="center"/>
          </w:tcPr>
          <w:p>
            <w:r>
              <w:t>手动 / 定时</w:t>
            </w:r>
          </w:p>
        </w:tc>
      </w:tr>
    </w:tbl>
    <w:p/>
    <w:p>
      <w:pPr>
        <w:pStyle w:val="Heading2"/>
      </w:pPr>
      <w:r>
        <w:t>8.3 保护记录表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字段</w:t>
            </w:r>
          </w:p>
        </w:tc>
        <w:tc>
          <w:tcPr>
            <w:tcW w:type="dxa" w:w="4320"/>
            <w:vAlign w:val="center"/>
          </w:tcPr>
          <w:p>
            <w: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r>
              <w:t>principalId</w:t>
            </w:r>
          </w:p>
        </w:tc>
        <w:tc>
          <w:tcPr>
            <w:tcW w:type="dxa" w:w="4320"/>
            <w:vAlign w:val="center"/>
          </w:tcPr>
          <w:p>
            <w:r>
              <w:t>主体 ID</w:t>
            </w:r>
          </w:p>
        </w:tc>
      </w:tr>
      <w:tr>
        <w:tc>
          <w:tcPr>
            <w:tcW w:type="dxa" w:w="4320"/>
            <w:vAlign w:val="center"/>
          </w:tcPr>
          <w:p>
            <w:r>
              <w:t>reason</w:t>
            </w:r>
          </w:p>
        </w:tc>
        <w:tc>
          <w:tcPr>
            <w:tcW w:type="dxa" w:w="4320"/>
            <w:vAlign w:val="center"/>
          </w:tcPr>
          <w:p>
            <w:r>
              <w:t>变更原因</w:t>
            </w:r>
          </w:p>
        </w:tc>
      </w:tr>
      <w:tr>
        <w:tc>
          <w:tcPr>
            <w:tcW w:type="dxa" w:w="4320"/>
            <w:vAlign w:val="center"/>
          </w:tcPr>
          <w:p>
            <w:r>
              <w:t>submitDate</w:t>
            </w:r>
          </w:p>
        </w:tc>
        <w:tc>
          <w:tcPr>
            <w:tcW w:type="dxa" w:w="4320"/>
            <w:vAlign w:val="center"/>
          </w:tcPr>
          <w:p>
            <w:r>
              <w:t>工商提交日期</w:t>
            </w:r>
          </w:p>
        </w:tc>
      </w:tr>
      <w:tr>
        <w:tc>
          <w:tcPr>
            <w:tcW w:type="dxa" w:w="4320"/>
            <w:vAlign w:val="center"/>
          </w:tcPr>
          <w:p>
            <w:r>
              <w:t>deadline</w:t>
            </w:r>
          </w:p>
        </w:tc>
        <w:tc>
          <w:tcPr>
            <w:tcW w:type="dxa" w:w="4320"/>
            <w:vAlign w:val="center"/>
          </w:tcPr>
          <w:p>
            <w:r>
              <w:t>保护截止日期</w:t>
            </w:r>
          </w:p>
        </w:tc>
      </w:tr>
      <w:tr>
        <w:tc>
          <w:tcPr>
            <w:tcW w:type="dxa" w:w="4320"/>
            <w:vAlign w:val="center"/>
          </w:tcPr>
          <w:p>
            <w:r>
              <w:t>protectedFields</w:t>
            </w:r>
          </w:p>
        </w:tc>
        <w:tc>
          <w:tcPr>
            <w:tcW w:type="dxa" w:w="4320"/>
            <w:vAlign w:val="center"/>
          </w:tcPr>
          <w:p>
            <w:r>
              <w:t>保护字段</w:t>
            </w:r>
          </w:p>
        </w:tc>
      </w:tr>
      <w:tr>
        <w:tc>
          <w:tcPr>
            <w:tcW w:type="dxa" w:w="4320"/>
            <w:vAlign w:val="center"/>
          </w:tcPr>
          <w:p>
            <w:r>
              <w:t>status</w:t>
            </w:r>
          </w:p>
        </w:tc>
        <w:tc>
          <w:tcPr>
            <w:tcW w:type="dxa" w:w="4320"/>
            <w:vAlign w:val="center"/>
          </w:tcPr>
          <w:p>
            <w:r>
              <w:t>办理中、已完成、已撤回、审核失败、已超期</w:t>
            </w:r>
          </w:p>
        </w:tc>
      </w:tr>
      <w:tr>
        <w:tc>
          <w:tcPr>
            <w:tcW w:type="dxa" w:w="4320"/>
            <w:vAlign w:val="center"/>
          </w:tcPr>
          <w:p>
            <w:r>
              <w:t>attachments</w:t>
            </w:r>
          </w:p>
        </w:tc>
        <w:tc>
          <w:tcPr>
            <w:tcW w:type="dxa" w:w="4320"/>
            <w:vAlign w:val="center"/>
          </w:tcPr>
          <w:p>
            <w:r>
              <w:t>证明材料</w:t>
            </w:r>
          </w:p>
        </w:tc>
      </w:tr>
      <w:tr>
        <w:tc>
          <w:tcPr>
            <w:tcW w:type="dxa" w:w="4320"/>
            <w:vAlign w:val="center"/>
          </w:tcPr>
          <w:p>
            <w:r>
              <w:t>remark</w:t>
            </w:r>
          </w:p>
        </w:tc>
        <w:tc>
          <w:tcPr>
            <w:tcW w:type="dxa" w:w="4320"/>
            <w:vAlign w:val="center"/>
          </w:tcPr>
          <w:p>
            <w:r>
              <w:t>备注</w:t>
            </w:r>
          </w:p>
        </w:tc>
      </w:tr>
    </w:tbl>
    <w:p/>
    <w:p>
      <w:pPr>
        <w:pStyle w:val="Heading1"/>
      </w:pPr>
      <w:r>
        <w:t>9. 验收标准</w:t>
      </w:r>
    </w:p>
    <w:p>
      <w:pPr>
        <w:pStyle w:val="ListNumber"/>
      </w:pPr>
      <w:r>
        <w:t>个人主体不会触发企查查调用。</w:t>
      </w:r>
    </w:p>
    <w:p>
      <w:pPr>
        <w:pStyle w:val="ListNumber"/>
      </w:pPr>
      <w:r>
        <w:t>大陆企业、香港企业可匹配企查查并保存 QccCode。</w:t>
      </w:r>
    </w:p>
    <w:p>
      <w:pPr>
        <w:pStyle w:val="ListNumber"/>
      </w:pPr>
      <w:r>
        <w:t>企查查同步成功后，非保护工商字段自动覆盖 ERP 字段。</w:t>
      </w:r>
    </w:p>
    <w:p>
      <w:pPr>
        <w:pStyle w:val="ListNumber"/>
      </w:pPr>
      <w:r>
        <w:t>存在工商变更保护时，保护字段不被企查查旧值覆盖。</w:t>
      </w:r>
    </w:p>
    <w:p>
      <w:pPr>
        <w:pStyle w:val="ListNumber"/>
      </w:pPr>
      <w:r>
        <w:t>用户可录入和再次编辑保护截止日期。</w:t>
      </w:r>
    </w:p>
    <w:p>
      <w:pPr>
        <w:pStyle w:val="ListNumber"/>
      </w:pPr>
      <w:r>
        <w:t>超过保护截止日期后，列表展示“保护已超期”。</w:t>
      </w:r>
    </w:p>
    <w:p>
      <w:pPr>
        <w:pStyle w:val="ListNumber"/>
      </w:pPr>
      <w:r>
        <w:t>保护超期后默认继续阻止保护字段覆盖。</w:t>
      </w:r>
    </w:p>
    <w:p>
      <w:pPr>
        <w:pStyle w:val="ListNumber"/>
      </w:pPr>
      <w:r>
        <w:t>企查查返回值与 ERP 目标值一致时，系统自动解除保护。</w:t>
      </w:r>
    </w:p>
    <w:p>
      <w:pPr>
        <w:pStyle w:val="ListNumber"/>
      </w:pPr>
      <w:r>
        <w:t>每次同步、覆盖、跳过覆盖、保护编辑均有日志。</w:t>
      </w:r>
    </w:p>
    <w:p>
      <w:pPr>
        <w:pStyle w:val="ListNumber"/>
      </w:pPr>
      <w:r>
        <w:t>关联店铺列表保持现有能力，不受企查查同步影响。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