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40"/>
      </w:pPr>
      <w:r>
        <w:rPr>
          <w:rFonts w:ascii="Arial" w:hAnsi="Arial" w:eastAsia="微软雅黑"/>
          <w:b/>
          <w:i w:val="0"/>
          <w:sz w:val="40"/>
        </w:rPr>
        <w:t>References</w:t>
      </w:r>
    </w:p>
    <w:p>
      <w:pPr>
        <w:spacing w:after="120"/>
      </w:pPr>
      <w:r>
        <w:rPr>
          <w:rFonts w:ascii="Times New Roman" w:hAnsi="Times New Roman" w:eastAsia="微软雅黑"/>
          <w:b w:val="0"/>
          <w:i w:val="0"/>
          <w:color w:val="444444"/>
          <w:sz w:val="22"/>
        </w:rPr>
        <w:t>参考文献</w:t>
      </w:r>
    </w:p>
    <w:p>
      <w:pPr>
        <w:spacing w:after="40"/>
      </w:pPr>
      <w:r>
        <w:rPr>
          <w:rFonts w:ascii="Times New Roman" w:hAnsi="Times New Roman" w:eastAsia="宋体"/>
          <w:b w:val="0"/>
          <w:i/>
          <w:color w:val="333333"/>
          <w:sz w:val="19"/>
        </w:rPr>
        <w:t>Even age does not transport: a pooled multi-cohort exposome estimate describes no population, in 285,878 participants and 21 literature-derived rules</w:t>
      </w:r>
    </w:p>
    <w:p>
      <w:pPr>
        <w:spacing w:after="200"/>
      </w:pPr>
      <w:r>
        <w:rPr>
          <w:rFonts w:ascii="Times New Roman" w:hAnsi="Times New Roman" w:eastAsia="宋体"/>
          <w:b w:val="0"/>
          <w:i w:val="0"/>
          <w:color w:val="595959"/>
          <w:sz w:val="17"/>
        </w:rPr>
        <w:t>27 entries · Vancouver order (first appearance) · 27/27 cross-verified · 0 retracted · compiled 2026-10-23 from outputs/paper/manuscript.md</w:t>
      </w:r>
    </w:p>
    <w:p>
      <w:pPr>
        <w:pStyle w:val="Heading1"/>
        <w:spacing w:before="160" w:after="120"/>
      </w:pPr>
      <w:r>
        <w:rPr>
          <w:rFonts w:ascii="Arial" w:hAnsi="Arial" w:eastAsia="微软雅黑"/>
          <w:b/>
          <w:i w:val="0"/>
          <w:color w:val="1F3A5F"/>
          <w:sz w:val="26"/>
        </w:rPr>
        <w:t>1. Reference list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1.</w:t>
        <w:tab/>
        <w:t>Keel S, Cieza A. Rising to the challenge: estimates of the magnitude and causes of vision impairment and blindness. The Lancet Global Health. 2021;9(2):e100-e101. doi:10.1016/s2214-109x(21)00008-5.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2.</w:t>
        <w:tab/>
        <w:t>Tham YC, Li X, Wong TY, Quigley HA, Aung T, Cheng CY. Global Prevalence of Glaucoma and Projections of Glaucoma Burden through 2040. Ophthalmology. 2014;121(11):2081-2090. doi:10.1016/j.ophtha.2014.05.013.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3.</w:t>
        <w:tab/>
        <w:t>Jonas JB. Global prevalence of age-related macular degeneration. The Lancet Global Health. 2014;2(2):e65-e66. doi:10.1016/s2214-109x(13)70163-3.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4.</w:t>
        <w:tab/>
        <w:t>Song P, Yu J, Chan KY, Τheodoratou E, Rudan I. Prevalence, risk factors and burden of diabetic retinopathy in China: a systematic review and meta-analysis. Journal of Global Health. 2018;8(1):010803. doi:10.7189/jogh.08.010803.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5.</w:t>
        <w:tab/>
        <w:t>Wild CP. Complementing the Genome with an “Exposome”: The Outstanding Challenge of Environmental Exposure Measurement in Molecular Epidemiology. Cancer Epidemiology Biomarkers &amp; Prevention. 2005;14(8):1847-1850. doi:10.1158/1055-9965.epi-05-0456.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6.</w:t>
        <w:tab/>
        <w:t>Ye J, He J, Wang C, Wu H, Shi X, Zhang H, et al. Smoking and Risk of Age-Related Cataract: A Meta-Analysis. Investigative Opthalmology &amp; Visual Science. 2012;53(7):3885. doi:10.1167/iovs.12-9820.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7.</w:t>
        <w:tab/>
        <w:t>Vandenbroucke JP. Strengthening the Reporting of Observational Studies in Epidemiology (STROBE). Epidemiology. 2007;18(6):805-835. doi:10.1097/ede.0b013e3181577511.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8.</w:t>
        <w:tab/>
        <w:t>Cohen JF. TRIPOD+AI: an updated reporting guideline for clinical prediction models. BMJ. 2024;385:q824. doi:10.1136/bmj.q824.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9.</w:t>
        <w:tab/>
        <w:t>The DECIDE-AI Steering Group. DECIDE-AI: new reporting guidelines to bridge the development-to-implementation gap in clinical artificial intelligence. Nature Medicine. 2021;27(2):186-187. doi:10.1038/s41591-021-01229-5.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10.</w:t>
        <w:tab/>
        <w:t>Kweon S. Data Resource Profile: The Korea National Health and Nutrition Examination Survey (KNHANES). International Journal of Epidemiology. 2014;43(1):69-77. doi:10.1093/ije/dyt228.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11.</w:t>
        <w:tab/>
        <w:t>Zhao Y. Cohort Profile: The China Health and Retirement Longitudinal Study (CHARLS). International Journal of Epidemiology. 2012;43(1):61-68. doi:10.1093/ije/dys203.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12.</w:t>
        <w:tab/>
        <w:t>Börsch-Supan A. Data Resource Profile: The Survey of Health, Ageing and Retirement in Europe (SHARE). International Journal of Epidemiology. 2013;42(4):992-1001. doi:10.1093/ije/dyt088.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13.</w:t>
        <w:tab/>
        <w:t>Sonnega AJ, Faul JD, Ofstedal MB, Langa KM, Phillips JW, Weir DR. Cohort Profile: the Health and Retirement Study (HRS). International Journal of Epidemiology. 2014;43(2):576-585. doi:10.1093/ije/dyu067.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14.</w:t>
        <w:tab/>
        <w:t>Steptoe A. Cohort Profile: The English Longitudinal Study of Ageing. International Journal of Epidemiology. 2012;42(6):1640-1648. doi:10.1093/ije/dys168.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15.</w:t>
        <w:tab/>
        <w:t>Perianayagam A. Cohort Profile: The Longitudinal Ageing Study in India (LASI). International Journal of Epidemiology. 2022;51(4):e167-e176. doi:10.1093/ije/dyab266.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16.</w:t>
        <w:tab/>
        <w:t>Wong R. Cohort Profile: The Mexican Health and Aging Study (MHAS). International Journal of Epidemiology. 2015;46(2):e2. doi:10.1093/ije/dyu263.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17.</w:t>
        <w:tab/>
        <w:t>The Chinese Longitudinal Healthy Longevity Survey (CLHLS)-Longitudinal Data（1998-2011）. Peking University Opendata Dataverse. 2015. doi:10.18170/DVN/MKB1LF.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18.</w:t>
        <w:tab/>
        <w:t>The Costa Rican Longevity and Healthy Aging Study (CRELES). Harvard Dataverse. 2025. doi:10.7910/DVN/7AUOAO.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19.</w:t>
        <w:tab/>
        <w:t>CRELES: Costa Rican Longevity and Healthy Aging Study, 2005 (Costa Rica Estudio de Longevidad y Envejecimiento Saludable). ICPSR - Interuniversity Consortium for Political and Social Research. 2010. doi:10.3886/icpsr26681.v2.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20.</w:t>
        <w:tab/>
        <w:t>Rubin DB. Multiple Imputation for Nonresponse in Surveys. Wiley Series in Probability and Statistics. 1987. doi:10.1002/9780470316696.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21.</w:t>
        <w:tab/>
        <w:t>Benjamini Y. The control of the false discovery rate in multiple testing under dependency. The Annals of Statistics. 2001;29(4):1165-1188. doi:10.1214/aos/1013699998.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22.</w:t>
        <w:tab/>
        <w:t>Clopper CJ. THE USE OF CONFIDENCE OR FIDUCIAL LIMITS ILLUSTRATED IN THE CASE OF THE BINOMIAL. Biometrika. 1934;26(4):404. doi:10.1093/biomet/26.4.404.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23.</w:t>
        <w:tab/>
        <w:t>Pressley JC, Patrick CH. Frailty Bias in Comorbidity Risk Adjustments of Community-Dwelling Elderly Populations. Journal of Clinical Epidemiology. 1999;52(8):753-760. doi:10.1016/s0895-4356(99)00056-6.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24.</w:t>
        <w:tab/>
        <w:t>Burgess S, Zhou A. Genetic predictors of traits in elderly subjects: risk of survival bias and reverse causation. European Heart Journal. 2024;45(24):2155-2157. doi:10.1093/eurheartj/ehae295.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25.</w:t>
        <w:tab/>
        <w:t>Rosansky JA, Rosenberg H. A systematic review of reasons for abstinence from alcohol reported by lifelong abstainers, current abstainers and former problem-drinkers. Drug and Alcohol Review. 2020;39(7):960-974. doi:10.1111/dar.13119.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26.</w:t>
        <w:tab/>
        <w:t>Higgins JPT, Thompson SG. Quantifying heterogeneity in a meta-analysis. Statistics in Medicine. 2002;21(11):1539-1558. doi:10.1002/sim.1186.</w:t>
      </w:r>
    </w:p>
    <w:p>
      <w:pPr>
        <w:tabs>
          <w:tab w:pos="482" w:val="left"/>
        </w:tabs>
        <w:spacing w:after="80" w:lineRule="auto" w:line="276"/>
        <w:ind w:left="482" w:hanging="482"/>
      </w:pPr>
      <w:r>
        <w:rPr>
          <w:rFonts w:ascii="Times New Roman" w:hAnsi="Times New Roman" w:eastAsia="宋体"/>
          <w:b w:val="0"/>
          <w:i w:val="0"/>
          <w:sz w:val="21"/>
        </w:rPr>
        <w:t>27.</w:t>
        <w:tab/>
        <w:t>Spineli LM, Pandis N. Prediction interval in random-effects meta-analysis. American Journal of Orthodontics and Dentofacial Orthopedics. 2020;157(4):586-588. doi:10.1016/j.ajodo.2019.12.011.</w:t>
      </w:r>
    </w:p>
    <w:p>
      <w:pPr>
        <w:pStyle w:val="Heading1"/>
        <w:spacing w:before="280" w:after="80"/>
      </w:pPr>
      <w:r>
        <w:rPr>
          <w:rFonts w:ascii="Arial" w:hAnsi="Arial" w:eastAsia="微软雅黑"/>
          <w:b/>
          <w:i w:val="0"/>
          <w:color w:val="1F3A5F"/>
          <w:sz w:val="26"/>
        </w:rPr>
        <w:t>2. Verification audit</w:t>
      </w:r>
    </w:p>
    <w:p>
      <w:pPr>
        <w:spacing w:after="120"/>
      </w:pPr>
      <w:r>
        <w:rPr>
          <w:rFonts w:ascii="Times New Roman" w:hAnsi="Times New Roman" w:eastAsia="宋体"/>
          <w:b w:val="0"/>
          <w:i w:val="0"/>
          <w:color w:val="444444"/>
          <w:sz w:val="18"/>
        </w:rPr>
        <w:t>Every entry was resolved in at least two sources (Crossref + OpenAlex) and screened for retraction before it was admitted to the citation pool. “Cited in” lists the manuscript sections that use the entry.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  <w:cantSplit w:val="true"/>
        </w:trPr>
        <w:tc>
          <w:tcPr>
            <w:tcW w:type="dxa" w:w="510"/>
            <w:shd w:val="clear" w:color="auto"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i w:val="0"/>
                <w:sz w:val="17"/>
              </w:rPr>
              <w:t>#</w:t>
            </w:r>
          </w:p>
        </w:tc>
        <w:tc>
          <w:tcPr>
            <w:tcW w:type="dxa" w:w="907"/>
            <w:shd w:val="clear" w:color="auto"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i w:val="0"/>
                <w:sz w:val="17"/>
              </w:rPr>
              <w:t>Code</w:t>
            </w:r>
          </w:p>
        </w:tc>
        <w:tc>
          <w:tcPr>
            <w:tcW w:type="dxa" w:w="2268"/>
            <w:shd w:val="clear" w:color="auto"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i w:val="0"/>
                <w:sz w:val="17"/>
              </w:rPr>
              <w:t>Verification</w:t>
            </w:r>
          </w:p>
        </w:tc>
        <w:tc>
          <w:tcPr>
            <w:tcW w:type="dxa" w:w="2948"/>
            <w:shd w:val="clear" w:color="auto"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i w:val="0"/>
                <w:sz w:val="17"/>
              </w:rPr>
              <w:t>DOI</w:t>
            </w:r>
          </w:p>
        </w:tc>
        <w:tc>
          <w:tcPr>
            <w:tcW w:type="dxa" w:w="2778"/>
            <w:shd w:val="clear" w:color="auto" w:fill="DCE6F1"/>
          </w:tcPr>
          <w:p>
            <w:pPr>
              <w:spacing w:after="40"/>
            </w:pPr>
            <w:r>
              <w:rPr>
                <w:rFonts w:ascii="Arial" w:hAnsi="Arial" w:eastAsia="微软雅黑"/>
                <w:b/>
                <w:i w:val="0"/>
                <w:sz w:val="17"/>
              </w:rPr>
              <w:t>Cited in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abstract=yes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10.1016/s2214-109x(21)00008-5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10.1016/j.ophtha.2014.05.013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3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abstract=yes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10.1016/s2214-109x(13)70163-3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4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abstract=yes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10.7189/jogh.08.010803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abstract=yes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10.1158/1055-9965.epi-05-0456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abstract=yes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10.1167/iovs.12-9820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Introduction；The direction reversal, and what could explain it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7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10.1097/ede.0b013e3181577511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Reporting and study design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8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10.1136/bmj.q824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Reporting and study design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9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10.1038/s41591-021-01229-5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Reporting and study design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10.1093/ije/dyt228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Reporting and study design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11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10.1093/ije/dys203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Reporting and study design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12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10.1093/ije/dyt088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13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10.1093/ije/dyu067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14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10.1093/ije/dys168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10.1093/ije/dyab266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10.1093/ije/dyu263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17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C031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10.18170/DVN/MKB1LF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18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C032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10.7910/DVN/7AUOAO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19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C033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10.3886/icpsr26681.v2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Cohort-layer data sources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20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C015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10.1002/9780470316696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Statistical analysis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21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C004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10.1214/aos/1013699998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Statistical analysis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22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C005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10.1093/biomet/26.4.404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Statistical analysis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23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C028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10.1016/s0895-4356(99)00056-6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The direction reversal, and what could explain it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24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C029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10.1093/eurheartj/ehae295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The direction reversal, and what could explain it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25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C030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10.1111/dar.13119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The direction reversal, and what could explain it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26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C026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10.1002/sim.1186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Why the pooled estimate is the wrong summary here</w:t>
            </w:r>
          </w:p>
        </w:tc>
      </w:tr>
      <w:tr>
        <w:trPr>
          <w:cantSplit w:val="true"/>
        </w:trPr>
        <w:tc>
          <w:tcPr>
            <w:tcW w:type="dxa" w:w="510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27</w:t>
            </w:r>
          </w:p>
        </w:tc>
        <w:tc>
          <w:tcPr>
            <w:tcW w:type="dxa" w:w="907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C027</w:t>
            </w:r>
          </w:p>
        </w:tc>
        <w:tc>
          <w:tcPr>
            <w:tcW w:type="dxa" w:w="226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cross_verified; retracted=no; abstract=no</w:t>
            </w:r>
          </w:p>
        </w:tc>
        <w:tc>
          <w:tcPr>
            <w:tcW w:type="dxa" w:w="294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10.1016/j.ajodo.2019.12.011</w:t>
            </w:r>
          </w:p>
        </w:tc>
        <w:tc>
          <w:tcPr>
            <w:tcW w:type="dxa" w:w="2778"/>
          </w:tcPr>
          <w:p>
            <w:pPr>
              <w:spacing w:after="20"/>
            </w:pPr>
            <w:r>
              <w:rPr>
                <w:rFonts w:ascii="Arial" w:hAnsi="Arial" w:eastAsia="微软雅黑"/>
                <w:b w:val="0"/>
                <w:i w:val="0"/>
                <w:sz w:val="16"/>
              </w:rPr>
              <w:t>Why the pooled estimate is the wrong summary here</w:t>
            </w:r>
          </w:p>
        </w:tc>
      </w:tr>
    </w:tbl>
    <w:p>
      <w:pPr>
        <w:pStyle w:val="Heading1"/>
        <w:spacing w:before="280" w:after="80"/>
      </w:pPr>
      <w:r>
        <w:rPr>
          <w:rFonts w:ascii="Arial" w:hAnsi="Arial" w:eastAsia="微软雅黑"/>
          <w:b/>
          <w:i w:val="0"/>
          <w:color w:val="1F3A5F"/>
          <w:sz w:val="26"/>
        </w:rPr>
        <w:t>3. Notes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19"/>
        </w:rPr>
        <w:t>Numbering follows first appearance in the manuscript; the list is not alphabetical. Ranges such as [17–19] are expanded when mapping citations.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19"/>
        </w:rPr>
        <w:t>The 24-entry citation pool and its provenance live in outputs/paper/citation_pool.json; the per-entry audit trail is embedded as hidden comments in outputs/paper/manuscript.md.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19"/>
        </w:rPr>
        <w:t>Verification flags: cross_verified = resolves in ≥2 sources; retracted=no = retraction screen negative; abstract=yes/no = whether an abstract was retrieved for claim matching.</w:t>
      </w:r>
    </w:p>
    <w:p>
      <w:pPr>
        <w:pStyle w:val="ListBullet"/>
        <w:spacing w:after="60"/>
      </w:pPr>
      <w:r>
        <w:rPr>
          <w:rFonts w:ascii="Times New Roman" w:hAnsi="Times New Roman" w:eastAsia="宋体"/>
          <w:b w:val="0"/>
          <w:i w:val="0"/>
          <w:sz w:val="19"/>
        </w:rPr>
        <w:t>This document contains the reference list only. The full manuscript is outputs/paper/manuscript.md (142,578 B, R21 assembly).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247" w:bottom="1247" w:left="1247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i w:val="0"/>
        <w:color w:val="666666"/>
        <w:sz w:val="16"/>
      </w:rPr>
      <w:t xml:space="preserve">Page </w:t>
    </w:r>
    <w:r>
      <w:rPr>
        <w:rFonts w:ascii="Times New Roman" w:hAnsi="Times New Roman" w:eastAsia="宋体"/>
        <w:b w:val="0"/>
        <w:i w:val="0"/>
        <w:color w:val="666666"/>
        <w:sz w:val="16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Times New Roman" w:hAnsi="Times New Roman" w:eastAsia="微软雅黑"/>
        <w:b w:val="0"/>
        <w:i w:val="0"/>
        <w:color w:val="666666"/>
        <w:sz w:val="16"/>
      </w:rPr>
      <w:t>慧眼（huiyan）· References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312"/>
    </w:pPr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