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rPr/>
      </w:pPr>
      <w:r>
        <w:rPr/>
        <w:t>Cover Letter</w:t>
      </w:r>
    </w:p>
    <w:p>
      <w:pPr>
        <w:pStyle w:val="BodyText"/>
        <w:bidi w:val="0"/>
        <w:rPr/>
      </w:pPr>
      <w:r>
        <w:rPr>
          <w:b/>
        </w:rPr>
        <w:t>Journal:</w:t>
      </w:r>
      <w:r>
        <w:rPr/>
        <w:t xml:space="preserve"> Journal of Medical Internet Research (J Med Internet Res) </w:t>
      </w:r>
      <w:r>
        <w:rPr>
          <w:b/>
        </w:rPr>
        <w:t>Article type:</w:t>
      </w:r>
      <w:r>
        <w:rPr/>
        <w:t xml:space="preserve"> Original Paper </w:t>
      </w:r>
      <w:r>
        <w:rPr>
          <w:b/>
        </w:rPr>
        <w:t>Title:</w:t>
      </w:r>
      <w:r>
        <w:rPr/>
        <w:t xml:space="preserve"> An explainable rule-knowledge-graph-LLM agent for exposome-eye risk stratification: strong benchmarks, operable reports, limited rule transportability </w:t>
      </w:r>
      <w:r>
        <w:rPr>
          <w:b/>
        </w:rPr>
        <w:t>Authors:</w:t>
      </w:r>
      <w:r>
        <w:rPr/>
        <w:t xml:space="preserve"> Guoqing Wang¹,², Xianglong Yi¹,²,* (*corresponding; </w:t>
      </w:r>
      <w:hyperlink r:id="rId2">
        <w:r>
          <w:rPr>
            <w:rStyle w:val="Hyperlink"/>
          </w:rPr>
          <w:t>yixianglong1010@163.com</w:t>
        </w:r>
      </w:hyperlink>
      <w:r>
        <w:rPr/>
        <w:t>)</w:t>
      </w:r>
    </w:p>
    <w:p>
      <w:pPr>
        <w:pStyle w:val="BodyText"/>
        <w:bidi w:val="0"/>
        <w:rPr/>
      </w:pPr>
      <w:r>
        <w:rPr/>
        <w:t>Dear Editors,</w:t>
      </w:r>
    </w:p>
    <w:p>
      <w:pPr>
        <w:pStyle w:val="BodyText"/>
        <w:bidi w:val="0"/>
        <w:rPr/>
      </w:pPr>
      <w:r>
        <w:rPr/>
        <w:t>We submit our Original Paper "An explainable rule-knowledge-graph-LLM agent for exposome-eye risk stratification: strong benchmarks, operable reports, limited rule transportability" for consideration in J Med Internet Res.</w:t>
      </w:r>
    </w:p>
    <w:p>
      <w:pPr>
        <w:pStyle w:val="BodyText"/>
        <w:bidi w:val="0"/>
        <w:rPr/>
      </w:pPr>
      <w:r>
        <w:rPr/>
        <w:t>Why this fits JMIR:</w:t>
      </w:r>
    </w:p>
    <w:p>
      <w:pPr>
        <w:pStyle w:val="BodyText"/>
        <w:numPr>
          <w:ilvl w:val="0"/>
          <w:numId w:val="2"/>
        </w:numPr>
        <w:tabs>
          <w:tab w:val="clear" w:pos="420"/>
          <w:tab w:val="left" w:pos="709" w:leader="none"/>
        </w:tabs>
        <w:bidi w:val="0"/>
        <w:ind w:hanging="283" w:start="709"/>
        <w:rPr/>
      </w:pPr>
      <w:r>
        <w:rPr>
          <w:b/>
        </w:rPr>
        <w:t>A complete, deployable digital-health intervention was benchmarked as such.</w:t>
      </w:r>
      <w:r>
        <w:rPr/>
        <w:t xml:space="preserve"> Our explainable agent (deterministic rules + LightRAG knowledge graph + a constrained LLM arbiter) was evaluated with its full pipeline on an 80-pair NHANES benchmark (F1 = 0.571 vs LightRAG 0.392, pure LLM 0.335, naive RAG 0.080; accuracy McNemar significant against LightRAG and pure LLM), with the rule layer alone reported as an ablation, on external KNHANES (rule layer 0.360 vs 0.145/0.135/0.094), and with binary-collapsed discrimination metrics (internal sensitivity 1.00, specificity 0.878, PPV 0.400, κ 0.520).</w:t>
      </w:r>
    </w:p>
    <w:p>
      <w:pPr>
        <w:pStyle w:val="BodyText"/>
        <w:numPr>
          <w:ilvl w:val="0"/>
          <w:numId w:val="2"/>
        </w:numPr>
        <w:tabs>
          <w:tab w:val="clear" w:pos="420"/>
          <w:tab w:val="left" w:pos="709" w:leader="none"/>
        </w:tabs>
        <w:bidi w:val="0"/>
        <w:ind w:hanging="283" w:start="709"/>
        <w:rPr/>
      </w:pPr>
      <w:r>
        <w:rPr>
          <w:b/>
        </w:rPr>
        <w:t>Validation used independent data not used for development</w:t>
      </w:r>
      <w:r>
        <w:rPr/>
        <w:t>, per JMIR's ML policy: an internal national survey, an external national survey (KNHANES, 301 pairs), eight ageing cohorts (285,878 participants; 598,386 person-waves) for rule-level transportability under a pre-registered three-state standard, and four literature indexes for directional concordance.</w:t>
      </w:r>
    </w:p>
    <w:p>
      <w:pPr>
        <w:pStyle w:val="BodyText"/>
        <w:numPr>
          <w:ilvl w:val="0"/>
          <w:numId w:val="2"/>
        </w:numPr>
        <w:tabs>
          <w:tab w:val="clear" w:pos="420"/>
          <w:tab w:val="left" w:pos="709" w:leader="none"/>
        </w:tabs>
        <w:bidi w:val="0"/>
        <w:ind w:hanging="283" w:start="709"/>
        <w:rPr/>
      </w:pPr>
      <w:r>
        <w:rPr>
          <w:b/>
        </w:rPr>
        <w:t>Written for clinicians, with open tooling.</w:t>
      </w:r>
      <w:r>
        <w:rPr/>
        <w:t xml:space="preserve"> Every output resolves to a rule, a knowledge-graph path and a source chunk; the same report is rendered in a working Streamlit interface, and the rule/variable definitions ship as machine-readable files with the code.</w:t>
      </w:r>
    </w:p>
    <w:p>
      <w:pPr>
        <w:pStyle w:val="BodyText"/>
        <w:numPr>
          <w:ilvl w:val="0"/>
          <w:numId w:val="2"/>
        </w:numPr>
        <w:tabs>
          <w:tab w:val="clear" w:pos="420"/>
          <w:tab w:val="left" w:pos="709" w:leader="none"/>
        </w:tabs>
        <w:bidi w:val="0"/>
        <w:ind w:hanging="283" w:start="709"/>
        <w:rPr/>
      </w:pPr>
      <w:r>
        <w:rPr>
          <w:b/>
        </w:rPr>
        <w:t>Open tooling.</w:t>
      </w:r>
      <w:r>
        <w:rPr/>
        <w:t xml:space="preserve"> The full pipeline — rules, variable definitions, Streamlit interface and every analysis script — is publicly available at </w:t>
      </w:r>
      <w:hyperlink r:id="rId3">
        <w:r>
          <w:rPr>
            <w:rStyle w:val="Hyperlink"/>
          </w:rPr>
          <w:t>https://github.com/wangguoqing932/huiyan-exposome-eye-agent</w:t>
        </w:r>
      </w:hyperlink>
    </w:p>
    <w:p>
      <w:pPr>
        <w:pStyle w:val="BodyText"/>
        <w:numPr>
          <w:ilvl w:val="0"/>
          <w:numId w:val="2"/>
        </w:numPr>
        <w:tabs>
          <w:tab w:val="clear" w:pos="420"/>
          <w:tab w:val="left" w:pos="709" w:leader="none"/>
        </w:tabs>
        <w:bidi w:val="0"/>
        <w:ind w:hanging="283" w:start="709"/>
        <w:rPr/>
      </w:pPr>
      <w:r>
        <w:rPr>
          <w:b/>
        </w:rPr>
        <w:t>An honest, transferable lesson for digital-health validation.</w:t>
      </w:r>
      <w:r>
        <w:rPr/>
        <w:t xml:space="preserve"> Fifteen of 21 rules were untestable in the cohorts for measurement reasons and none was robustly transportable where testable; we therefore argue that agent validation must report system-level and rule-level results separately and state which exposures were measured.</w:t>
      </w:r>
    </w:p>
    <w:p>
      <w:pPr>
        <w:pStyle w:val="BodyText"/>
        <w:bidi w:val="0"/>
        <w:rPr/>
      </w:pPr>
      <w:r>
        <w:rPr/>
        <w:t>All content is our own; generative AI assistance is disclosed in the Declarations. The study uses de-identified public data only (ethics statement in the Declarations). Suggested reviewers and any conflicts of interest are declared in the submission metadata.</w:t>
      </w:r>
    </w:p>
    <w:p>
      <w:pPr>
        <w:pStyle w:val="BodyText"/>
        <w:bidi w:val="0"/>
        <w:rPr/>
      </w:pPr>
      <w:r>
        <w:rPr/>
        <w:t>Sincerely, Xianglong Yi (corresponding author), on behalf of all authors</w:t>
      </w:r>
    </w:p>
    <w:p>
      <w:pPr>
        <w:pStyle w:val="BodyText"/>
        <w:bidi w:val="0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新宋体" w:cs="Arial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Style14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character" w:styleId="Style13">
    <w:name w:val="编号符号"/>
    <w:qFormat/>
    <w:rPr/>
  </w:style>
  <w:style w:type="paragraph" w:styleId="Style14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索引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yixianglong1010@163.com" TargetMode="External"/><Relationship Id="rId3" Type="http://schemas.openxmlformats.org/officeDocument/2006/relationships/hyperlink" Target="https://github.com/wangguoqing932/huiyan-exposome-eye-agent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/>
</cp:coreProperties>
</file>