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Cover Letter</w:t>
      </w:r>
    </w:p>
    <w:p>
      <w:pPr>
        <w:spacing w:after="120" w:line="276" w:lineRule="auto"/>
      </w:pPr>
      <w:r>
        <w:rPr>
          <w:b/>
        </w:rPr>
        <w:t>Journal:</w:t>
      </w:r>
      <w:r>
        <w:t xml:space="preserve"> Journal of Medical Internet Research (J Med Internet Res)</w:t>
      </w:r>
    </w:p>
    <w:p>
      <w:pPr>
        <w:spacing w:after="120" w:line="276" w:lineRule="auto"/>
      </w:pPr>
      <w:r>
        <w:rPr>
          <w:b/>
        </w:rPr>
        <w:t>Article type:</w:t>
      </w:r>
      <w:r>
        <w:t xml:space="preserve"> Original Paper</w:t>
      </w:r>
    </w:p>
    <w:p>
      <w:pPr>
        <w:spacing w:after="120" w:line="276" w:lineRule="auto"/>
      </w:pPr>
      <w:r>
        <w:rPr>
          <w:b/>
        </w:rPr>
        <w:t>Title:</w:t>
      </w:r>
      <w:r>
        <w:t xml:space="preserve"> An explainable rule-knowledge-graph-LLM agent for exposome-eye risk stratification: external gains, a development-informed benchmark, and rules that do not transport</w:t>
      </w:r>
    </w:p>
    <w:p>
      <w:pPr>
        <w:spacing w:after="120" w:line="276" w:lineRule="auto"/>
      </w:pPr>
      <w:r>
        <w:rPr>
          <w:b/>
        </w:rPr>
        <w:t>Authors:</w:t>
      </w:r>
      <w:r>
        <w:t xml:space="preserve"> Guoqing Wang¹,², Xianglong Yi¹,²,* (*corresponding; yixianglong1010@163.com)</w:t>
      </w:r>
    </w:p>
    <w:p>
      <w:pPr>
        <w:spacing w:after="120" w:line="276" w:lineRule="auto"/>
      </w:pPr>
      <w:r>
        <w:t>Dear Editors,</w:t>
      </w:r>
    </w:p>
    <w:p>
      <w:pPr>
        <w:spacing w:after="120" w:line="276" w:lineRule="auto"/>
      </w:pPr>
      <w:r>
        <w:t>We submit our Original Paper "An explainable rule-knowledge-graph-LLM agent for exposome-eye risk stratification: external gains, a development-informed benchmark, and rules that do not transport" for consideration in J Med Internet Res.</w:t>
      </w:r>
    </w:p>
    <w:p>
      <w:pPr>
        <w:spacing w:after="120" w:line="276" w:lineRule="auto"/>
      </w:pPr>
      <w:r>
        <w:t>This version corrects a methodological defect in our earlier submission. The internal benchmark had informed a post-confirmatory rule revision, which made its recall of 1.000 an artefact rather than a measurement; we have re-run the system, audited which evaluation pairs the revision touched, and now report the external matrix as primary. The earlier numbers are withdrawn.</w:t>
      </w:r>
    </w:p>
    <w:p>
      <w:pPr>
        <w:spacing w:after="120" w:line="276" w:lineRule="auto"/>
      </w:pPr>
      <w:r>
        <w:t>Why this fits JMIR: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A complete, deployable digital-health agent was benchmarked as such, and the comparison that matters is reported.</w:t>
      </w:r>
      <w:r>
        <w:t xml:space="preserve"> On the independent KNHANES matrix (301 pairs) the full agent reaches F1 = 0.375 against 0.360 for its own deterministic rule layer and 0.176 / 0.173 / 0.120 for LightRAG, a pure LLM and naive RAG. Removing the 5 pairs whose rules the revision touched leaves 296 pairs on which the ordering holds and every method loses about two thirds of its F1 (0.211 / 0.200 / 0.122 / 0.089 / 0.086). The agent's gain is precision, not recall.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Validation is layered and disclosed, per JMIR's ML policy.</w:t>
      </w:r>
      <w:r>
        <w:t xml:space="preserve"> Four surfaces: the development matrix (NHANES, reported as development because all 6 of its replicated pairs sit on revised rules); the external national survey (KNHANES, 301 pairs); 18 pre-registered rule × cohort cells across eight ageing cohorts on three continents (285,878 participants; 598,386 person-waves), evaluated at the agent level as well as the rule level; and four bibliographic indexes for directional concordance.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Written for clinicians, with open tooling.</w:t>
      </w:r>
      <w:r>
        <w:t xml:space="preserve"> Every output resolves to a rule, a knowledge-graph path and a source chunk; the same report is rendered in a working Streamlit interface, and the 21 rules and their variable definitions ship as machine-readable files.</w:t>
      </w:r>
    </w:p>
    <w:p>
      <w:pPr>
        <w:spacing w:after="120" w:line="276" w:lineRule="auto"/>
      </w:pPr>
      <w:r>
        <w:t xml:space="preserve">4. </w:t>
      </w:r>
      <w:r>
        <w:rPr>
          <w:b/>
        </w:rPr>
        <w:t>The full pipeline is public</w:t>
      </w:r>
      <w:r>
        <w:t>: rules, variable definitions, interface and every analysis script at https://github.com/wangguoqing932/huiyan-exposome-eye-agent.</w:t>
      </w:r>
    </w:p>
    <w:p>
      <w:pPr>
        <w:spacing w:after="120" w:line="276" w:lineRule="auto"/>
      </w:pPr>
      <w:r>
        <w:t xml:space="preserve">5. </w:t>
      </w:r>
      <w:r>
        <w:rPr>
          <w:b/>
        </w:rPr>
        <w:t>A transferable lesson for digital-health validation.</w:t>
      </w:r>
      <w:r>
        <w:t xml:space="preserve"> Fifteen of 21 rules were untestable in the cohorts for measurement reasons and none was robustly transportable where testable; the agent's population-conditioned evidence gate found population-specific evidence for none of the 18 cohort cells, so it does not function as a transport predictor. We argue that agent validation must report system-level and rule-level results separately, name the pairs that informed development, and state which exposures were measured.</w:t>
      </w:r>
    </w:p>
    <w:p>
      <w:pPr>
        <w:spacing w:after="120" w:line="276" w:lineRule="auto"/>
      </w:pPr>
      <w:r>
        <w:t>All content is our own; generative AI assistance is disclosed in the Declarations. The study uses de-identified public data only (ethics statement in the Declarations). Suggested reviewers and any conflicts of interest are declared in the submission metadata.</w:t>
      </w:r>
    </w:p>
    <w:p>
      <w:pPr>
        <w:spacing w:after="120" w:line="276" w:lineRule="auto"/>
      </w:pPr>
      <w:r>
        <w:t>Sincerely,</w:t>
      </w:r>
    </w:p>
    <w:p>
      <w:pPr>
        <w:spacing w:after="120" w:line="276" w:lineRule="auto"/>
      </w:pPr>
      <w:r>
        <w:t>Xianglong Yi (corresponding author), on behalf of all authors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