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(kappa 0.846) yet did not endorse most grades, a consistent one-tier divergence from evidence-graded assessment, and because the system reproduced its gold on all 12 cases the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v1.0-submission</w:t>
      </w:r>
      <w:r>
        <w:rPr>
          <w:rFonts w:ascii="Times New Roman" w:hAnsi="Times New Roman"/>
          <w:color w:val="C00000"/>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color w:val="C00000"/>
                <w:sz w:val="18"/>
              </w:rPr>
              <w:t>Kept cases (third-party-only)</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2026-09-23T19:24:52Z</dcterms:created>
  <dcterms:modified xsi:type="dcterms:W3CDTF">2026-09-23T19:24:52Z</dcterms:modified>
</cp:coreProperties>
</file>

<file path=docProps/custom.xml><?xml version="1.0" encoding="utf-8"?>
<Properties xmlns="http://schemas.openxmlformats.org/officeDocument/2006/custom-properties" xmlns:vt="http://schemas.openxmlformats.org/officeDocument/2006/docPropsVTypes"/>
</file>