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color w:val="C00000"/>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color w:val="C00000"/>
        </w:rPr>
        <w:t xml:space="preserve"> </w:t>
      </w:r>
      <w:r>
        <w:rPr>
          <w:rFonts w:ascii="Times New Roman" w:hAnsi="Times New Roman"/>
          <w:color w:val="C00000"/>
        </w:rPr>
        <w:t xml:space="preserve">“approximately 80%”</w:t>
      </w:r>
      <w:r>
        <w:rPr>
          <w:rFonts w:ascii="Times New Roman" w:hAnsi="Times New Roman"/>
          <w:color w:val="C00000"/>
        </w:rPr>
        <w:t xml:space="preserve"> </w:t>
      </w:r>
      <w:r>
        <w:rPr>
          <w:rFonts w:ascii="Times New Roman" w:hAnsi="Times New Roman"/>
          <w:color w:val="C00000"/>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color w:val="C00000"/>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color w:val="C00000"/>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color w:val="C00000"/>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color w:val="C00000"/>
        </w:rPr>
        <w:t xml:space="preserve">How route of administration is represented.</w:t>
      </w:r>
      <w:r>
        <w:rPr>
          <w:rFonts w:ascii="Times New Roman" w:hAnsi="Times New Roman"/>
          <w:color w:val="C00000"/>
        </w:rPr>
        <w:t xml:space="preserve"> </w:t>
      </w:r>
      <w:r>
        <w:rPr>
          <w:rFonts w:ascii="Times New Roman" w:hAnsi="Times New Roman"/>
          <w:color w:val="C00000"/>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 </w:t>
      </w:r>
      <w:r>
        <w:rPr>
          <w:rFonts w:ascii="Times New Roman" w:hAnsi="Times New Roman"/>
          <w:color w:val="C00000"/>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color w:val="C00000"/>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color w:val="C00000"/>
        </w:rPr>
        <w:t xml:space="preserve">L1 rule engine.</w:t>
      </w:r>
      <w:r>
        <w:rPr>
          <w:rFonts w:ascii="Times New Roman" w:hAnsi="Times New Roman"/>
          <w:color w:val="C00000"/>
        </w:rPr>
        <w:t xml:space="preserve"> </w:t>
      </w:r>
      <w:r>
        <w:rPr>
          <w:rFonts w:ascii="Times New Roman" w:hAnsi="Times New Roman"/>
          <w:color w:val="C00000"/>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color w:val="C00000"/>
        </w:rPr>
        <w:t xml:space="preserve"> </w:t>
      </w:r>
      <w:r>
        <w:rPr>
          <w:rFonts w:ascii="Times New Roman" w:hAnsi="Times New Roman"/>
          <w:b/>
          <w:bCs/>
          <w:color w:val="C00000"/>
        </w:rPr>
        <w:t xml:space="preserve">No second-order interactions are modelled:</w:t>
      </w:r>
      <w:r>
        <w:rPr>
          <w:rFonts w:ascii="Times New Roman" w:hAnsi="Times New Roman"/>
          <w:color w:val="C00000"/>
        </w:rPr>
        <w:t xml:space="preserve"> </w:t>
      </w:r>
      <w:r>
        <w:rPr>
          <w:rFonts w:ascii="Times New Roman" w:hAnsi="Times New Roman"/>
          <w:color w:val="C00000"/>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color w:val="C00000"/>
        </w:rPr>
        <w:t xml:space="preserve">Citation coverage is narrower than the phrase</w:t>
      </w:r>
      <w:r>
        <w:rPr>
          <w:rFonts w:ascii="Times New Roman" w:hAnsi="Times New Roman"/>
          <w:color w:val="C00000"/>
        </w:rPr>
        <w:t xml:space="preserve"> </w:t>
      </w:r>
      <w:r>
        <w:rPr>
          <w:rFonts w:ascii="Times New Roman" w:hAnsi="Times New Roman"/>
          <w:color w:val="C00000"/>
        </w:rPr>
        <w:t xml:space="preserve">“citation-verified”</w:t>
      </w:r>
      <w:r>
        <w:rPr>
          <w:rFonts w:ascii="Times New Roman" w:hAnsi="Times New Roman"/>
          <w:color w:val="C00000"/>
        </w:rPr>
        <w:t xml:space="preserve"> </w:t>
      </w:r>
      <w:r>
        <w:rPr>
          <w:rFonts w:ascii="Times New Roman" w:hAnsi="Times New Roman"/>
          <w:color w:val="C00000"/>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color w:val="C00000"/>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color w:val="C00000"/>
        </w:rPr>
        <w:t xml:space="preserve">Which layer produces the grade.</w:t>
      </w:r>
      <w:r>
        <w:rPr>
          <w:rFonts w:ascii="Times New Roman" w:hAnsi="Times New Roman"/>
          <w:color w:val="C00000"/>
        </w:rPr>
        <w:t xml:space="preserve"> </w:t>
      </w:r>
      <w:r>
        <w:rPr>
          <w:rFonts w:ascii="Times New Roman" w:hAnsi="Times New Roman"/>
          <w:color w:val="C00000"/>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color w:val="C00000"/>
        </w:rPr>
        <w:t xml:space="preserve"> </w:t>
      </w:r>
      <w:r>
        <w:rPr>
          <w:rStyle w:val="VerbatimChar"/>
          <w:rFonts w:ascii="Times New Roman" w:hAnsi="Times New Roman"/>
          <w:color w:val="C00000"/>
        </w:rPr>
        <w:t xml:space="preserve">nsaid_antihypertensive_antagonism</w:t>
      </w:r>
      <w:r>
        <w:rPr>
          <w:rFonts w:ascii="Times New Roman" w:hAnsi="Times New Roman"/>
          <w:color w:val="C00000"/>
        </w:rPr>
        <w:t xml:space="preserve">, which requires no absorption flag. Section 4.2 quantifies that consequence and why we did not gate the rule.</w:t>
      </w:r>
    </w:p>
    <w:p>
      <w:pPr>
        <w:pStyle w:val="BodyText"/>
        <w:spacing w:line="480" w:lineRule="auto"/>
      </w:pPr>
      <w:r>
        <w:rPr>
          <w:rFonts w:ascii="Times New Roman" w:hAnsi="Times New Roman"/>
          <w:b/>
          <w:bCs/>
          <w:color w:val="C00000"/>
        </w:rPr>
        <w:t xml:space="preserve">L3 hard constraint.</w:t>
      </w:r>
      <w:r>
        <w:rPr>
          <w:rFonts w:ascii="Times New Roman" w:hAnsi="Times New Roman"/>
          <w:color w:val="C00000"/>
        </w:rPr>
        <w:t xml:space="preserve"> </w:t>
      </w:r>
      <w:r>
        <w:rPr>
          <w:rFonts w:ascii="Times New Roman" w:hAnsi="Times New Roman"/>
          <w:color w:val="C00000"/>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15 high, 17 medium, 61 low, 9 very-low, 7 minimal, 4 none). The L3 hard constraint fires on two of these values,</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 as implemented in</w:t>
      </w:r>
      <w:r>
        <w:rPr>
          <w:rFonts w:ascii="Times New Roman" w:hAnsi="Times New Roman"/>
          <w:color w:val="C00000"/>
        </w:rPr>
        <w:t xml:space="preserve"> </w:t>
      </w:r>
      <w:r>
        <w:rPr>
          <w:rStyle w:val="VerbatimChar"/>
          <w:rFonts w:ascii="Times New Roman" w:hAnsi="Times New Roman"/>
          <w:color w:val="C00000"/>
        </w:rPr>
        <w:t xml:space="preserve">kg_layer.py</w:t>
      </w:r>
      <w:r>
        <w:rPr>
          <w:rFonts w:ascii="Times New Roman" w:hAnsi="Times New Roman"/>
          <w:color w:val="C00000"/>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color w:val="C00000"/>
        </w:rPr>
        <w:t xml:space="preserve"> </w:t>
      </w:r>
      <w:r>
        <w:rPr>
          <w:rFonts w:ascii="Times New Roman" w:hAnsi="Times New Roman"/>
          <w:b/>
          <w:bCs/>
          <w:color w:val="C00000"/>
        </w:rPr>
        <w:t xml:space="preserve">The table’s source column does not evidence the tiers individually:</w:t>
      </w:r>
      <w:r>
        <w:rPr>
          <w:rFonts w:ascii="Times New Roman" w:hAnsi="Times New Roman"/>
          <w:color w:val="C00000"/>
        </w:rPr>
        <w:t xml:space="preserve"> </w:t>
      </w:r>
      <w:r>
        <w:rPr>
          <w:rFonts w:ascii="Times New Roman" w:hAnsi="Times New Roman"/>
          <w:color w:val="C00000"/>
        </w:rPr>
        <w:t xml:space="preserve">all 113 rows record the same string (</w:t>
      </w:r>
      <w:r>
        <w:rPr>
          <w:rStyle w:val="VerbatimChar"/>
          <w:rFonts w:ascii="Times New Roman" w:hAnsi="Times New Roman"/>
          <w:color w:val="C00000"/>
        </w:rPr>
        <w:t xml:space="preserve">DrugBank DBxxxxx|PubMed</w:t>
      </w:r>
      <w:r>
        <w:rPr>
          <w:rFonts w:ascii="Times New Roman" w:hAnsi="Times New Roman"/>
          <w:color w:val="C00000"/>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study team, which comprises the named authors, so</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and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color w:val="C00000"/>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i.e. the drug names are included,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r>
        <w:rPr>
          <w:rFonts w:ascii="Times New Roman" w:hAnsi="Times New Roman"/>
          <w:color w:val="C00000"/>
        </w:rPr>
        <w:t xml:space="preserve"> </w:t>
      </w:r>
      <w:r>
        <w:rPr>
          <w:rFonts w:ascii="Times New Roman" w:hAnsi="Times New Roman"/>
          <w:b/>
          <w:bCs/>
          <w:color w:val="C00000"/>
        </w:rPr>
        <w:t xml:space="preserve">Reasoning-model re-run (reported in Section 3.6 and Table 3).</w:t>
      </w:r>
      <w:r>
        <w:rPr>
          <w:rFonts w:ascii="Times New Roman" w:hAnsi="Times New Roman"/>
          <w:color w:val="C00000"/>
        </w:rPr>
        <w:t xml:space="preserve"> </w:t>
      </w:r>
      <w:r>
        <w:rPr>
          <w:rFonts w:ascii="Times New Roman" w:hAnsi="Times New Roman"/>
          <w:color w:val="C00000"/>
        </w:rPr>
        <w:t xml:space="preserve">The three LLM baselines were additionally re-run under an adequate output budget with a reasoning model. Setup, stated in full: provider Zhipu (Zhipu AI, China) through the coding-plan endpoint</w:t>
      </w:r>
      <w:r>
        <w:rPr>
          <w:rFonts w:ascii="Times New Roman" w:hAnsi="Times New Roman"/>
          <w:color w:val="C00000"/>
        </w:rPr>
        <w:t xml:space="preserve"> </w:t>
      </w:r>
      <w:r>
        <w:rPr>
          <w:rStyle w:val="VerbatimChar"/>
          <w:rFonts w:ascii="Times New Roman" w:hAnsi="Times New Roman"/>
          <w:color w:val="C00000"/>
        </w:rPr>
        <w:t xml:space="preserve">https://open.bigmodel.cn/api/coding/paas/v4</w:t>
      </w:r>
      <w:r>
        <w:rPr>
          <w:rFonts w:ascii="Times New Roman" w:hAnsi="Times New Roman"/>
          <w:color w:val="C00000"/>
        </w:rPr>
        <w:t xml:space="preserve">, model identifier</w:t>
      </w:r>
      <w:r>
        <w:rPr>
          <w:rFonts w:ascii="Times New Roman" w:hAnsi="Times New Roman"/>
          <w:color w:val="C00000"/>
        </w:rPr>
        <w:t xml:space="preserve"> </w:t>
      </w:r>
      <w:r>
        <w:rPr>
          <w:rStyle w:val="VerbatimChar"/>
          <w:rFonts w:ascii="Times New Roman" w:hAnsi="Times New Roman"/>
          <w:color w:val="C00000"/>
        </w:rPr>
        <w:t xml:space="preserve">glm-5.3-flash</w:t>
      </w:r>
      <w:r>
        <w:rPr>
          <w:rFonts w:ascii="Times New Roman" w:hAnsi="Times New Roman"/>
          <w:color w:val="C00000"/>
        </w:rPr>
        <w:t xml:space="preserve">, temperature 0.0,</w:t>
      </w:r>
      <w:r>
        <w:rPr>
          <w:rFonts w:ascii="Times New Roman" w:hAnsi="Times New Roman"/>
          <w:color w:val="C00000"/>
        </w:rPr>
        <w:t xml:space="preserve"> </w:t>
      </w:r>
      <w:r>
        <w:rPr>
          <w:rStyle w:val="VerbatimChar"/>
          <w:rFonts w:ascii="Times New Roman" w:hAnsi="Times New Roman"/>
          <w:color w:val="C00000"/>
        </w:rPr>
        <w:t xml:space="preserve">max_tokens</w:t>
      </w:r>
      <w:r>
        <w:rPr>
          <w:rFonts w:ascii="Times New Roman" w:hAnsi="Times New Roman"/>
          <w:color w:val="C00000"/>
        </w:rPr>
        <w:t xml:space="preserve"> </w:t>
      </w:r>
      <w:r>
        <w:rPr>
          <w:rFonts w:ascii="Times New Roman" w:hAnsi="Times New Roman"/>
          <w:color w:val="C00000"/>
        </w:rPr>
        <w:t xml:space="preserve">3000, five repeated samples per case, temperature held fixed so the repetition captures sampling variance rather than a temperature schedule.</w:t>
      </w:r>
      <w:r>
        <w:rPr>
          <w:rFonts w:ascii="Times New Roman" w:hAnsi="Times New Roman"/>
          <w:color w:val="C00000"/>
        </w:rPr>
        <w:t xml:space="preserve"> </w:t>
      </w:r>
      <w:r>
        <w:rPr>
          <w:rFonts w:ascii="Times New Roman" w:hAnsi="Times New Roman"/>
          <w:b/>
          <w:bCs/>
          <w:color w:val="C00000"/>
        </w:rPr>
        <w:t xml:space="preserve">Reasoning tokens count against the 3000-token budget</w:t>
      </w:r>
      <w:r>
        <w:rPr>
          <w:rFonts w:ascii="Times New Roman" w:hAnsi="Times New Roman"/>
          <w:color w:val="C00000"/>
        </w:rPr>
        <w:t xml:space="preserve">: the model emits</w:t>
      </w:r>
      <w:r>
        <w:rPr>
          <w:rFonts w:ascii="Times New Roman" w:hAnsi="Times New Roman"/>
          <w:color w:val="C00000"/>
        </w:rPr>
        <w:t xml:space="preserve"> </w:t>
      </w:r>
      <w:r>
        <w:rPr>
          <w:rStyle w:val="VerbatimChar"/>
          <w:rFonts w:ascii="Times New Roman" w:hAnsi="Times New Roman"/>
          <w:color w:val="C00000"/>
        </w:rPr>
        <w:t xml:space="preserve">reasoning_content</w:t>
      </w:r>
      <w:r>
        <w:rPr>
          <w:rFonts w:ascii="Times New Roman" w:hAnsi="Times New Roman"/>
          <w:color w:val="C00000"/>
        </w:rPr>
        <w:t xml:space="preserve"> </w:t>
      </w:r>
      <w:r>
        <w:rPr>
          <w:rFonts w:ascii="Times New Roman" w:hAnsi="Times New Roman"/>
          <w:color w:val="C00000"/>
        </w:rPr>
        <w:t xml:space="preserve">before</w:t>
      </w:r>
      <w:r>
        <w:rPr>
          <w:rFonts w:ascii="Times New Roman" w:hAnsi="Times New Roman"/>
          <w:color w:val="C00000"/>
        </w:rPr>
        <w:t xml:space="preserve"> </w:t>
      </w:r>
      <w:r>
        <w:rPr>
          <w:rStyle w:val="VerbatimChar"/>
          <w:rFonts w:ascii="Times New Roman" w:hAnsi="Times New Roman"/>
          <w:color w:val="C00000"/>
        </w:rPr>
        <w:t xml:space="preserve">content</w:t>
      </w:r>
      <w:r>
        <w:rPr>
          <w:rFonts w:ascii="Times New Roman" w:hAnsi="Times New Roman"/>
          <w:color w:val="C00000"/>
        </w:rPr>
        <w:t xml:space="preserve">, so the budget covers both.</w:t>
      </w:r>
      <w:r>
        <w:rPr>
          <w:rFonts w:ascii="Times New Roman" w:hAnsi="Times New Roman"/>
          <w:color w:val="C00000"/>
        </w:rPr>
        <w:t xml:space="preserve"> </w:t>
      </w:r>
      <w:r>
        <w:rPr>
          <w:rFonts w:ascii="Times New Roman" w:hAnsi="Times New Roman"/>
          <w:b/>
          <w:bCs/>
          <w:color w:val="C00000"/>
        </w:rPr>
        <w:t xml:space="preserve">Zero responses were truncated</w:t>
      </w:r>
      <w:r>
        <w:rPr>
          <w:rFonts w:ascii="Times New Roman" w:hAnsi="Times New Roman"/>
          <w:color w:val="C00000"/>
        </w:rPr>
        <w:t xml:space="preserve"> </w:t>
      </w:r>
      <w:r>
        <w:rPr>
          <w:rFonts w:ascii="Times New Roman" w:hAnsi="Times New Roman"/>
          <w:color w:val="C00000"/>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color w:val="C00000"/>
        </w:rPr>
        <w:t xml:space="preserve"> </w:t>
      </w:r>
      <w:r>
        <w:rPr>
          <w:rStyle w:val="VerbatimChar"/>
          <w:rFonts w:ascii="Times New Roman" w:hAnsi="Times New Roman"/>
          <w:color w:val="C00000"/>
        </w:rPr>
        <w:t xml:space="preserve">high</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medium</w:t>
      </w:r>
      <w:r>
        <w:rPr>
          <w:rFonts w:ascii="Times New Roman" w:hAnsi="Times New Roman"/>
          <w:color w:val="C00000"/>
        </w:rPr>
        <w:t xml:space="preserve">/</w:t>
      </w:r>
      <w:r>
        <w:rPr>
          <w:rStyle w:val="VerbatimChar"/>
          <w:rFonts w:ascii="Times New Roman" w:hAnsi="Times New Roman"/>
          <w:color w:val="C00000"/>
        </w:rPr>
        <w:t xml:space="preserve">moderate</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low</w:t>
      </w:r>
      <w:r>
        <w:rPr>
          <w:rFonts w:ascii="Times New Roman" w:hAnsi="Times New Roman"/>
          <w:color w:val="C00000"/>
        </w:rPr>
        <w:t xml:space="preserve">, else</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and no sample returned</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The run was executed on 23–24 September 2026 and produced 3,150 raw responses, deposited in full at</w:t>
      </w:r>
      <w:r>
        <w:rPr>
          <w:rFonts w:ascii="Times New Roman" w:hAnsi="Times New Roman"/>
          <w:color w:val="C00000"/>
        </w:rPr>
        <w:t xml:space="preserve"> </w:t>
      </w:r>
      <w:r>
        <w:rPr>
          <w:rStyle w:val="VerbatimChar"/>
          <w:rFonts w:ascii="Times New Roman" w:hAnsi="Times New Roman"/>
          <w:color w:val="C00000"/>
        </w:rPr>
        <w:t xml:space="preserve">data/predictions/glm53_baselines/</w:t>
      </w:r>
      <w:r>
        <w:rPr>
          <w:rFonts w:ascii="Times New Roman" w:hAnsi="Times New Roman"/>
          <w:color w:val="C00000"/>
        </w:rPr>
        <w:t xml:space="preserve"> </w:t>
      </w:r>
      <w:r>
        <w:rPr>
          <w:rFonts w:ascii="Times New Roman" w:hAnsi="Times New Roman"/>
          <w:color w:val="C00000"/>
        </w:rPr>
        <w:t xml:space="preserve">with the run script</w:t>
      </w:r>
      <w:r>
        <w:rPr>
          <w:rFonts w:ascii="Times New Roman" w:hAnsi="Times New Roman"/>
          <w:color w:val="C00000"/>
        </w:rPr>
        <w:t xml:space="preserve"> </w:t>
      </w:r>
      <w:r>
        <w:rPr>
          <w:rStyle w:val="VerbatimChar"/>
          <w:rFonts w:ascii="Times New Roman" w:hAnsi="Times New Roman"/>
          <w:color w:val="C00000"/>
        </w:rPr>
        <w:t xml:space="preserve">scripts/rerun_glm53_baselines.py</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b/>
          <w:bCs/>
          <w:color w:val="C00000"/>
        </w:rPr>
        <w:t xml:space="preserve">Single-model caveat:</w:t>
      </w:r>
      <w:r>
        <w:rPr>
          <w:rFonts w:ascii="Times New Roman" w:hAnsi="Times New Roman"/>
          <w:color w:val="C00000"/>
        </w:rPr>
        <w:t xml:space="preserve"> </w:t>
      </w:r>
      <w:r>
        <w:rPr>
          <w:rFonts w:ascii="Times New Roman" w:hAnsi="Times New Roman"/>
          <w:color w:val="C00000"/>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color w:val="C00000"/>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color w:val="C00000"/>
        </w:rPr>
        <w:t xml:space="preserve"> </w:t>
      </w:r>
      <w:r>
        <w:rPr>
          <w:rFonts w:ascii="Times New Roman" w:hAnsi="Times New Roman"/>
          <w:b/>
          <w:bCs/>
          <w:color w:val="C00000"/>
        </w:rPr>
        <w:t xml:space="preserve">LF-normalised content</w:t>
      </w:r>
      <w:r>
        <w:rPr>
          <w:rFonts w:ascii="Times New Roman" w:hAnsi="Times New Roman"/>
          <w:color w:val="C00000"/>
        </w:rPr>
        <w:t xml:space="preserve">: a reader should convert CRLF to LF before hashing, otherwise a Windows checkout and a Linux checkout of the same file yield different digests (the deposited</w:t>
      </w:r>
      <w:r>
        <w:rPr>
          <w:rFonts w:ascii="Times New Roman" w:hAnsi="Times New Roman"/>
          <w:color w:val="C00000"/>
        </w:rPr>
        <w:t xml:space="preserve"> </w:t>
      </w:r>
      <w:r>
        <w:rPr>
          <w:rStyle w:val="VerbatimChar"/>
          <w:rFonts w:ascii="Times New Roman" w:hAnsi="Times New Roman"/>
          <w:color w:val="C00000"/>
        </w:rPr>
        <w:t xml:space="preserve">configs/rules.yaml</w:t>
      </w:r>
      <w:r>
        <w:rPr>
          <w:rFonts w:ascii="Times New Roman" w:hAnsi="Times New Roman"/>
          <w:color w:val="C00000"/>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each carrying at least one source record, with zero policy errors (Table 2);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color w:val="C00000"/>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color w:val="C00000"/>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color w:val="C00000"/>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color w:val="C00000"/>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color w:val="C00000"/>
        </w:rPr>
        <w:t xml:space="preserve"> </w:t>
      </w:r>
      <w:r>
        <w:rPr>
          <w:rFonts w:ascii="Times New Roman" w:hAnsi="Times New Roman"/>
          <w:b/>
          <w:bCs/>
          <w:color w:val="C00000"/>
        </w:rPr>
        <w:t xml:space="preserve">That comparison is partly confounded, and we quantify the confound rather than leave it implicit.</w:t>
      </w:r>
      <w:r>
        <w:rPr>
          <w:rFonts w:ascii="Times New Roman" w:hAnsi="Times New Roman"/>
          <w:color w:val="C00000"/>
        </w:rPr>
        <w:t xml:space="preserve"> </w:t>
      </w:r>
      <w:r>
        <w:rPr>
          <w:rFonts w:ascii="Times New Roman" w:hAnsi="Times New Roman"/>
          <w:color w:val="C00000"/>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color w:val="C00000"/>
        </w:rPr>
        <w:t xml:space="preserve">scripts/naive_rag_leakage_audit.py</w:t>
      </w:r>
      <w:r>
        <w:rPr>
          <w:rFonts w:ascii="Times New Roman" w:hAnsi="Times New Roman"/>
          <w:color w:val="C00000"/>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color w:val="C00000"/>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color w:val="C00000"/>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color w:val="C00000"/>
        </w:rPr>
        <w:t xml:space="preserve">3.6 Reasoning-model baselines under an adequate output budget</w:t>
      </w:r>
    </w:p>
    <w:p>
      <w:pPr>
        <w:pStyle w:val="FirstParagraph"/>
        <w:spacing w:line="480" w:lineRule="auto"/>
      </w:pPr>
      <w:r>
        <w:rPr>
          <w:rFonts w:ascii="Times New Roman" w:hAnsi="Times New Roman"/>
          <w:color w:val="C00000"/>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color w:val="C00000"/>
        </w:rPr>
        <w:t xml:space="preserve">Accurate label agreement improved. On the 118-case set, pure_llm rose from 0.475 to 0.576 and naive_rag from 0.415 to 0.585; lightrag was unchanged at 0.737.</w:t>
      </w:r>
      <w:r>
        <w:rPr>
          <w:rFonts w:ascii="Times New Roman" w:hAnsi="Times New Roman"/>
          <w:color w:val="C00000"/>
        </w:rPr>
        <w:t xml:space="preserve"> </w:t>
      </w:r>
      <w:r>
        <w:rPr>
          <w:rFonts w:ascii="Times New Roman" w:hAnsi="Times New Roman"/>
          <w:b/>
          <w:bCs/>
          <w:color w:val="C00000"/>
        </w:rPr>
        <w:t xml:space="preserve">High-risk sensitivity, however, fell sharply</w:t>
      </w:r>
      <w:r>
        <w:rPr>
          <w:rFonts w:ascii="Times New Roman" w:hAnsi="Times New Roman"/>
          <w:color w:val="C00000"/>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method</w:t>
            </w:r>
          </w:p>
        </w:tc>
        <w:tc>
          <w:tcPr/>
          <w:p>
            <w:pPr>
              <w:pStyle w:val="Compact"/>
            </w:pPr>
            <w:r>
              <w:rPr>
                <w:color w:val="C00000"/>
              </w:rPr>
              <w:t xml:space="preserve">Acc3 (10-token)</w:t>
            </w:r>
          </w:p>
        </w:tc>
        <w:tc>
          <w:tcPr/>
          <w:p>
            <w:pPr>
              <w:pStyle w:val="Compact"/>
            </w:pPr>
            <w:r>
              <w:rPr>
                <w:color w:val="C00000"/>
              </w:rPr>
              <w:t xml:space="preserve">Acc3 (3000-token)</w:t>
            </w:r>
          </w:p>
        </w:tc>
        <w:tc>
          <w:tcPr/>
          <w:p>
            <w:pPr>
              <w:pStyle w:val="Compact"/>
            </w:pPr>
            <w:r>
              <w:rPr>
                <w:color w:val="C00000"/>
              </w:rPr>
              <w:t xml:space="preserve">sens (10-token)</w:t>
            </w:r>
          </w:p>
        </w:tc>
        <w:tc>
          <w:tcPr/>
          <w:p>
            <w:pPr>
              <w:pStyle w:val="Compact"/>
            </w:pPr>
            <w:r>
              <w:rPr>
                <w:color w:val="C00000"/>
              </w:rPr>
              <w:t xml:space="preserve">sens (3000-token)</w:t>
            </w:r>
          </w:p>
        </w:tc>
        <w:tc>
          <w:tcPr/>
          <w:p>
            <w:pPr>
              <w:pStyle w:val="Compact"/>
            </w:pPr>
            <w:r>
              <w:rPr>
                <w:color w:val="C00000"/>
              </w:rPr>
              <w:t xml:space="preserve">spec (3000-token)</w:t>
            </w:r>
          </w:p>
        </w:tc>
      </w:tr>
      <w:tr>
        <w:tc>
          <w:tcPr/>
          <w:p>
            <w:pPr>
              <w:pStyle w:val="Compact"/>
            </w:pPr>
            <w:r>
              <w:rPr>
                <w:color w:val="C00000"/>
              </w:rPr>
              <w:t xml:space="preserve">pure_llm</w:t>
            </w:r>
          </w:p>
        </w:tc>
        <w:tc>
          <w:tcPr/>
          <w:p>
            <w:pPr>
              <w:pStyle w:val="Compact"/>
            </w:pPr>
            <w:r>
              <w:rPr>
                <w:color w:val="C00000"/>
              </w:rPr>
              <w:t xml:space="preserve">0.475</w:t>
            </w:r>
          </w:p>
        </w:tc>
        <w:tc>
          <w:tcPr/>
          <w:p>
            <w:pPr>
              <w:pStyle w:val="Compact"/>
            </w:pPr>
            <w:r>
              <w:rPr>
                <w:color w:val="C00000"/>
              </w:rPr>
              <w:t xml:space="preserve">0.576</w:t>
            </w:r>
          </w:p>
        </w:tc>
        <w:tc>
          <w:tcPr/>
          <w:p>
            <w:pPr>
              <w:pStyle w:val="Compact"/>
            </w:pPr>
            <w:r>
              <w:rPr>
                <w:color w:val="C00000"/>
              </w:rPr>
              <w:t xml:space="preserve">0.771</w:t>
            </w:r>
          </w:p>
        </w:tc>
        <w:tc>
          <w:tcPr/>
          <w:p>
            <w:pPr>
              <w:pStyle w:val="Compact"/>
            </w:pPr>
            <w:r>
              <w:rPr>
                <w:color w:val="C00000"/>
              </w:rPr>
              <w:t xml:space="preserve">0.250</w:t>
            </w:r>
          </w:p>
        </w:tc>
        <w:tc>
          <w:tcPr/>
          <w:p>
            <w:pPr>
              <w:pStyle w:val="Compact"/>
            </w:pPr>
            <w:r>
              <w:rPr>
                <w:color w:val="C00000"/>
              </w:rPr>
              <w:t xml:space="preserve">1.000</w:t>
            </w:r>
          </w:p>
        </w:tc>
      </w:tr>
      <w:tr>
        <w:tc>
          <w:tcPr/>
          <w:p>
            <w:pPr>
              <w:pStyle w:val="Compact"/>
            </w:pPr>
            <w:r>
              <w:rPr>
                <w:color w:val="C00000"/>
              </w:rPr>
              <w:t xml:space="preserve">naive_rag</w:t>
            </w:r>
          </w:p>
        </w:tc>
        <w:tc>
          <w:tcPr/>
          <w:p>
            <w:pPr>
              <w:pStyle w:val="Compact"/>
            </w:pPr>
            <w:r>
              <w:rPr>
                <w:color w:val="C00000"/>
              </w:rPr>
              <w:t xml:space="preserve">0.415</w:t>
            </w:r>
          </w:p>
        </w:tc>
        <w:tc>
          <w:tcPr/>
          <w:p>
            <w:pPr>
              <w:pStyle w:val="Compact"/>
            </w:pPr>
            <w:r>
              <w:rPr>
                <w:color w:val="C00000"/>
              </w:rPr>
              <w:t xml:space="preserve">0.585</w:t>
            </w:r>
          </w:p>
        </w:tc>
        <w:tc>
          <w:tcPr/>
          <w:p>
            <w:pPr>
              <w:pStyle w:val="Compact"/>
            </w:pPr>
            <w:r>
              <w:rPr>
                <w:color w:val="C00000"/>
              </w:rPr>
              <w:t xml:space="preserve">0.757</w:t>
            </w:r>
          </w:p>
        </w:tc>
        <w:tc>
          <w:tcPr/>
          <w:p>
            <w:pPr>
              <w:pStyle w:val="Compact"/>
            </w:pPr>
            <w:r>
              <w:rPr>
                <w:color w:val="C00000"/>
              </w:rPr>
              <w:t xml:space="preserve">0.214</w:t>
            </w:r>
          </w:p>
        </w:tc>
        <w:tc>
          <w:tcPr/>
          <w:p>
            <w:pPr>
              <w:pStyle w:val="Compact"/>
            </w:pPr>
            <w:r>
              <w:rPr>
                <w:color w:val="C00000"/>
              </w:rPr>
              <w:t xml:space="preserve">0.989</w:t>
            </w:r>
          </w:p>
        </w:tc>
      </w:tr>
      <w:tr>
        <w:tc>
          <w:tcPr/>
          <w:p>
            <w:pPr>
              <w:pStyle w:val="Compact"/>
            </w:pPr>
            <w:r>
              <w:rPr>
                <w:color w:val="C00000"/>
              </w:rPr>
              <w:t xml:space="preserve">lightrag</w:t>
            </w:r>
          </w:p>
        </w:tc>
        <w:tc>
          <w:tcPr/>
          <w:p>
            <w:pPr>
              <w:pStyle w:val="Compact"/>
            </w:pPr>
            <w:r>
              <w:rPr>
                <w:color w:val="C00000"/>
              </w:rPr>
              <w:t xml:space="preserve">0.737</w:t>
            </w:r>
          </w:p>
        </w:tc>
        <w:tc>
          <w:tcPr/>
          <w:p>
            <w:pPr>
              <w:pStyle w:val="Compact"/>
            </w:pPr>
            <w:r>
              <w:rPr>
                <w:color w:val="C00000"/>
              </w:rPr>
              <w:t xml:space="preserve">0.737</w:t>
            </w:r>
          </w:p>
        </w:tc>
        <w:tc>
          <w:tcPr/>
          <w:p>
            <w:pPr>
              <w:pStyle w:val="Compact"/>
            </w:pPr>
            <w:r>
              <w:rPr>
                <w:color w:val="C00000"/>
              </w:rPr>
              <w:t xml:space="preserve">0.779</w:t>
            </w:r>
          </w:p>
        </w:tc>
        <w:tc>
          <w:tcPr/>
          <w:p>
            <w:pPr>
              <w:pStyle w:val="Compact"/>
            </w:pPr>
            <w:r>
              <w:rPr>
                <w:color w:val="C00000"/>
              </w:rPr>
              <w:t xml:space="preserve">0.536</w:t>
            </w:r>
          </w:p>
        </w:tc>
        <w:tc>
          <w:tcPr/>
          <w:p>
            <w:pPr>
              <w:pStyle w:val="Compact"/>
            </w:pPr>
            <w:r>
              <w:rPr>
                <w:color w:val="C00000"/>
              </w:rPr>
              <w:t xml:space="preserve">1.000</w:t>
            </w:r>
          </w:p>
        </w:tc>
      </w:tr>
      <w:tr>
        <w:tc>
          <w:tcPr/>
          <w:p>
            <w:pPr>
              <w:pStyle w:val="Compact"/>
            </w:pPr>
            <w:r>
              <w:rPr>
                <w:color w:val="C00000"/>
              </w:rPr>
              <w:t xml:space="preserve">full_system</w:t>
            </w:r>
          </w:p>
        </w:tc>
        <w:tc>
          <w:tcPr/>
          <w:p>
            <w:pPr>
              <w:pStyle w:val="Compact"/>
            </w:pPr>
            <w:r>
              <w:rPr>
                <w:color w:val="C00000"/>
              </w:rPr>
              <w:t xml:space="preserve">0.907</w:t>
            </w:r>
          </w:p>
        </w:tc>
        <w:tc>
          <w:tcPr/>
          <w:p>
            <w:pPr>
              <w:pStyle w:val="Compact"/>
            </w:pPr>
            <w:r>
              <w:rPr>
                <w:color w:val="C00000"/>
              </w:rPr>
              <w:t xml:space="preserve">0.907</w:t>
            </w:r>
          </w:p>
        </w:tc>
        <w:tc>
          <w:tcPr/>
          <w:p>
            <w:pPr>
              <w:pStyle w:val="Compact"/>
            </w:pPr>
            <w:r>
              <w:rPr>
                <w:color w:val="C00000"/>
              </w:rPr>
              <w:t xml:space="preserve">0.964</w:t>
            </w:r>
          </w:p>
        </w:tc>
        <w:tc>
          <w:tcPr/>
          <w:p>
            <w:pPr>
              <w:pStyle w:val="Compact"/>
            </w:pPr>
            <w:r>
              <w:rPr>
                <w:color w:val="C00000"/>
              </w:rPr>
              <w:t xml:space="preserve">0.964</w:t>
            </w:r>
          </w:p>
        </w:tc>
        <w:tc>
          <w:tcPr/>
          <w:p>
            <w:pPr>
              <w:pStyle w:val="Compact"/>
            </w:pPr>
            <w:r>
              <w:rPr>
                <w:color w:val="C00000"/>
              </w:rP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color w:val="C00000"/>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color w:val="C00000"/>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color w:val="C00000"/>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color w:val="C00000"/>
        </w:rPr>
        <w:t xml:space="preserve">3.8 Expert grade review (two ophthalmologists, 12 cases)</w:t>
      </w:r>
    </w:p>
    <w:p>
      <w:pPr>
        <w:pStyle w:val="FirstParagraph"/>
        <w:spacing w:line="480" w:lineRule="auto"/>
      </w:pPr>
      <w:r>
        <w:rPr>
          <w:rFonts w:ascii="Times New Roman" w:hAnsi="Times New Roman"/>
          <w:color w:val="C00000"/>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color w:val="C00000"/>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color w:val="C00000"/>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color w:val="C00000"/>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color w:val="C00000"/>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Disclosed alternative tiers.</w:t>
      </w:r>
      <w:r>
        <w:rPr>
          <w:rFonts w:ascii="Times New Roman" w:hAnsi="Times New Roman"/>
          <w:color w:val="C00000"/>
        </w:rPr>
        <w:t xml:space="preserve"> </w:t>
      </w:r>
      <w:r>
        <w:rPr>
          <w:rFonts w:ascii="Times New Roman" w:hAnsi="Times New Roman"/>
          <w:color w:val="C00000"/>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color w:val="C00000"/>
        </w:rPr>
        <w:t xml:space="preserve">data/seed/entities_a.csv</w:t>
      </w:r>
      <w:r>
        <w:rPr>
          <w:rFonts w:ascii="Times New Roman" w:hAnsi="Times New Roman"/>
          <w:color w:val="C00000"/>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color w:val="C00000"/>
        </w:rPr>
        <w:t xml:space="preserve">scripts/audit_ddinter_disagreement.py --tier-override data/curation/entity_a_candidates.yaml</w:t>
      </w:r>
      <w:r>
        <w:rPr>
          <w:rFonts w:ascii="Times New Roman" w:hAnsi="Times New Roman"/>
          <w:color w:val="C00000"/>
        </w:rPr>
        <w:t xml:space="preserve">; result deposited as</w:t>
      </w:r>
      <w:r>
        <w:rPr>
          <w:rFonts w:ascii="Times New Roman" w:hAnsi="Times New Roman"/>
          <w:color w:val="C00000"/>
        </w:rPr>
        <w:t xml:space="preserve"> </w:t>
      </w:r>
      <w:r>
        <w:rPr>
          <w:rStyle w:val="VerbatimChar"/>
          <w:rFonts w:ascii="Times New Roman" w:hAnsi="Times New Roman"/>
          <w:color w:val="C00000"/>
        </w:rPr>
        <w:t xml:space="preserve">audits/tier_override_scenario.json</w:t>
      </w:r>
      <w:r>
        <w:rPr>
          <w:rFonts w:ascii="Times New Roman" w:hAnsi="Times New Roman"/>
          <w:color w:val="C00000"/>
        </w:rPr>
        <w:t xml:space="preserve">). The registry-scale conclusion is therefore robust to which of the two files is treated as authoritative.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color w:val="C00000"/>
        </w:rPr>
        <w:t xml:space="preserve">Four directions follow directly, with the first taking precedence.</w:t>
      </w:r>
      <w:r>
        <w:rPr>
          <w:rFonts w:ascii="Times New Roman" w:hAnsi="Times New Roman"/>
          <w:color w:val="C00000"/>
        </w:rPr>
        <w:t xml:space="preserve"> </w:t>
      </w:r>
      <w:r>
        <w:rPr>
          <w:rFonts w:ascii="Times New Roman" w:hAnsi="Times New Roman"/>
          <w:b/>
          <w:bCs/>
          <w:color w:val="C00000"/>
        </w:rPr>
        <w:t xml:space="preserve">Registry correction:</w:t>
      </w:r>
      <w:r>
        <w:rPr>
          <w:rFonts w:ascii="Times New Roman" w:hAnsi="Times New Roman"/>
          <w:color w:val="C00000"/>
        </w:rPr>
        <w:t xml:space="preserve"> </w:t>
      </w:r>
      <w:r>
        <w:rPr>
          <w:rFonts w:ascii="Times New Roman" w:hAnsi="Times New Roman"/>
          <w:color w:val="C00000"/>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color w:val="C00000"/>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color w:val="C00000"/>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color w:val="C00000"/>
        </w:rPr>
        <w:t xml:space="preserve"> </w:t>
      </w:r>
      <w:r>
        <w:rPr>
          <w:rFonts w:ascii="Times New Roman" w:hAnsi="Times New Roman"/>
          <w:color w:val="C00000"/>
        </w:rPr>
        <w:t xml:space="preserve">“Preliminary study of a mobile-device-based method for refractive error detection”</w:t>
      </w:r>
      <w:r>
        <w:rPr>
          <w:rFonts w:ascii="Times New Roman" w:hAnsi="Times New Roman"/>
          <w:color w:val="C00000"/>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color w:val="C00000"/>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color w:val="C00000"/>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v1.0-submission</w:t>
      </w:r>
      <w:r>
        <w:rPr>
          <w:rFonts w:ascii="Times New Roman" w:hAnsi="Times New Roman"/>
          <w:color w:val="C00000"/>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color w:val="C00000"/>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color w:val="C00000"/>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color w:val="C00000"/>
        </w:rPr>
        <w:t xml:space="preserve"> </w:t>
      </w:r>
      <w:r>
        <w:rPr>
          <w:rFonts w:ascii="Times New Roman" w:hAnsi="Times New Roman"/>
          <w:color w:val="C00000"/>
        </w:rPr>
        <w:t xml:space="preserve">“T1 expert”</w:t>
      </w:r>
      <w:r>
        <w:rPr>
          <w:rFonts w:ascii="Times New Roman" w:hAnsi="Times New Roman"/>
          <w:color w:val="C00000"/>
        </w:rPr>
        <w:t xml:space="preserve"> </w:t>
      </w:r>
      <w:r>
        <w:rPr>
          <w:rFonts w:ascii="Times New Roman" w:hAnsi="Times New Roman"/>
          <w:color w:val="C00000"/>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color w:val="C00000"/>
                <w:sz w:val="18"/>
              </w:rPr>
              <w:t>dataset_id</w:t>
            </w:r>
          </w:p>
        </w:tc>
        <w:tc>
          <w:tcPr>
            <w:tcW w:type="dxa" w:w="1040"/>
          </w:tcPr>
          <w:p>
            <w:pPr>
              <w:spacing w:line="240" w:lineRule="auto"/>
            </w:pPr>
            <w:r>
              <w:rPr>
                <w:rFonts w:ascii="Times New Roman" w:hAnsi="Times New Roman"/>
                <w:b/>
                <w:color w:val="C00000"/>
                <w:sz w:val="18"/>
              </w:rPr>
              <w:t>setting</w:t>
            </w:r>
          </w:p>
        </w:tc>
        <w:tc>
          <w:tcPr>
            <w:tcW w:type="dxa" w:w="1040"/>
          </w:tcPr>
          <w:p>
            <w:pPr>
              <w:spacing w:line="240" w:lineRule="auto"/>
            </w:pPr>
            <w:r>
              <w:rPr>
                <w:rFonts w:ascii="Times New Roman" w:hAnsi="Times New Roman"/>
                <w:b/>
                <w:color w:val="C00000"/>
                <w:sz w:val="18"/>
              </w:rPr>
              <w:t>method</w:t>
            </w:r>
          </w:p>
        </w:tc>
        <w:tc>
          <w:tcPr>
            <w:tcW w:type="dxa" w:w="1040"/>
          </w:tcPr>
          <w:p>
            <w:pPr>
              <w:spacing w:line="240" w:lineRule="auto"/>
            </w:pPr>
            <w:r>
              <w:rPr>
                <w:rFonts w:ascii="Times New Roman" w:hAnsi="Times New Roman"/>
                <w:b/>
                <w:color w:val="C00000"/>
                <w:sz w:val="18"/>
              </w:rPr>
              <w:t>n</w:t>
            </w:r>
          </w:p>
        </w:tc>
        <w:tc>
          <w:tcPr>
            <w:tcW w:type="dxa" w:w="1040"/>
          </w:tcPr>
          <w:p>
            <w:pPr>
              <w:spacing w:line="240" w:lineRule="auto"/>
            </w:pPr>
            <w:r>
              <w:rPr>
                <w:rFonts w:ascii="Times New Roman" w:hAnsi="Times New Roman"/>
                <w:b/>
                <w:color w:val="C00000"/>
                <w:sz w:val="18"/>
              </w:rPr>
              <w:t>sensitivity_high</w:t>
            </w:r>
          </w:p>
        </w:tc>
        <w:tc>
          <w:tcPr>
            <w:tcW w:type="dxa" w:w="1040"/>
          </w:tcPr>
          <w:p>
            <w:pPr>
              <w:spacing w:line="240" w:lineRule="auto"/>
            </w:pPr>
            <w:r>
              <w:rPr>
                <w:rFonts w:ascii="Times New Roman" w:hAnsi="Times New Roman"/>
                <w:b/>
                <w:color w:val="C00000"/>
                <w:sz w:val="18"/>
              </w:rPr>
              <w:t>specificity_high</w:t>
            </w:r>
          </w:p>
        </w:tc>
        <w:tc>
          <w:tcPr>
            <w:tcW w:type="dxa" w:w="1040"/>
          </w:tcPr>
          <w:p>
            <w:pPr>
              <w:spacing w:line="240" w:lineRule="auto"/>
            </w:pPr>
            <w:r>
              <w:rPr>
                <w:rFonts w:ascii="Times New Roman" w:hAnsi="Times New Roman"/>
                <w:b/>
                <w:color w:val="C00000"/>
                <w:sz w:val="18"/>
              </w:rPr>
              <w:t>f1_high</w:t>
            </w:r>
          </w:p>
        </w:tc>
        <w:tc>
          <w:tcPr>
            <w:tcW w:type="dxa" w:w="1040"/>
          </w:tcPr>
          <w:p>
            <w:pPr>
              <w:spacing w:line="240" w:lineRule="auto"/>
            </w:pPr>
            <w:r>
              <w:rPr>
                <w:rFonts w:ascii="Times New Roman" w:hAnsi="Times New Roman"/>
                <w:b/>
                <w:color w:val="C00000"/>
                <w:sz w:val="18"/>
              </w:rPr>
              <w:t>accuracy_3level</w:t>
            </w:r>
          </w:p>
        </w:tc>
        <w:tc>
          <w:tcPr>
            <w:tcW w:type="dxa" w:w="1040"/>
          </w:tcPr>
          <w:p>
            <w:pPr>
              <w:spacing w:line="240" w:lineRule="auto"/>
            </w:pPr>
            <w:r>
              <w:rPr>
                <w:rFonts w:ascii="Times New Roman" w:hAnsi="Times New Roman"/>
                <w:b/>
                <w:color w:val="C00000"/>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0.779</w:t>
            </w:r>
          </w:p>
        </w:tc>
        <w:tc>
          <w:tcPr>
            <w:tcW w:type="dxa" w:w="1040"/>
          </w:tcPr>
          <w:p>
            <w:pPr>
              <w:spacing w:line="240" w:lineRule="auto"/>
            </w:pPr>
            <w:r>
              <w:rPr>
                <w:rFonts w:ascii="Times New Roman" w:hAnsi="Times New Roman"/>
                <w:color w:val="C00000"/>
                <w:sz w:val="18"/>
              </w:rPr>
              <w:t>0.936</w:t>
            </w:r>
          </w:p>
        </w:tc>
        <w:tc>
          <w:tcPr>
            <w:tcW w:type="dxa" w:w="1040"/>
          </w:tcPr>
          <w:p>
            <w:pPr>
              <w:spacing w:line="240" w:lineRule="auto"/>
            </w:pPr>
            <w:r>
              <w:rPr>
                <w:rFonts w:ascii="Times New Roman" w:hAnsi="Times New Roman"/>
                <w:color w:val="C00000"/>
                <w:sz w:val="18"/>
              </w:rPr>
              <w:t>0.785</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0.603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0.907</w:t>
            </w:r>
          </w:p>
        </w:tc>
        <w:tc>
          <w:tcPr>
            <w:tcW w:type="dxa" w:w="1040"/>
          </w:tcPr>
          <w:p>
            <w:pPr>
              <w:spacing w:line="240" w:lineRule="auto"/>
            </w:pPr>
            <w:r>
              <w:rPr>
                <w:rFonts w:ascii="Times New Roman" w:hAnsi="Times New Roman"/>
                <w:color w:val="C00000"/>
                <w:sz w:val="18"/>
              </w:rPr>
              <w:t>0.857</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0.250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0.576</w:t>
            </w:r>
          </w:p>
        </w:tc>
        <w:tc>
          <w:tcPr>
            <w:tcW w:type="dxa" w:w="1040"/>
          </w:tcPr>
          <w:p>
            <w:pPr>
              <w:spacing w:line="240" w:lineRule="auto"/>
            </w:pPr>
            <w:r>
              <w:rPr>
                <w:rFonts w:ascii="Times New Roman" w:hAnsi="Times New Roman"/>
                <w:color w:val="C00000"/>
                <w:sz w:val="18"/>
              </w:rPr>
              <w:t>0.333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0.214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0.343</w:t>
            </w:r>
          </w:p>
        </w:tc>
        <w:tc>
          <w:tcPr>
            <w:tcW w:type="dxa" w:w="1040"/>
          </w:tcPr>
          <w:p>
            <w:pPr>
              <w:spacing w:line="240" w:lineRule="auto"/>
            </w:pPr>
            <w:r>
              <w:rPr>
                <w:rFonts w:ascii="Times New Roman" w:hAnsi="Times New Roman"/>
                <w:color w:val="C00000"/>
                <w:sz w:val="18"/>
              </w:rPr>
              <w:t>0.585</w:t>
            </w:r>
          </w:p>
        </w:tc>
        <w:tc>
          <w:tcPr>
            <w:tcW w:type="dxa" w:w="1040"/>
          </w:tcPr>
          <w:p>
            <w:pPr>
              <w:spacing w:line="240" w:lineRule="auto"/>
            </w:pPr>
            <w:r>
              <w:rPr>
                <w:rFonts w:ascii="Times New Roman" w:hAnsi="Times New Roman"/>
                <w:color w:val="C00000"/>
                <w:sz w:val="18"/>
              </w:rPr>
              <w:t>0.341</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0.536</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0.698</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0.587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0.848</w:t>
            </w:r>
          </w:p>
        </w:tc>
        <w:tc>
          <w:tcPr>
            <w:tcW w:type="dxa" w:w="1040"/>
          </w:tcPr>
          <w:p>
            <w:pPr>
              <w:spacing w:line="240" w:lineRule="auto"/>
            </w:pPr>
            <w:r>
              <w:rPr>
                <w:rFonts w:ascii="Times New Roman" w:hAnsi="Times New Roman"/>
                <w:color w:val="C00000"/>
                <w:sz w:val="18"/>
              </w:rPr>
              <w:t>0.704</w:t>
            </w:r>
          </w:p>
        </w:tc>
        <w:tc>
          <w:tcPr>
            <w:tcW w:type="dxa" w:w="1040"/>
          </w:tcPr>
          <w:p>
            <w:pPr>
              <w:spacing w:line="240" w:lineRule="auto"/>
            </w:pPr>
            <w:r>
              <w:rPr>
                <w:rFonts w:ascii="Times New Roman" w:hAnsi="Times New Roman"/>
                <w:color w:val="C00000"/>
                <w:sz w:val="18"/>
              </w:rPr>
              <w:t>0.642</w:t>
            </w:r>
          </w:p>
        </w:tc>
        <w:tc>
          <w:tcPr>
            <w:tcW w:type="dxa" w:w="1040"/>
          </w:tcPr>
          <w:p>
            <w:pPr>
              <w:spacing w:line="240" w:lineRule="auto"/>
            </w:pPr>
            <w:r>
              <w:rPr>
                <w:rFonts w:ascii="Times New Roman" w:hAnsi="Times New Roman"/>
                <w:color w:val="C00000"/>
                <w:sz w:val="18"/>
              </w:rPr>
              <w:t>0.630</w:t>
            </w:r>
          </w:p>
        </w:tc>
        <w:tc>
          <w:tcPr>
            <w:tcW w:type="dxa" w:w="1040"/>
          </w:tcPr>
          <w:p>
            <w:pPr>
              <w:spacing w:line="240" w:lineRule="auto"/>
            </w:pPr>
            <w:r>
              <w:rPr>
                <w:rFonts w:ascii="Times New Roman" w:hAnsi="Times New Roman"/>
                <w:color w:val="C00000"/>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0.264</w:t>
            </w:r>
          </w:p>
        </w:tc>
        <w:tc>
          <w:tcPr>
            <w:tcW w:type="dxa" w:w="1040"/>
          </w:tcPr>
          <w:p>
            <w:pPr>
              <w:spacing w:line="240" w:lineRule="auto"/>
            </w:pPr>
            <w:r>
              <w:rPr>
                <w:rFonts w:ascii="Times New Roman" w:hAnsi="Times New Roman"/>
                <w:color w:val="C00000"/>
                <w:sz w:val="18"/>
              </w:rPr>
              <w:t>0.949</w:t>
            </w:r>
          </w:p>
        </w:tc>
        <w:tc>
          <w:tcPr>
            <w:tcW w:type="dxa" w:w="1040"/>
          </w:tcPr>
          <w:p>
            <w:pPr>
              <w:spacing w:line="240" w:lineRule="auto"/>
            </w:pPr>
            <w:r>
              <w:rPr>
                <w:rFonts w:ascii="Times New Roman" w:hAnsi="Times New Roman"/>
                <w:color w:val="C00000"/>
                <w:sz w:val="18"/>
              </w:rPr>
              <w:t>0.377</w:t>
            </w:r>
          </w:p>
        </w:tc>
        <w:tc>
          <w:tcPr>
            <w:tcW w:type="dxa" w:w="1040"/>
          </w:tcPr>
          <w:p>
            <w:pPr>
              <w:spacing w:line="240" w:lineRule="auto"/>
            </w:pPr>
            <w:r>
              <w:rPr>
                <w:rFonts w:ascii="Times New Roman" w:hAnsi="Times New Roman"/>
                <w:color w:val="C00000"/>
                <w:sz w:val="18"/>
              </w:rPr>
              <w:t>0.591</w:t>
            </w:r>
          </w:p>
        </w:tc>
        <w:tc>
          <w:tcPr>
            <w:tcW w:type="dxa" w:w="1040"/>
          </w:tcPr>
          <w:p>
            <w:pPr>
              <w:spacing w:line="240" w:lineRule="auto"/>
            </w:pPr>
            <w:r>
              <w:rPr>
                <w:rFonts w:ascii="Times New Roman" w:hAnsi="Times New Roman"/>
                <w:color w:val="C00000"/>
                <w:sz w:val="18"/>
              </w:rPr>
              <w:t>0.220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0.320</w:t>
            </w:r>
          </w:p>
        </w:tc>
        <w:tc>
          <w:tcPr>
            <w:tcW w:type="dxa" w:w="1040"/>
          </w:tcPr>
          <w:p>
            <w:pPr>
              <w:spacing w:line="240" w:lineRule="auto"/>
            </w:pPr>
            <w:r>
              <w:rPr>
                <w:rFonts w:ascii="Times New Roman" w:hAnsi="Times New Roman"/>
                <w:color w:val="C00000"/>
                <w:sz w:val="18"/>
              </w:rPr>
              <w:t>0.955</w:t>
            </w:r>
          </w:p>
        </w:tc>
        <w:tc>
          <w:tcPr>
            <w:tcW w:type="dxa" w:w="1040"/>
          </w:tcPr>
          <w:p>
            <w:pPr>
              <w:spacing w:line="240" w:lineRule="auto"/>
            </w:pPr>
            <w:r>
              <w:rPr>
                <w:rFonts w:ascii="Times New Roman" w:hAnsi="Times New Roman"/>
                <w:color w:val="C00000"/>
                <w:sz w:val="18"/>
              </w:rPr>
              <w:t>0.444</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0.080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0.148</w:t>
            </w:r>
          </w:p>
        </w:tc>
        <w:tc>
          <w:tcPr>
            <w:tcW w:type="dxa" w:w="1040"/>
          </w:tcPr>
          <w:p>
            <w:pPr>
              <w:spacing w:line="240" w:lineRule="auto"/>
            </w:pPr>
            <w:r>
              <w:rPr>
                <w:rFonts w:ascii="Times New Roman" w:hAnsi="Times New Roman"/>
                <w:color w:val="C00000"/>
                <w:sz w:val="18"/>
              </w:rPr>
              <w:t>0.609</w:t>
            </w:r>
          </w:p>
        </w:tc>
        <w:tc>
          <w:tcPr>
            <w:tcW w:type="dxa" w:w="1040"/>
          </w:tcPr>
          <w:p>
            <w:pPr>
              <w:spacing w:line="240" w:lineRule="auto"/>
            </w:pPr>
            <w:r>
              <w:rPr>
                <w:rFonts w:ascii="Times New Roman" w:hAnsi="Times New Roman"/>
                <w:color w:val="C00000"/>
                <w:sz w:val="18"/>
              </w:rPr>
              <w:t>0.317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0.571</w:t>
            </w:r>
          </w:p>
        </w:tc>
        <w:tc>
          <w:tcPr>
            <w:tcW w:type="dxa" w:w="1040"/>
          </w:tcPr>
          <w:p>
            <w:pPr>
              <w:spacing w:line="240" w:lineRule="auto"/>
            </w:pPr>
            <w:r>
              <w:rPr>
                <w:rFonts w:ascii="Times New Roman" w:hAnsi="Times New Roman"/>
                <w:color w:val="C00000"/>
                <w:sz w:val="18"/>
              </w:rPr>
              <w:t>0.728</w:t>
            </w:r>
          </w:p>
        </w:tc>
        <w:tc>
          <w:tcPr>
            <w:tcW w:type="dxa" w:w="1040"/>
          </w:tcPr>
          <w:p>
            <w:pPr>
              <w:spacing w:line="240" w:lineRule="auto"/>
            </w:pPr>
            <w:r>
              <w:rPr>
                <w:rFonts w:ascii="Times New Roman" w:hAnsi="Times New Roman"/>
                <w:color w:val="C00000"/>
                <w:sz w:val="18"/>
              </w:rPr>
              <w:t>0.553</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0.240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0.387</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absorption-corrected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color w:val="C00000"/>
                <w:sz w:val="18"/>
              </w:rPr>
              <w:t>All 92 (vs uncorrected DDInter severity)</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34 (0.370)</w:t>
            </w:r>
          </w:p>
        </w:tc>
      </w:tr>
      <w:tr>
        <w:tc>
          <w:tcPr>
            <w:tcW w:type="dxa" w:w="3120"/>
          </w:tcPr>
          <w:p>
            <w:pPr>
              <w:spacing w:line="240" w:lineRule="auto"/>
            </w:pPr>
            <w:r>
              <w:rPr>
                <w:rFonts w:ascii="Times New Roman" w:hAnsi="Times New Roman"/>
                <w:color w:val="C00000"/>
                <w:sz w:val="18"/>
              </w:rPr>
              <w:t>Absorption-corrected cases (gold set to low)</w:t>
            </w:r>
          </w:p>
        </w:tc>
        <w:tc>
          <w:tcPr>
            <w:tcW w:type="dxa" w:w="3120"/>
          </w:tcPr>
          <w:p>
            <w:pPr>
              <w:spacing w:line="240" w:lineRule="auto"/>
            </w:pPr>
            <w:r>
              <w:rPr>
                <w:rFonts w:ascii="Times New Roman" w:hAnsi="Times New Roman"/>
                <w:color w:val="C00000"/>
                <w:sz w:val="18"/>
              </w:rPr>
              <w:t>30</w:t>
            </w:r>
          </w:p>
        </w:tc>
        <w:tc>
          <w:tcPr>
            <w:tcW w:type="dxa" w:w="3120"/>
          </w:tcPr>
          <w:p>
            <w:pPr>
              <w:spacing w:line="240" w:lineRule="auto"/>
            </w:pPr>
            <w:r>
              <w:rPr>
                <w:rFonts w:ascii="Times New Roman" w:hAnsi="Times New Roman"/>
                <w:color w:val="C00000"/>
                <w:sz w:val="18"/>
              </w:rPr>
              <w:t>28 (0.933)</w:t>
            </w:r>
          </w:p>
        </w:tc>
      </w:tr>
      <w:tr>
        <w:tc>
          <w:tcPr>
            <w:tcW w:type="dxa" w:w="3120"/>
          </w:tcPr>
          <w:p>
            <w:pPr>
              <w:spacing w:line="240" w:lineRule="auto"/>
            </w:pPr>
            <w:r>
              <w:rPr>
                <w:rFonts w:ascii="Times New Roman" w:hAnsi="Times New Roman"/>
                <w:color w:val="C00000"/>
                <w:sz w:val="18"/>
              </w:rPr>
              <w:t>Kept cases (third-party severity, gold = DDInter)</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color w:val="C00000"/>
                <w:sz w:val="18"/>
              </w:rPr>
              <w:t>disagreement direction (vs corrected gold)</w:t>
            </w:r>
          </w:p>
        </w:tc>
        <w:tc>
          <w:tcPr>
            <w:tcW w:type="dxa" w:w="4680"/>
          </w:tcPr>
          <w:p>
            <w:pPr>
              <w:spacing w:line="240" w:lineRule="auto"/>
            </w:pPr>
            <w:r>
              <w:rPr>
                <w:rFonts w:ascii="Times New Roman" w:hAnsi="Times New Roman"/>
                <w:b/>
                <w:color w:val="C00000"/>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color w:val="C00000"/>
                <w:sz w:val="18"/>
              </w:rPr>
              <w:t>case</w:t>
            </w:r>
          </w:p>
        </w:tc>
        <w:tc>
          <w:tcPr>
            <w:tcW w:type="dxa" w:w="1337"/>
          </w:tcPr>
          <w:p>
            <w:pPr>
              <w:spacing w:line="240" w:lineRule="auto"/>
            </w:pPr>
            <w:r>
              <w:rPr>
                <w:rFonts w:ascii="Times New Roman" w:hAnsi="Times New Roman"/>
                <w:b/>
                <w:color w:val="C00000"/>
                <w:sz w:val="18"/>
              </w:rPr>
              <w:t>ophthalmic</w:t>
            </w:r>
          </w:p>
        </w:tc>
        <w:tc>
          <w:tcPr>
            <w:tcW w:type="dxa" w:w="1337"/>
          </w:tcPr>
          <w:p>
            <w:pPr>
              <w:spacing w:line="240" w:lineRule="auto"/>
            </w:pPr>
            <w:r>
              <w:rPr>
                <w:rFonts w:ascii="Times New Roman" w:hAnsi="Times New Roman"/>
                <w:b/>
                <w:color w:val="C00000"/>
                <w:sz w:val="18"/>
              </w:rPr>
              <w:t>systemic</w:t>
            </w:r>
          </w:p>
        </w:tc>
        <w:tc>
          <w:tcPr>
            <w:tcW w:type="dxa" w:w="1337"/>
          </w:tcPr>
          <w:p>
            <w:pPr>
              <w:spacing w:line="240" w:lineRule="auto"/>
            </w:pPr>
            <w:r>
              <w:rPr>
                <w:rFonts w:ascii="Times New Roman" w:hAnsi="Times New Roman"/>
                <w:b/>
                <w:color w:val="C00000"/>
                <w:sz w:val="18"/>
              </w:rPr>
              <w:t>gold shown</w:t>
            </w:r>
          </w:p>
        </w:tc>
        <w:tc>
          <w:tcPr>
            <w:tcW w:type="dxa" w:w="1337"/>
          </w:tcPr>
          <w:p>
            <w:pPr>
              <w:spacing w:line="240" w:lineRule="auto"/>
            </w:pPr>
            <w:r>
              <w:rPr>
                <w:rFonts w:ascii="Times New Roman" w:hAnsi="Times New Roman"/>
                <w:b/>
                <w:color w:val="C00000"/>
                <w:sz w:val="18"/>
              </w:rPr>
              <w:t>system shown</w:t>
            </w:r>
          </w:p>
        </w:tc>
        <w:tc>
          <w:tcPr>
            <w:tcW w:type="dxa" w:w="1337"/>
          </w:tcPr>
          <w:p>
            <w:pPr>
              <w:spacing w:line="240" w:lineRule="auto"/>
            </w:pPr>
            <w:r>
              <w:rPr>
                <w:rFonts w:ascii="Times New Roman" w:hAnsi="Times New Roman"/>
                <w:b/>
                <w:color w:val="C00000"/>
                <w:sz w:val="18"/>
              </w:rPr>
              <w:t>expert1</w:t>
            </w:r>
          </w:p>
        </w:tc>
        <w:tc>
          <w:tcPr>
            <w:tcW w:type="dxa" w:w="1337"/>
          </w:tcPr>
          <w:p>
            <w:pPr>
              <w:spacing w:line="240" w:lineRule="auto"/>
            </w:pPr>
            <w:r>
              <w:rPr>
                <w:rFonts w:ascii="Times New Roman" w:hAnsi="Times New Roman"/>
                <w:b/>
                <w:color w:val="C00000"/>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color w:val="C00000"/>
                <w:sz w:val="18"/>
              </w:rPr>
              <w:t>R03</w:t>
            </w:r>
          </w:p>
        </w:tc>
        <w:tc>
          <w:tcPr>
            <w:tcW w:type="dxa" w:w="1337"/>
          </w:tcPr>
          <w:p>
            <w:pPr>
              <w:spacing w:line="240" w:lineRule="auto"/>
            </w:pPr>
            <w:r>
              <w:rPr>
                <w:rFonts w:ascii="Times New Roman" w:hAnsi="Times New Roman"/>
                <w:color w:val="C00000"/>
                <w:sz w:val="18"/>
              </w:rPr>
              <w:t>Dexamethasone</w:t>
            </w:r>
          </w:p>
        </w:tc>
        <w:tc>
          <w:tcPr>
            <w:tcW w:type="dxa" w:w="1337"/>
          </w:tcPr>
          <w:p>
            <w:pPr>
              <w:spacing w:line="240" w:lineRule="auto"/>
            </w:pPr>
            <w:r>
              <w:rPr>
                <w:rFonts w:ascii="Times New Roman" w:hAnsi="Times New Roman"/>
                <w:color w:val="C00000"/>
                <w:sz w:val="18"/>
              </w:rPr>
              <w:t>Rifampicin</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color w:val="C00000"/>
                <w:sz w:val="18"/>
              </w:rPr>
              <w:t>R10</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Prednisone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color w:val="C00000"/>
                <w:sz w:val="18"/>
              </w:rPr>
              <w:t>R11</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Glimepiride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color w:val="C00000"/>
        </w:rPr>
        <w:t xml:space="preserve">[N1] Korte JM, Kaila T, Saari KM. Systemic bioavailability and cardiopulmonary effects of 0.25%, 0.5%, and 1% timolol eyedrops. Graefes Arch Clin Exp Ophthalmol. 2002;240(6):430-435. doi: 10.1007/s00417-002-0462-2</w:t>
      </w:r>
      <w:r>
        <w:rPr>
          <w:rFonts w:ascii="Times New Roman" w:hAnsi="Times New Roman"/>
          <w:color w:val="C00000"/>
        </w:rPr>
        <w:t xml:space="preserve"> </w:t>
      </w:r>
      <w:r>
        <w:rPr>
          <w:rFonts w:ascii="Times New Roman" w:hAnsi="Times New Roman"/>
          <w:color w:val="C00000"/>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2026-10-04T17:49:58Z</dcterms:created>
  <dcterms:modified xsi:type="dcterms:W3CDTF">2026-10-04T17:49:58Z</dcterms:modified>
</cp:coreProperties>
</file>

<file path=docProps/custom.xml><?xml version="1.0" encoding="utf-8"?>
<Properties xmlns="http://schemas.openxmlformats.org/officeDocument/2006/custom-properties" xmlns:vt="http://schemas.openxmlformats.org/officeDocument/2006/docPropsVTypes"/>
</file>