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rPr>
        <w:t xml:space="preserve"> </w:t>
      </w:r>
      <w:r>
        <w:rPr>
          <w:rFonts w:ascii="Times New Roman" w:hAnsi="Times New Roman"/>
        </w:rPr>
        <w:t xml:space="preserve">“approximately 80%”</w:t>
      </w:r>
      <w:r>
        <w:rPr>
          <w:rFonts w:ascii="Times New Roman" w:hAnsi="Times New Roman"/>
        </w:rPr>
        <w:t xml:space="preserve"> </w:t>
      </w:r>
      <w:r>
        <w:rPr>
          <w:rFonts w:ascii="Times New Roman" w:hAnsi="Times New Roman"/>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15 high, 17 medium, 61 low, 9 very-low, 7 minimal, 4 none). The L3 hard constraint fires on two of these values,</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 as implemented in</w:t>
      </w:r>
      <w:r>
        <w:rPr>
          <w:rFonts w:ascii="Times New Roman" w:hAnsi="Times New Roman"/>
        </w:rPr>
        <w:t xml:space="preserve"> </w:t>
      </w:r>
      <w:r>
        <w:rPr>
          <w:rStyle w:val="VerbatimChar"/>
          <w:rFonts w:ascii="Times New Roman" w:hAnsi="Times New Roman"/>
        </w:rPr>
        <w:t xml:space="preserve">kg_layer.py</w:t>
      </w:r>
      <w:r>
        <w:rPr>
          <w:rFonts w:ascii="Times New Roman" w:hAnsi="Times New Roman"/>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rPr>
        <w:t xml:space="preserve"> </w:t>
      </w:r>
      <w:r>
        <w:rPr>
          <w:rFonts w:ascii="Times New Roman" w:hAnsi="Times New Roman"/>
          <w:b/>
          <w:bCs/>
        </w:rPr>
        <w:t xml:space="preserve">The table’s source column does not evidence the tiers individually:</w:t>
      </w:r>
      <w:r>
        <w:rPr>
          <w:rFonts w:ascii="Times New Roman" w:hAnsi="Times New Roman"/>
        </w:rPr>
        <w:t xml:space="preserve"> </w:t>
      </w:r>
      <w:r>
        <w:rPr>
          <w:rFonts w:ascii="Times New Roman" w:hAnsi="Times New Roman"/>
        </w:rPr>
        <w:t xml:space="preserve">all 113 rows record the same string (</w:t>
      </w:r>
      <w:r>
        <w:rPr>
          <w:rStyle w:val="VerbatimChar"/>
          <w:rFonts w:ascii="Times New Roman" w:hAnsi="Times New Roman"/>
        </w:rPr>
        <w:t xml:space="preserve">DrugBank DBxxxxx|PubMed</w:t>
      </w:r>
      <w:r>
        <w:rPr>
          <w:rFonts w:ascii="Times New Roman" w:hAnsi="Times New Roman"/>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 following the data-selection principle set out in Section 2.1.</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two authors of the original submission (GW and YX), who performed the curation and annotation. The two authors added during revision (HL and WS) contributed clinical input and interpretation of the results and reviewed the manuscript, but did not construct the gold and did not take part in the expert grade review.</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therefore 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 all four datasets as Supplementary Table S8).</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i.e. the drug names are included,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 Supplementary Text S5 records the run configuration and the file-level fingerprints needed to verify that the deposited predictions reproduce these figures.</w:t>
      </w:r>
      <w:r>
        <w:rPr>
          <w:rFonts w:ascii="Times New Roman" w:hAnsi="Times New Roman"/>
        </w:rPr>
        <w:t xml:space="preserve"> </w:t>
      </w:r>
      <w:r>
        <w:rPr>
          <w:rFonts w:ascii="Times New Roman" w:hAnsi="Times New Roman"/>
          <w:b/>
          <w:bCs/>
        </w:rPr>
        <w:t xml:space="preserve">Reasoning-model re-run (reported in Section 3.6 and Table 3).</w:t>
      </w:r>
      <w:r>
        <w:rPr>
          <w:rFonts w:ascii="Times New Roman" w:hAnsi="Times New Roman"/>
        </w:rPr>
        <w:t xml:space="preserve"> </w:t>
      </w:r>
      <w:r>
        <w:rPr>
          <w:rFonts w:ascii="Times New Roman" w:hAnsi="Times New Roman"/>
        </w:rPr>
        <w:t xml:space="preserve">The three LLM baselines were additionally re-run under an adequate output budget with a reasoning model. Setup, stated in full: provider Zhipu (Zhipu AI, China) through the coding-plan endpoint</w:t>
      </w:r>
      <w:r>
        <w:rPr>
          <w:rFonts w:ascii="Times New Roman" w:hAnsi="Times New Roman"/>
        </w:rPr>
        <w:t xml:space="preserve"> </w:t>
      </w:r>
      <w:r>
        <w:rPr>
          <w:rStyle w:val="VerbatimChar"/>
          <w:rFonts w:ascii="Times New Roman" w:hAnsi="Times New Roman"/>
        </w:rPr>
        <w:t xml:space="preserve">https://open.bigmodel.cn/api/coding/paas/v4</w:t>
      </w:r>
      <w:r>
        <w:rPr>
          <w:rFonts w:ascii="Times New Roman" w:hAnsi="Times New Roman"/>
        </w:rPr>
        <w:t xml:space="preserve">, model identifier</w:t>
      </w:r>
      <w:r>
        <w:rPr>
          <w:rFonts w:ascii="Times New Roman" w:hAnsi="Times New Roman"/>
        </w:rPr>
        <w:t xml:space="preserve"> </w:t>
      </w:r>
      <w:r>
        <w:rPr>
          <w:rStyle w:val="VerbatimChar"/>
          <w:rFonts w:ascii="Times New Roman" w:hAnsi="Times New Roman"/>
        </w:rPr>
        <w:t xml:space="preserve">glm-5.3-flash</w:t>
      </w:r>
      <w:r>
        <w:rPr>
          <w:rFonts w:ascii="Times New Roman" w:hAnsi="Times New Roman"/>
        </w:rPr>
        <w:t xml:space="preserve">, temperature 0.0,</w:t>
      </w:r>
      <w:r>
        <w:rPr>
          <w:rFonts w:ascii="Times New Roman" w:hAnsi="Times New Roman"/>
        </w:rPr>
        <w:t xml:space="preserve"> </w:t>
      </w:r>
      <w:r>
        <w:rPr>
          <w:rStyle w:val="VerbatimChar"/>
          <w:rFonts w:ascii="Times New Roman" w:hAnsi="Times New Roman"/>
        </w:rPr>
        <w:t xml:space="preserve">max_tokens</w:t>
      </w:r>
      <w:r>
        <w:rPr>
          <w:rFonts w:ascii="Times New Roman" w:hAnsi="Times New Roman"/>
        </w:rPr>
        <w:t xml:space="preserve"> </w:t>
      </w:r>
      <w:r>
        <w:rPr>
          <w:rFonts w:ascii="Times New Roman" w:hAnsi="Times New Roman"/>
        </w:rPr>
        <w:t xml:space="preserve">3000, five repeated samples per case, temperature held fixed so the repetition captures sampling variance rather than a temperature schedule.</w:t>
      </w:r>
      <w:r>
        <w:rPr>
          <w:rFonts w:ascii="Times New Roman" w:hAnsi="Times New Roman"/>
        </w:rPr>
        <w:t xml:space="preserve"> </w:t>
      </w:r>
      <w:r>
        <w:rPr>
          <w:rFonts w:ascii="Times New Roman" w:hAnsi="Times New Roman"/>
          <w:b/>
          <w:bCs/>
        </w:rPr>
        <w:t xml:space="preserve">Reasoning tokens count against the 3000-token budget</w:t>
      </w:r>
      <w:r>
        <w:rPr>
          <w:rFonts w:ascii="Times New Roman" w:hAnsi="Times New Roman"/>
        </w:rPr>
        <w:t xml:space="preserve">: the model emits</w:t>
      </w:r>
      <w:r>
        <w:rPr>
          <w:rFonts w:ascii="Times New Roman" w:hAnsi="Times New Roman"/>
        </w:rPr>
        <w:t xml:space="preserve"> </w:t>
      </w:r>
      <w:r>
        <w:rPr>
          <w:rStyle w:val="VerbatimChar"/>
          <w:rFonts w:ascii="Times New Roman" w:hAnsi="Times New Roman"/>
        </w:rPr>
        <w:t xml:space="preserve">reasoning_content</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Style w:val="VerbatimChar"/>
          <w:rFonts w:ascii="Times New Roman" w:hAnsi="Times New Roman"/>
        </w:rPr>
        <w:t xml:space="preserve">content</w:t>
      </w:r>
      <w:r>
        <w:rPr>
          <w:rFonts w:ascii="Times New Roman" w:hAnsi="Times New Roman"/>
        </w:rPr>
        <w:t xml:space="preserve">, so the budget covers both.</w:t>
      </w:r>
      <w:r>
        <w:rPr>
          <w:rFonts w:ascii="Times New Roman" w:hAnsi="Times New Roman"/>
        </w:rPr>
        <w:t xml:space="preserve"> </w:t>
      </w:r>
      <w:r>
        <w:rPr>
          <w:rFonts w:ascii="Times New Roman" w:hAnsi="Times New Roman"/>
          <w:b/>
          <w:bCs/>
        </w:rPr>
        <w:t xml:space="preserve">Zero responses were truncated</w:t>
      </w:r>
      <w:r>
        <w:rPr>
          <w:rFonts w:ascii="Times New Roman" w:hAnsi="Times New Roman"/>
        </w:rPr>
        <w:t xml:space="preserve"> </w:t>
      </w:r>
      <w:r>
        <w:rPr>
          <w:rFonts w:ascii="Times New Roman" w:hAnsi="Times New Roman"/>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rPr>
        <w:t xml:space="preserve"> </w:t>
      </w:r>
      <w:r>
        <w:rPr>
          <w:rStyle w:val="VerbatimChar"/>
          <w:rFonts w:ascii="Times New Roman" w:hAnsi="Times New Roman"/>
        </w:rPr>
        <w:t xml:space="preserve">high</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medium</w:t>
      </w:r>
      <w:r>
        <w:rPr>
          <w:rFonts w:ascii="Times New Roman" w:hAnsi="Times New Roman"/>
        </w:rPr>
        <w:t xml:space="preserve">/</w:t>
      </w:r>
      <w:r>
        <w:rPr>
          <w:rStyle w:val="VerbatimChar"/>
          <w:rFonts w:ascii="Times New Roman" w:hAnsi="Times New Roman"/>
        </w:rPr>
        <w:t xml:space="preserve">moderate</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low</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and no sample returned</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The run was executed on 23–24 September 2026 and produced 3,150 raw responses, deposited in full at</w:t>
      </w:r>
      <w:r>
        <w:rPr>
          <w:rFonts w:ascii="Times New Roman" w:hAnsi="Times New Roman"/>
        </w:rPr>
        <w:t xml:space="preserve"> </w:t>
      </w:r>
      <w:r>
        <w:rPr>
          <w:rStyle w:val="VerbatimChar"/>
          <w:rFonts w:ascii="Times New Roman" w:hAnsi="Times New Roman"/>
        </w:rPr>
        <w:t xml:space="preserve">data/predictions/glm53_baselines/</w:t>
      </w:r>
      <w:r>
        <w:rPr>
          <w:rFonts w:ascii="Times New Roman" w:hAnsi="Times New Roman"/>
        </w:rPr>
        <w:t xml:space="preserve"> </w:t>
      </w:r>
      <w:r>
        <w:rPr>
          <w:rFonts w:ascii="Times New Roman" w:hAnsi="Times New Roman"/>
        </w:rPr>
        <w:t xml:space="preserve">with the run script</w:t>
      </w:r>
      <w:r>
        <w:rPr>
          <w:rFonts w:ascii="Times New Roman" w:hAnsi="Times New Roman"/>
        </w:rPr>
        <w:t xml:space="preserve"> </w:t>
      </w:r>
      <w:r>
        <w:rPr>
          <w:rStyle w:val="VerbatimChar"/>
          <w:rFonts w:ascii="Times New Roman" w:hAnsi="Times New Roman"/>
        </w:rPr>
        <w:t xml:space="preserve">scripts/rerun_glm53_baselines.py</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Single-model caveat:</w:t>
      </w:r>
      <w:r>
        <w:rPr>
          <w:rFonts w:ascii="Times New Roman" w:hAnsi="Times New Roman"/>
        </w:rPr>
        <w:t xml:space="preserve"> </w:t>
      </w:r>
      <w:r>
        <w:rPr>
          <w:rFonts w:ascii="Times New Roman" w:hAnsi="Times New Roman"/>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machine-readable form as Supplementary Table S4), 1,307 approved evidence chunks (A = 53, B = 191, C = 215, D = 584, E = 264; composition detailed in Supplementary Text S1), and a LightRAG index over 1,307 documents. The rule engine comprises 40 mechanism rules plus 3 patient-factor policies (43 policy entries), each carrying at least one source record, with zero policy errors (Table 2; full inventory as Supplementary Table S6);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Under the evaluation protocol of Section 2.3,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and Supplementary Table S7 gives the same figures dataset by dataset and budget by budget.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rPr>
        <w:t xml:space="preserve"> </w:t>
      </w:r>
      <w:r>
        <w:rPr>
          <w:rFonts w:ascii="Times New Roman" w:hAnsi="Times New Roman"/>
          <w:b/>
          <w:bCs/>
        </w:rPr>
        <w:t xml:space="preserve">That comparison is partly confounded, and we quantify the confound rather than leave it implicit.</w:t>
      </w:r>
      <w:r>
        <w:rPr>
          <w:rFonts w:ascii="Times New Roman" w:hAnsi="Times New Roman"/>
        </w:rPr>
        <w:t xml:space="preserve"> </w:t>
      </w:r>
      <w:r>
        <w:rPr>
          <w:rFonts w:ascii="Times New Roman" w:hAnsi="Times New Roman"/>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rPr>
        <w:t xml:space="preserve">scripts/naive_rag_leakage_audit.py</w:t>
      </w:r>
      <w:r>
        <w:rPr>
          <w:rFonts w:ascii="Times New Roman" w:hAnsi="Times New Roman"/>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Figure 5 shows the per-layer latency trace for the worked example, in which the whole cascade completes in under 2 ms with no model call.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 The deterministic path exercised here is the one distributed in the release described in Section 2.7.</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b/>
          <w:bCs/>
        </w:rPr>
        <w:t xml:space="preserve">Three cases carried labels that had just been corrected, and we report what the experts saw.</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questionnaire showed the experts the corrected gold, not the pre-correction DDInter value, for R01-R03.</w:t>
      </w:r>
      <w:r>
        <w:rPr>
          <w:rFonts w:ascii="Times New Roman" w:hAnsi="Times New Roman"/>
        </w:rPr>
        <w:t xml:space="preserve"> </w:t>
      </w:r>
      <w:r>
        <w:rPr>
          <w:rFonts w:ascii="Times New Roman" w:hAnsi="Times New Roman"/>
        </w:rPr>
        <w:t xml:space="preserve">The three cases, with both values, are: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case</w:t>
            </w:r>
          </w:p>
        </w:tc>
        <w:tc>
          <w:tcPr/>
          <w:p>
            <w:pPr>
              <w:pStyle w:val="Compact"/>
            </w:pPr>
            <w:r>
              <w:t xml:space="preserve">DDInter original</w:t>
            </w:r>
          </w:p>
        </w:tc>
        <w:tc>
          <w:tcPr/>
          <w:p>
            <w:pPr>
              <w:pStyle w:val="Compact"/>
            </w:pPr>
            <w:r>
              <w:t xml:space="preserve">shown to experts</w:t>
            </w:r>
          </w:p>
        </w:tc>
        <w:tc>
          <w:tcPr/>
          <w:p>
            <w:pPr>
              <w:pStyle w:val="Compact"/>
            </w:pPr>
            <w:r>
              <w:t xml:space="preserve">expert 1</w:t>
            </w:r>
          </w:p>
        </w:tc>
        <w:tc>
          <w:tcPr/>
          <w:p>
            <w:pPr>
              <w:pStyle w:val="Compact"/>
            </w:pPr>
            <w:r>
              <w:t xml:space="preserve">expert 2</w:t>
            </w:r>
          </w:p>
        </w:tc>
        <w:tc>
          <w:tcPr/>
          <w:p>
            <w:pPr>
              <w:pStyle w:val="Compact"/>
            </w:pPr>
            <w:r>
              <w:t xml:space="preserve">gold retained</w:t>
            </w:r>
          </w:p>
        </w:tc>
      </w:tr>
      <w:tr>
        <w:tc>
          <w:tcPr/>
          <w:p>
            <w:pPr>
              <w:pStyle w:val="Compact"/>
            </w:pPr>
            <w:r>
              <w:t xml:space="preserve">R01</w:t>
            </w:r>
          </w:p>
        </w:tc>
        <w:tc>
          <w:tcPr/>
          <w:p>
            <w:pPr>
              <w:pStyle w:val="Compact"/>
            </w:pPr>
            <w:r>
              <w:t xml:space="preserve">high</w:t>
            </w:r>
          </w:p>
        </w:tc>
        <w:tc>
          <w:tcPr/>
          <w:p>
            <w:pPr>
              <w:pStyle w:val="Compact"/>
            </w:pPr>
            <w:r>
              <w:t xml:space="preserve">medium (corrected)</w:t>
            </w:r>
          </w:p>
        </w:tc>
        <w:tc>
          <w:tcPr/>
          <w:p>
            <w:pPr>
              <w:pStyle w:val="Compact"/>
            </w:pPr>
            <w:r>
              <w:t xml:space="preserve">low</w:t>
            </w:r>
          </w:p>
        </w:tc>
        <w:tc>
          <w:tcPr/>
          <w:p>
            <w:pPr>
              <w:pStyle w:val="Compact"/>
            </w:pPr>
            <w:r>
              <w:t xml:space="preserve">low</w:t>
            </w:r>
          </w:p>
        </w:tc>
        <w:tc>
          <w:tcPr/>
          <w:p>
            <w:pPr>
              <w:pStyle w:val="Compact"/>
            </w:pPr>
            <w:r>
              <w:t xml:space="preserve">yes</w:t>
            </w:r>
          </w:p>
        </w:tc>
      </w:tr>
      <w:tr>
        <w:tc>
          <w:tcPr/>
          <w:p>
            <w:pPr>
              <w:pStyle w:val="Compact"/>
            </w:pPr>
            <w:r>
              <w:t xml:space="preserve">R02</w:t>
            </w:r>
          </w:p>
        </w:tc>
        <w:tc>
          <w:tcPr/>
          <w:p>
            <w:pPr>
              <w:pStyle w:val="Compact"/>
            </w:pPr>
            <w:r>
              <w:t xml:space="preserve">medium</w:t>
            </w:r>
          </w:p>
        </w:tc>
        <w:tc>
          <w:tcPr/>
          <w:p>
            <w:pPr>
              <w:pStyle w:val="Compact"/>
            </w:pPr>
            <w:r>
              <w:t xml:space="preserve">high (corrected)</w:t>
            </w:r>
          </w:p>
        </w:tc>
        <w:tc>
          <w:tcPr/>
          <w:p>
            <w:pPr>
              <w:pStyle w:val="Compact"/>
            </w:pPr>
            <w:r>
              <w:t xml:space="preserve">medium</w:t>
            </w:r>
          </w:p>
        </w:tc>
        <w:tc>
          <w:tcPr/>
          <w:p>
            <w:pPr>
              <w:pStyle w:val="Compact"/>
            </w:pPr>
            <w:r>
              <w:t xml:space="preserve">medium</w:t>
            </w:r>
          </w:p>
        </w:tc>
        <w:tc>
          <w:tcPr/>
          <w:p>
            <w:pPr>
              <w:pStyle w:val="Compact"/>
            </w:pPr>
            <w:r>
              <w:t xml:space="preserve">yes</w:t>
            </w:r>
          </w:p>
        </w:tc>
      </w:tr>
      <w:tr>
        <w:tc>
          <w:tcPr/>
          <w:p>
            <w:pPr>
              <w:pStyle w:val="Compact"/>
            </w:pPr>
            <w:r>
              <w:t xml:space="preserve">R03</w:t>
            </w:r>
          </w:p>
        </w:tc>
        <w:tc>
          <w:tcPr/>
          <w:p>
            <w:pPr>
              <w:pStyle w:val="Compact"/>
            </w:pPr>
            <w:r>
              <w:t xml:space="preserve">low</w:t>
            </w:r>
          </w:p>
        </w:tc>
        <w:tc>
          <w:tcPr/>
          <w:p>
            <w:pPr>
              <w:pStyle w:val="Compact"/>
            </w:pPr>
            <w:r>
              <w:t xml:space="preserve">medium (corrected)</w:t>
            </w:r>
          </w:p>
        </w:tc>
        <w:tc>
          <w:tcPr/>
          <w:p>
            <w:pPr>
              <w:pStyle w:val="Compact"/>
            </w:pPr>
            <w:r>
              <w:t xml:space="preserve">low</w:t>
            </w:r>
          </w:p>
        </w:tc>
        <w:tc>
          <w:tcPr/>
          <w:p>
            <w:pPr>
              <w:pStyle w:val="Compact"/>
            </w:pPr>
            <w:r>
              <w:t xml:space="preserve">low</w:t>
            </w:r>
          </w:p>
        </w:tc>
        <w:tc>
          <w:tcPr/>
          <w:p>
            <w:pPr>
              <w:pStyle w:val="Compact"/>
            </w:pPr>
            <w:r>
              <w:t xml:space="preserve">yes</w:t>
            </w:r>
          </w:p>
        </w:tc>
      </w:tr>
    </w:tbl>
    <w:p>
      <w:pPr>
        <w:pStyle w:val="BodyText"/>
        <w:spacing w:line="480" w:lineRule="auto"/>
      </w:pPr>
      <w:r>
        <w:rPr>
          <w:rFonts w:ascii="Times New Roman" w:hAnsi="Times New Roman"/>
        </w:rPr>
        <w:t xml:space="preserve">For R02 and R03 both experts independently rated the</w:t>
      </w:r>
      <w:r>
        <w:rPr>
          <w:rFonts w:ascii="Times New Roman" w:hAnsi="Times New Roman"/>
        </w:rPr>
        <w:t xml:space="preserve"> </w:t>
      </w:r>
      <w:r>
        <w:rPr>
          <w:rFonts w:ascii="Times New Roman" w:hAnsi="Times New Roman"/>
          <w:i/>
          <w:iCs/>
        </w:rPr>
        <w:t xml:space="preserve">pre-correction</w:t>
      </w:r>
      <w:r>
        <w:rPr>
          <w:rFonts w:ascii="Times New Roman" w:hAnsi="Times New Roman"/>
        </w:rPr>
        <w:t xml:space="preserve"> </w:t>
      </w:r>
      <w:r>
        <w:rPr>
          <w:rFonts w:ascii="Times New Roman" w:hAnsi="Times New Roman"/>
        </w:rPr>
        <w:t xml:space="preserve">grade, and the gold was kept at the</w:t>
      </w:r>
      <w:r>
        <w:rPr>
          <w:rFonts w:ascii="Times New Roman" w:hAnsi="Times New Roman"/>
        </w:rPr>
        <w:t xml:space="preserve"> </w:t>
      </w:r>
      <w:r>
        <w:rPr>
          <w:rFonts w:ascii="Times New Roman" w:hAnsi="Times New Roman"/>
        </w:rPr>
        <w:t xml:space="preserve">corrected value; that is, the corrections are not reflected in the experts’ answers. The corrections were</w:t>
      </w:r>
      <w:r>
        <w:rPr>
          <w:rFonts w:ascii="Times New Roman" w:hAnsi="Times New Roman"/>
        </w:rPr>
        <w:t xml:space="preserve"> </w:t>
      </w:r>
      <w:r>
        <w:rPr>
          <w:rFonts w:ascii="Times New Roman" w:hAnsi="Times New Roman"/>
        </w:rPr>
        <w:t xml:space="preserve">made before the review, and the procedural lock described in Section 2.3 applies to the 40-case frozen</w:t>
      </w:r>
      <w:r>
        <w:rPr>
          <w:rFonts w:ascii="Times New Roman" w:hAnsi="Times New Roman"/>
        </w:rPr>
        <w:t xml:space="preserve"> </w:t>
      </w:r>
      <w:r>
        <w:rPr>
          <w:rFonts w:ascii="Times New Roman" w:hAnsi="Times New Roman"/>
        </w:rPr>
        <w:t xml:space="preserve">blind subset, which does not include these cases, so there is no conflict with the lock; but the sequencing</w:t>
      </w:r>
      <w:r>
        <w:rPr>
          <w:rFonts w:ascii="Times New Roman" w:hAnsi="Times New Roman"/>
        </w:rPr>
        <w:t xml:space="preserve"> </w:t>
      </w:r>
      <w:r>
        <w:rPr>
          <w:rFonts w:ascii="Times New Roman" w:hAnsi="Times New Roman"/>
        </w:rPr>
        <w:t xml:space="preserve">is stated here rather than left for a reader to reconstruct from the deposited design file.</w:t>
      </w:r>
    </w:p>
    <w:p>
      <w:pPr>
        <w:pStyle w:val="BodyText"/>
        <w:spacing w:line="480" w:lineRule="auto"/>
      </w:pPr>
      <w:r>
        <w:rPr>
          <w:rFonts w:ascii="Times New Roman" w:hAnsi="Times New Roman"/>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0.370,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grade review in Section 3.8 is the source for the expert comparison discussed here: 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determinism that makes this behaviour auditable is reported in Section 3.7. 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Disclosed alternative tiers.</w:t>
      </w:r>
      <w:r>
        <w:rPr>
          <w:rFonts w:ascii="Times New Roman" w:hAnsi="Times New Roman"/>
        </w:rPr>
        <w:t xml:space="preserve"> </w:t>
      </w:r>
      <w:r>
        <w:rPr>
          <w:rFonts w:ascii="Times New Roman" w:hAnsi="Times New Roman"/>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rPr>
        <w:t xml:space="preserve">data/seed/entities_a.csv</w:t>
      </w:r>
      <w:r>
        <w:rPr>
          <w:rFonts w:ascii="Times New Roman" w:hAnsi="Times New Roman"/>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rPr>
        <w:t xml:space="preserve">scripts/audit_ddinter_disagreement.py --tier-override data/curation/entity_a_candidates.yaml</w:t>
      </w:r>
      <w:r>
        <w:rPr>
          <w:rFonts w:ascii="Times New Roman" w:hAnsi="Times New Roman"/>
        </w:rPr>
        <w:t xml:space="preserve">; result deposited as</w:t>
      </w:r>
      <w:r>
        <w:rPr>
          <w:rFonts w:ascii="Times New Roman" w:hAnsi="Times New Roman"/>
        </w:rPr>
        <w:t xml:space="preserve"> </w:t>
      </w:r>
      <w:r>
        <w:rPr>
          <w:rStyle w:val="VerbatimChar"/>
          <w:rFonts w:ascii="Times New Roman" w:hAnsi="Times New Roman"/>
        </w:rPr>
        <w:t xml:space="preserve">audits/tier_override_scenario.json</w:t>
      </w:r>
      <w:r>
        <w:rPr>
          <w:rFonts w:ascii="Times New Roman" w:hAnsi="Times New Roman"/>
        </w:rPr>
        <w:t xml:space="preserve">). The registry-scale conclusion is therefore robust to which of the two files is treated as authoritative.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The system construction reported in Section 3.1 yields a cascade whose agreement with the literature-derived gold is quantified in Section 3.3. 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rPr>
        <w:t xml:space="preserve"> </w:t>
      </w:r>
      <w:r>
        <w:rPr>
          <w:rFonts w:ascii="Times New Roman" w:hAnsi="Times New Roman"/>
        </w:rPr>
        <w:t xml:space="preserve">“Preliminary study of a mobile-device-based method for refractive error detection”</w:t>
      </w:r>
      <w:r>
        <w:rPr>
          <w:rFonts w:ascii="Times New Roman" w:hAnsi="Times New Roman"/>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archived at DOI https://doi.org/10.5281/zenodo.23143345;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w:t>
      </w:r>
      <w:r>
        <w:rPr>
          <w:rFonts w:ascii="Times New Roman" w:hAnsi="Times New Roman"/>
        </w:rPr>
        <w:t xml:space="preserve">and is archived at DOI https://doi.org/10.5281/zenodo.23143345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 xml:space="preserve">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rPr>
        <w:t xml:space="preserve"> </w:t>
      </w:r>
      <w:r>
        <w:rPr>
          <w:rFonts w:ascii="Times New Roman" w:hAnsi="Times New Roman"/>
        </w:rPr>
        <w:t xml:space="preserve">“T1 expert”</w:t>
      </w:r>
      <w:r>
        <w:rPr>
          <w:rFonts w:ascii="Times New Roman" w:hAnsi="Times New Roman"/>
        </w:rPr>
        <w:t xml:space="preserve"> </w:t>
      </w:r>
      <w:r>
        <w:rPr>
          <w:rFonts w:ascii="Times New Roman" w:hAnsi="Times New Roman"/>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absorption-corrected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34 (0.370)</w:t>
            </w:r>
          </w:p>
        </w:tc>
      </w:tr>
      <w:tr>
        <w:tc>
          <w:tcPr>
            <w:tcW w:type="dxa" w:w="3120"/>
          </w:tcPr>
          <w:p>
            <w:pPr>
              <w:spacing w:line="240" w:lineRule="auto"/>
            </w:pPr>
            <w:r>
              <w:rPr>
                <w:rFonts w:ascii="Times New Roman" w:hAnsi="Times New Roman"/>
                <w:sz w:val="18"/>
              </w:rPr>
              <w:t>Absorption-corrected cases (gold set to low)</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 (third-party severity, gold = DDInter)</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 (vs corrected gold)</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sz w:val="18"/>
              </w:rPr>
              <w:t>high-&gt;low</w:t>
            </w:r>
          </w:p>
        </w:tc>
        <w:tc>
          <w:tcPr>
            <w:tcW w:type="dxa" w:w="4680"/>
          </w:tcPr>
          <w:p>
            <w:pPr>
              <w:spacing w:line="240" w:lineRule="auto"/>
            </w:pPr>
            <w:r>
              <w:rPr>
                <w:rFonts w:ascii="Times New Roman" w:hAnsi="Times New Roman"/>
                <w:sz w:val="18"/>
              </w:rPr>
              <w:t>8</w:t>
            </w:r>
          </w:p>
        </w:tc>
      </w:tr>
      <w:tr>
        <w:tc>
          <w:tcPr>
            <w:tcW w:type="dxa" w:w="4680"/>
          </w:tcPr>
          <w:p>
            <w:pPr>
              <w:spacing w:line="240" w:lineRule="auto"/>
            </w:pPr>
            <w:r>
              <w:rPr>
                <w:rFonts w:ascii="Times New Roman" w:hAnsi="Times New Roman"/>
                <w:sz w:val="18"/>
              </w:rPr>
              <w:t>high-&gt;medium</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total disagreements</w:t>
            </w:r>
          </w:p>
        </w:tc>
        <w:tc>
          <w:tcPr>
            <w:tcW w:type="dxa" w:w="4680"/>
          </w:tcPr>
          <w:p>
            <w:pPr>
              <w:spacing w:line="240" w:lineRule="auto"/>
            </w:pPr>
            <w:r>
              <w:rPr>
                <w:rFonts w:ascii="Times New Roman" w:hAnsi="Times New Roman"/>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 shown</w:t>
            </w:r>
          </w:p>
        </w:tc>
        <w:tc>
          <w:tcPr>
            <w:tcW w:type="dxa" w:w="1337"/>
          </w:tcPr>
          <w:p>
            <w:pPr>
              <w:spacing w:line="240" w:lineRule="auto"/>
            </w:pPr>
            <w:r>
              <w:rPr>
                <w:rFonts w:ascii="Times New Roman" w:hAnsi="Times New Roman"/>
                <w:b/>
                <w:sz w:val="18"/>
              </w:rPr>
              <w:t>system shown</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rPr>
        <w:t xml:space="preserve">[N1] Korte JM, Kaila T, Saari KM. Systemic bioavailability and cardiopulmonary effects of 0.25%, 0.5%, and 1% timolol eyedrops. Graefes Arch Clin Exp Ophthalmol. 2002;240(6):430-435. doi: 10.1007/s00417-002-0462-2</w:t>
      </w:r>
      <w:r>
        <w:rPr>
          <w:rFonts w:ascii="Times New Roman" w:hAnsi="Times New Roman"/>
        </w:rPr>
        <w:t xml:space="preserve"> </w:t>
      </w:r>
      <w:r>
        <w:rPr>
          <w:rFonts w:ascii="Times New Roman" w:hAnsi="Times New Roman"/>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2026-10-04T19:10:42Z</dcterms:created>
  <dcterms:modified xsi:type="dcterms:W3CDTF">2026-10-04T19:10:42Z</dcterms:modified>
</cp:coreProperties>
</file>

<file path=docProps/custom.xml><?xml version="1.0" encoding="utf-8"?>
<Properties xmlns="http://schemas.openxmlformats.org/officeDocument/2006/custom-properties" xmlns:vt="http://schemas.openxmlformats.org/officeDocument/2006/docPropsVTypes"/>
</file>