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color w:val="C00000"/>
        </w:rPr>
        <w:t xml:space="preserve">Background.</w:t>
      </w:r>
      <w:r>
        <w:rPr>
          <w:rFonts w:ascii="Times New Roman" w:hAnsi="Times New Roman"/>
          <w:color w:val="C00000"/>
        </w:rPr>
        <w:t xml:space="preserve"> </w:t>
      </w:r>
      <w:r>
        <w:rPr>
          <w:rFonts w:ascii="Times New Roman" w:hAnsi="Times New Roman"/>
          <w:color w:val="C00000"/>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color w:val="C00000"/>
        </w:rPr>
        <w:t xml:space="preserve">Results.</w:t>
      </w:r>
      <w:r>
        <w:rPr>
          <w:rFonts w:ascii="Times New Roman" w:hAnsi="Times New Roman"/>
          <w:color w:val="C00000"/>
        </w:rPr>
        <w:t xml:space="preserve"> </w:t>
      </w:r>
      <w:r>
        <w:rPr>
          <w:rFonts w:ascii="Times New Roman" w:hAnsi="Times New Roman"/>
          <w:color w:val="C00000"/>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(kappa 0.846) yet did not endorse most grades, a consistent one-tier divergence from evidence-graded assessment, and because the system reproduced its gold on all 12 cases the comparison cannot separate the two.</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with systemic bioavailability of approximately 80% reported in pharmacokinetic studies [1,2].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color w:val="C00000"/>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color w:val="C00000"/>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color w:val="C00000"/>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color w:val="C00000"/>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the clinician–evidence gap we observe is independent of our system, because the experts disagreed with the gold exactly as much as with the system. Fourth, we report the evaluation in a form that can be audited and re-run: a four-phase protocol (rule consistency, development-phase validation, a semi-independent external audit, and an independent clinical assessment)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color w:val="C00000"/>
        </w:rPr>
        <w:t xml:space="preserve">How route of administration is represented.</w:t>
      </w:r>
      <w:r>
        <w:rPr>
          <w:rFonts w:ascii="Times New Roman" w:hAnsi="Times New Roman"/>
          <w:color w:val="C00000"/>
        </w:rPr>
        <w:t xml:space="preserve"> </w:t>
      </w:r>
      <w:r>
        <w:rPr>
          <w:rFonts w:ascii="Times New Roman" w:hAnsi="Times New Roman"/>
          <w:color w:val="C00000"/>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 </w:t>
      </w:r>
      <w:r>
        <w:rPr>
          <w:rFonts w:ascii="Times New Roman" w:hAnsi="Times New Roman"/>
          <w:color w:val="C00000"/>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provided severity levels and drug-pair evidence [16].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color w:val="C00000"/>
        </w:rPr>
        <w:t xml:space="preserve">L1 rule engine.</w:t>
      </w:r>
      <w:r>
        <w:rPr>
          <w:rFonts w:ascii="Times New Roman" w:hAnsi="Times New Roman"/>
          <w:color w:val="C00000"/>
        </w:rPr>
        <w:t xml:space="preserve"> </w:t>
      </w:r>
      <w:r>
        <w:rPr>
          <w:rFonts w:ascii="Times New Roman" w:hAnsi="Times New Roman"/>
          <w:color w:val="C00000"/>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color w:val="C00000"/>
        </w:rPr>
        <w:t xml:space="preserve"> </w:t>
      </w:r>
      <w:r>
        <w:rPr>
          <w:rFonts w:ascii="Times New Roman" w:hAnsi="Times New Roman"/>
          <w:b/>
          <w:bCs/>
          <w:color w:val="C00000"/>
        </w:rPr>
        <w:t xml:space="preserve">No second-order interactions are modelled:</w:t>
      </w:r>
      <w:r>
        <w:rPr>
          <w:rFonts w:ascii="Times New Roman" w:hAnsi="Times New Roman"/>
          <w:color w:val="C00000"/>
        </w:rPr>
        <w:t xml:space="preserve"> </w:t>
      </w:r>
      <w:r>
        <w:rPr>
          <w:rFonts w:ascii="Times New Roman" w:hAnsi="Times New Roman"/>
          <w:color w:val="C00000"/>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color w:val="C00000"/>
        </w:rPr>
        <w:t xml:space="preserve">Citation coverage is narrower than the phrase</w:t>
      </w:r>
      <w:r>
        <w:rPr>
          <w:rFonts w:ascii="Times New Roman" w:hAnsi="Times New Roman"/>
          <w:color w:val="C00000"/>
        </w:rPr>
        <w:t xml:space="preserve"> </w:t>
      </w:r>
      <w:r>
        <w:rPr>
          <w:rFonts w:ascii="Times New Roman" w:hAnsi="Times New Roman"/>
          <w:color w:val="C00000"/>
        </w:rPr>
        <w:t xml:space="preserve">“citation-verified”</w:t>
      </w:r>
      <w:r>
        <w:rPr>
          <w:rFonts w:ascii="Times New Roman" w:hAnsi="Times New Roman"/>
          <w:color w:val="C00000"/>
        </w:rPr>
        <w:t xml:space="preserve"> </w:t>
      </w:r>
      <w:r>
        <w:rPr>
          <w:rFonts w:ascii="Times New Roman" w:hAnsi="Times New Roman"/>
          <w:color w:val="C00000"/>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color w:val="C00000"/>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color w:val="C00000"/>
        </w:rPr>
        <w:t xml:space="preserve">L2 class matrix.</w:t>
      </w:r>
      <w:r>
        <w:rPr>
          <w:rFonts w:ascii="Times New Roman" w:hAnsi="Times New Roman"/>
          <w:color w:val="C00000"/>
        </w:rPr>
        <w:t xml:space="preserve"> </w:t>
      </w:r>
      <w:r>
        <w:rPr>
          <w:rFonts w:ascii="Times New Roman" w:hAnsi="Times New Roman"/>
          <w:color w:val="C00000"/>
        </w:rPr>
        <w:t xml:space="preserve">A drug-class matrix relates ophthalmic drug classes to systemic drug classes. The released configuration declares 21 ophthalmic row keys and 40 systemic column keys, of which 34 columns are used, and assigns an explicit risk level to 104 cells;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color w:val="C00000"/>
        </w:rPr>
        <w:t xml:space="preserve"> </w:t>
      </w:r>
      <w:r>
        <w:rPr>
          <w:rFonts w:ascii="Times New Roman" w:hAnsi="Times New Roman"/>
          <w:b/>
          <w:bCs/>
          <w:color w:val="C00000"/>
        </w:rPr>
        <w:t xml:space="preserve">not empirically validated</w:t>
      </w:r>
      <w:r>
        <w:rPr>
          <w:rFonts w:ascii="Times New Roman" w:hAnsi="Times New Roman"/>
          <w:color w:val="C00000"/>
        </w:rPr>
        <w:t xml:space="preserve"> </w:t>
      </w:r>
      <w:r>
        <w:rPr>
          <w:rFonts w:ascii="Times New Roman" w:hAnsi="Times New Roman"/>
          <w:color w:val="C00000"/>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104 class pairs for which a mechanism or an absorption-based expectation exists, and any pair that reaches neither a rule nor a defined cell falls through to the L3 default-low path rather than receiving an interpolated grade.</w:t>
      </w:r>
      <w:r>
        <w:rPr>
          <w:rFonts w:ascii="Times New Roman" w:hAnsi="Times New Roman"/>
          <w:color w:val="C00000"/>
        </w:rPr>
        <w:t xml:space="preserve"> </w:t>
      </w:r>
      <w:r>
        <w:rPr>
          <w:rFonts w:ascii="Times New Roman" w:hAnsi="Times New Roman"/>
          <w:b/>
          <w:bCs/>
          <w:color w:val="C00000"/>
        </w:rPr>
        <w:t xml:space="preserve">Layer scope of the class mapping:</w:t>
      </w:r>
      <w:r>
        <w:rPr>
          <w:rFonts w:ascii="Times New Roman" w:hAnsi="Times New Roman"/>
          <w:color w:val="C00000"/>
        </w:rPr>
        <w:t xml:space="preserve"> </w:t>
      </w:r>
      <w:r>
        <w:rPr>
          <w:rFonts w:ascii="Times New Roman" w:hAnsi="Times New Roman"/>
          <w:color w:val="C00000"/>
        </w:rPr>
        <w:t xml:space="preserve">the drug-to-class mapping (113 ophthalmic agents, 232 systemic agents;</w:t>
      </w:r>
      <w:r>
        <w:rPr>
          <w:rFonts w:ascii="Times New Roman" w:hAnsi="Times New Roman"/>
          <w:color w:val="C00000"/>
        </w:rPr>
        <w:t xml:space="preserve"> </w:t>
      </w:r>
      <w:r>
        <w:rPr>
          <w:rStyle w:val="VerbatimChar"/>
          <w:rFonts w:ascii="Times New Roman" w:hAnsi="Times New Roman"/>
          <w:color w:val="C00000"/>
        </w:rPr>
        <w:t xml:space="preserve">configs/drug_classes.yaml</w:t>
      </w:r>
      <w:r>
        <w:rPr>
          <w:rFonts w:ascii="Times New Roman" w:hAnsi="Times New Roman"/>
          <w:color w:val="C00000"/>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color w:val="C00000"/>
        </w:rPr>
        <w:t xml:space="preserve">Which layer produces the grade.</w:t>
      </w:r>
      <w:r>
        <w:rPr>
          <w:rFonts w:ascii="Times New Roman" w:hAnsi="Times New Roman"/>
          <w:color w:val="C00000"/>
        </w:rPr>
        <w:t xml:space="preserve"> </w:t>
      </w:r>
      <w:r>
        <w:rPr>
          <w:rFonts w:ascii="Times New Roman" w:hAnsi="Times New Roman"/>
          <w:color w:val="C00000"/>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color w:val="C00000"/>
        </w:rPr>
        <w:t xml:space="preserve"> </w:t>
      </w:r>
      <w:r>
        <w:rPr>
          <w:rStyle w:val="VerbatimChar"/>
          <w:rFonts w:ascii="Times New Roman" w:hAnsi="Times New Roman"/>
          <w:color w:val="C00000"/>
        </w:rPr>
        <w:t xml:space="preserve">nsaid_antihypertensive_antagonism</w:t>
      </w:r>
      <w:r>
        <w:rPr>
          <w:rFonts w:ascii="Times New Roman" w:hAnsi="Times New Roman"/>
          <w:color w:val="C00000"/>
        </w:rPr>
        <w:t xml:space="preserve">, which requires no absorption flag. Section 4.2 quantifies that consequence and why we did not gate the rule.</w:t>
      </w:r>
    </w:p>
    <w:p>
      <w:pPr>
        <w:pStyle w:val="BodyText"/>
        <w:spacing w:line="480" w:lineRule="auto"/>
      </w:pPr>
      <w:r>
        <w:rPr>
          <w:rFonts w:ascii="Times New Roman" w:hAnsi="Times New Roman"/>
          <w:b/>
          <w:bCs/>
          <w:color w:val="C00000"/>
        </w:rPr>
        <w:t xml:space="preserve">L3 hard constraint.</w:t>
      </w:r>
      <w:r>
        <w:rPr>
          <w:rFonts w:ascii="Times New Roman" w:hAnsi="Times New Roman"/>
          <w:color w:val="C00000"/>
        </w:rPr>
        <w:t xml:space="preserve"> </w:t>
      </w:r>
      <w:r>
        <w:rPr>
          <w:rFonts w:ascii="Times New Roman" w:hAnsi="Times New Roman"/>
          <w:color w:val="C00000"/>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color w:val="C00000"/>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color w:val="C00000"/>
        </w:rPr>
        <w:t xml:space="preserve"> </w:t>
      </w:r>
      <w:r>
        <w:rPr>
          <w:rFonts w:ascii="Times New Roman" w:hAnsi="Times New Roman"/>
          <w:b/>
          <w:bCs/>
          <w:color w:val="C00000"/>
        </w:rPr>
        <w:t xml:space="preserve">Absorption tiers and their definition.</w:t>
      </w:r>
      <w:r>
        <w:rPr>
          <w:rFonts w:ascii="Times New Roman" w:hAnsi="Times New Roman"/>
          <w:color w:val="C00000"/>
        </w:rPr>
        <w:t xml:space="preserve"> </w:t>
      </w:r>
      <w:r>
        <w:rPr>
          <w:rFonts w:ascii="Times New Roman" w:hAnsi="Times New Roman"/>
          <w:color w:val="C00000"/>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color w:val="C00000"/>
        </w:rPr>
        <w:t xml:space="preserve"> </w:t>
      </w:r>
      <w:r>
        <w:rPr>
          <w:rFonts w:ascii="Times New Roman" w:hAnsi="Times New Roman"/>
          <w:b/>
          <w:bCs/>
          <w:color w:val="C00000"/>
        </w:rPr>
        <w:t xml:space="preserve">six</w:t>
      </w:r>
      <w:r>
        <w:rPr>
          <w:rFonts w:ascii="Times New Roman" w:hAnsi="Times New Roman"/>
          <w:color w:val="C00000"/>
        </w:rPr>
        <w:t xml:space="preserve"> </w:t>
      </w:r>
      <w:r>
        <w:rPr>
          <w:rFonts w:ascii="Times New Roman" w:hAnsi="Times New Roman"/>
          <w:color w:val="C00000"/>
        </w:rPr>
        <w:t xml:space="preserve">tier values, not the four used in earlier descriptions of this work:</w:t>
      </w:r>
      <w:r>
        <w:rPr>
          <w:rFonts w:ascii="Times New Roman" w:hAnsi="Times New Roman"/>
          <w:color w:val="C00000"/>
        </w:rPr>
        <w:t xml:space="preserve"> </w:t>
      </w:r>
      <w:r>
        <w:rPr>
          <w:rStyle w:val="VerbatimChar"/>
          <w:rFonts w:ascii="Times New Roman" w:hAnsi="Times New Roman"/>
          <w:color w:val="C00000"/>
        </w:rPr>
        <w:t xml:space="preserve">systemic_absorption_high</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systemic_absorption_medium</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systemic_absorption_very_low</w:t>
      </w:r>
      <w:r>
        <w:rPr>
          <w:rFonts w:ascii="Times New Roman" w:hAnsi="Times New Roman"/>
          <w:color w:val="C00000"/>
        </w:rPr>
        <w:t xml:space="preserve">,</w:t>
      </w:r>
      <w:r>
        <w:rPr>
          <w:rFonts w:ascii="Times New Roman" w:hAnsi="Times New Roman"/>
          <w:color w:val="C00000"/>
        </w:rPr>
        <w:t xml:space="preserve"> </w:t>
      </w:r>
      <w:r>
        <w:rPr>
          <w:rStyle w:val="VerbatimChar"/>
          <w:rFonts w:ascii="Times New Roman" w:hAnsi="Times New Roman"/>
          <w:color w:val="C00000"/>
        </w:rPr>
        <w:t xml:space="preserve">minimal_systemic_absorption</w:t>
      </w:r>
      <w:r>
        <w:rPr>
          <w:rFonts w:ascii="Times New Roman" w:hAnsi="Times New Roman"/>
          <w:color w:val="C00000"/>
        </w:rPr>
        <w:t xml:space="preserve"> </w:t>
      </w:r>
      <w:r>
        <w:rPr>
          <w:rFonts w:ascii="Times New Roman" w:hAnsi="Times New Roman"/>
          <w:color w:val="C00000"/>
        </w:rPr>
        <w:t xml:space="preserve">and</w:t>
      </w:r>
      <w:r>
        <w:rPr>
          <w:rFonts w:ascii="Times New Roman" w:hAnsi="Times New Roman"/>
          <w:color w:val="C00000"/>
        </w:rPr>
        <w:t xml:space="preserve"> </w:t>
      </w:r>
      <w:r>
        <w:rPr>
          <w:rStyle w:val="VerbatimChar"/>
          <w:rFonts w:ascii="Times New Roman" w:hAnsi="Times New Roman"/>
          <w:color w:val="C00000"/>
        </w:rPr>
        <w:t xml:space="preserve">systemic_absorption_none</w:t>
      </w:r>
      <w:r>
        <w:rPr>
          <w:rFonts w:ascii="Times New Roman" w:hAnsi="Times New Roman"/>
          <w:color w:val="C00000"/>
        </w:rPr>
        <w:t xml:space="preserve"> </w:t>
      </w:r>
      <w:r>
        <w:rPr>
          <w:rFonts w:ascii="Times New Roman" w:hAnsi="Times New Roman"/>
          <w:color w:val="C00000"/>
        </w:rPr>
        <w:t xml:space="preserve">(113 agents: 16 high, 17 medium, 60 low, 9 very-low, 7 minimal, 4 none). The L3 hard constraint tests four of these — low, very-low, minimal and none — and forces them to low risk; the two remaining values preserve the assigned level. The tier is a</w:t>
      </w:r>
      <w:r>
        <w:rPr>
          <w:rFonts w:ascii="Times New Roman" w:hAnsi="Times New Roman"/>
          <w:color w:val="C00000"/>
        </w:rPr>
        <w:t xml:space="preserve"> </w:t>
      </w:r>
      <w:r>
        <w:rPr>
          <w:rFonts w:ascii="Times New Roman" w:hAnsi="Times New Roman"/>
          <w:b/>
          <w:bCs/>
          <w:color w:val="C00000"/>
        </w:rPr>
        <w:t xml:space="preserve">categorical assignment, not a measured quantity</w:t>
      </w:r>
      <w:r>
        <w:rPr>
          <w:rFonts w:ascii="Times New Roman" w:hAnsi="Times New Roman"/>
          <w:color w:val="C00000"/>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(flurbiprofen is tiered high in the registry while the candidate curation file records no tier flag for it),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with a source column is Supplementary Table S5.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color w:val="C00000"/>
        </w:rPr>
        <w:t xml:space="preserve">L1 literature-derived gold (118 cases). Gold labels were constructed by the study team from authoritative sources, without reference to system outputs.</w:t>
      </w:r>
      <w:r>
        <w:rPr>
          <w:rFonts w:ascii="Times New Roman" w:hAnsi="Times New Roman"/>
          <w:color w:val="C00000"/>
        </w:rPr>
        <w:t xml:space="preserve"> </w:t>
      </w:r>
      <w:r>
        <w:rPr>
          <w:rFonts w:ascii="Times New Roman" w:hAnsi="Times New Roman"/>
          <w:b/>
          <w:bCs/>
          <w:color w:val="C00000"/>
        </w:rPr>
        <w:t xml:space="preserve">Selection criteria.</w:t>
      </w:r>
      <w:r>
        <w:rPr>
          <w:rFonts w:ascii="Times New Roman" w:hAnsi="Times New Roman"/>
          <w:color w:val="C00000"/>
        </w:rPr>
        <w:t xml:space="preserve"> </w:t>
      </w:r>
      <w:r>
        <w:rPr>
          <w:rFonts w:ascii="Times New Roman" w:hAnsi="Times New Roman"/>
          <w:color w:val="C00000"/>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color w:val="C00000"/>
        </w:rPr>
        <w:t xml:space="preserve"> </w:t>
      </w:r>
      <w:r>
        <w:rPr>
          <w:rFonts w:ascii="Times New Roman" w:hAnsi="Times New Roman"/>
          <w:b/>
          <w:bCs/>
          <w:color w:val="C00000"/>
        </w:rPr>
        <w:t xml:space="preserve">To be explicit about who constructed the gold:</w:t>
      </w:r>
      <w:r>
        <w:rPr>
          <w:rFonts w:ascii="Times New Roman" w:hAnsi="Times New Roman"/>
          <w:color w:val="C00000"/>
        </w:rPr>
        <w:t xml:space="preserve"> </w:t>
      </w:r>
      <w:r>
        <w:rPr>
          <w:rFonts w:ascii="Times New Roman" w:hAnsi="Times New Roman"/>
          <w:color w:val="C00000"/>
        </w:rPr>
        <w:t xml:space="preserve">the gold was constructed by the study team, which comprises the named authors, so</w:t>
      </w:r>
      <w:r>
        <w:rPr>
          <w:rFonts w:ascii="Times New Roman" w:hAnsi="Times New Roman"/>
          <w:color w:val="C00000"/>
        </w:rPr>
        <w:t xml:space="preserve"> </w:t>
      </w:r>
      <w:r>
        <w:rPr>
          <w:rFonts w:ascii="Times New Roman" w:hAnsi="Times New Roman"/>
          <w:color w:val="C00000"/>
        </w:rPr>
        <w:t xml:space="preserve">“no human expert participated in gold construction”</w:t>
      </w:r>
      <w:r>
        <w:rPr>
          <w:rFonts w:ascii="Times New Roman" w:hAnsi="Times New Roman"/>
          <w:color w:val="C00000"/>
        </w:rPr>
        <w:t xml:space="preserve"> </w:t>
      </w:r>
      <w:r>
        <w:rPr>
          <w:rFonts w:ascii="Times New Roman" w:hAnsi="Times New Roman"/>
          <w:color w:val="C00000"/>
        </w:rPr>
        <w:t xml:space="preserve">means that no</w:t>
      </w:r>
      <w:r>
        <w:rPr>
          <w:rFonts w:ascii="Times New Roman" w:hAnsi="Times New Roman"/>
          <w:color w:val="C00000"/>
        </w:rPr>
        <w:t xml:space="preserve"> </w:t>
      </w:r>
      <w:r>
        <w:rPr>
          <w:rFonts w:ascii="Times New Roman" w:hAnsi="Times New Roman"/>
          <w:i/>
          <w:iCs/>
          <w:color w:val="C00000"/>
        </w:rPr>
        <w:t xml:space="preserve">independent</w:t>
      </w:r>
      <w:r>
        <w:rPr>
          <w:rFonts w:ascii="Times New Roman" w:hAnsi="Times New Roman"/>
          <w:color w:val="C00000"/>
        </w:rPr>
        <w:t xml:space="preserve"> </w:t>
      </w:r>
      <w:r>
        <w:rPr>
          <w:rFonts w:ascii="Times New Roman" w:hAnsi="Times New Roman"/>
          <w:color w:val="C00000"/>
        </w:rPr>
        <w:t xml:space="preserve">expert was involved, and none of the expert opinion used here was blinded to the system.</w:t>
      </w:r>
      <w:r>
        <w:rPr>
          <w:rFonts w:ascii="Times New Roman" w:hAnsi="Times New Roman"/>
          <w:color w:val="C00000"/>
        </w:rPr>
        <w:t xml:space="preserve"> </w:t>
      </w:r>
      <w:r>
        <w:rPr>
          <w:rFonts w:ascii="Times New Roman" w:hAnsi="Times New Roman"/>
          <w:b/>
          <w:bCs/>
          <w:color w:val="C00000"/>
        </w:rPr>
        <w:t xml:space="preserve">How the gold shares sources with the rules:</w:t>
      </w:r>
      <w:r>
        <w:rPr>
          <w:rFonts w:ascii="Times New Roman" w:hAnsi="Times New Roman"/>
          <w:color w:val="C00000"/>
        </w:rPr>
        <w:t xml:space="preserve"> </w:t>
      </w:r>
      <w:r>
        <w:rPr>
          <w:rFonts w:ascii="Times New Roman" w:hAnsi="Times New Roman"/>
          <w:color w:val="C00000"/>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color w:val="C00000"/>
        </w:rPr>
        <w:t xml:space="preserve"> </w:t>
      </w:r>
      <w:r>
        <w:rPr>
          <w:rFonts w:ascii="Times New Roman" w:hAnsi="Times New Roman"/>
          <w:b/>
          <w:bCs/>
          <w:color w:val="C00000"/>
        </w:rPr>
        <w:t xml:space="preserve">Contradictory evidence:</w:t>
      </w:r>
      <w:r>
        <w:rPr>
          <w:rFonts w:ascii="Times New Roman" w:hAnsi="Times New Roman"/>
          <w:color w:val="C00000"/>
        </w:rPr>
        <w:t xml:space="preserve"> </w:t>
      </w:r>
      <w:r>
        <w:rPr>
          <w:rFonts w:ascii="Times New Roman" w:hAnsi="Times New Roman"/>
          <w:color w:val="C00000"/>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color w:val="C00000"/>
        </w:rPr>
        <w:t xml:space="preserve">DDInter audit set (92 cases). A stratified random sample by absorption tier and DDInter severity.</w:t>
      </w:r>
      <w:r>
        <w:rPr>
          <w:rFonts w:ascii="Times New Roman" w:hAnsi="Times New Roman"/>
          <w:color w:val="C00000"/>
        </w:rPr>
        <w:t xml:space="preserve"> </w:t>
      </w:r>
      <w:r>
        <w:rPr>
          <w:rFonts w:ascii="Times New Roman" w:hAnsi="Times New Roman"/>
          <w:b/>
          <w:bCs/>
          <w:color w:val="C00000"/>
        </w:rPr>
        <w:t xml:space="preserve">Correction rule.</w:t>
      </w:r>
      <w:r>
        <w:rPr>
          <w:rFonts w:ascii="Times New Roman" w:hAnsi="Times New Roman"/>
          <w:color w:val="C00000"/>
        </w:rPr>
        <w:t xml:space="preserve"> </w:t>
      </w:r>
      <w:r>
        <w:rPr>
          <w:rFonts w:ascii="Times New Roman" w:hAnsi="Times New Roman"/>
          <w:color w:val="C00000"/>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color w:val="C00000"/>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color w:val="C00000"/>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color w:val="C00000"/>
        </w:rPr>
        <w:t xml:space="preserve"> </w:t>
      </w:r>
      <w:r>
        <w:rPr>
          <w:rFonts w:ascii="Times New Roman" w:hAnsi="Times New Roman"/>
          <w:b/>
          <w:bCs/>
          <w:color w:val="C00000"/>
        </w:rPr>
        <w:t xml:space="preserve">Retrieval protocols, in full.</w:t>
      </w:r>
      <w:r>
        <w:rPr>
          <w:rFonts w:ascii="Times New Roman" w:hAnsi="Times New Roman"/>
          <w:color w:val="C00000"/>
        </w:rPr>
        <w:t xml:space="preserve"> </w:t>
      </w:r>
      <w:r>
        <w:rPr>
          <w:rStyle w:val="VerbatimChar"/>
          <w:rFonts w:ascii="Times New Roman" w:hAnsi="Times New Roman"/>
          <w:color w:val="C00000"/>
        </w:rPr>
        <w:t xml:space="preserve">naive_rag</w:t>
      </w:r>
      <w:r>
        <w:rPr>
          <w:rFonts w:ascii="Times New Roman" w:hAnsi="Times New Roman"/>
          <w:color w:val="C00000"/>
        </w:rPr>
        <w:t xml:space="preserve"> </w:t>
      </w:r>
      <w:r>
        <w:rPr>
          <w:rFonts w:ascii="Times New Roman" w:hAnsi="Times New Roman"/>
          <w:color w:val="C00000"/>
        </w:rPr>
        <w:t xml:space="preserve">performs BM25 retrieval with</w:t>
      </w:r>
      <w:r>
        <w:rPr>
          <w:rFonts w:ascii="Times New Roman" w:hAnsi="Times New Roman"/>
          <w:color w:val="C00000"/>
        </w:rPr>
        <w:t xml:space="preserve"> </w:t>
      </w:r>
      <w:r>
        <w:rPr>
          <w:rStyle w:val="VerbatimChar"/>
          <w:rFonts w:ascii="Times New Roman" w:hAnsi="Times New Roman"/>
          <w:color w:val="C00000"/>
        </w:rPr>
        <w:t xml:space="preserve">rank_bm25.BM25Okapi</w:t>
      </w:r>
      <w:r>
        <w:rPr>
          <w:rFonts w:ascii="Times New Roman" w:hAnsi="Times New Roman"/>
          <w:color w:val="C00000"/>
        </w:rPr>
        <w:t xml:space="preserve"> </w:t>
      </w:r>
      <w:r>
        <w:rPr>
          <w:rFonts w:ascii="Times New Roman" w:hAnsi="Times New Roman"/>
          <w:color w:val="C00000"/>
        </w:rPr>
        <w:t xml:space="preserve">(k1 = 1.5, b = 0.75) over the same 1,307 evidence chunks that populate the index, lowercased and whitespace-tokenised on both sides; the query is the string</w:t>
      </w:r>
      <w:r>
        <w:rPr>
          <w:rFonts w:ascii="Times New Roman" w:hAnsi="Times New Roman"/>
          <w:color w:val="C00000"/>
        </w:rPr>
        <w:t xml:space="preserve"> </w:t>
      </w:r>
      <w:r>
        <w:rPr>
          <w:rFonts w:ascii="Times New Roman" w:hAnsi="Times New Roman"/>
          <w:color w:val="C00000"/>
        </w:rPr>
        <w:t xml:space="preserve">“</w:t>
      </w:r>
      <w:r>
        <w:rPr>
          <w:rFonts w:ascii="Times New Roman" w:hAnsi="Times New Roman"/>
          <w:color w:val="C00000"/>
        </w:rPr>
        <w:t xml:space="preserve"> </w:t>
      </w:r>
      <w:r>
        <w:rPr>
          <w:rFonts w:ascii="Times New Roman" w:hAnsi="Times New Roman"/>
          <w:color w:val="C00000"/>
        </w:rPr>
        <w:t xml:space="preserve"> </w:t>
      </w:r>
      <w:r>
        <w:rPr>
          <w:rFonts w:ascii="Times New Roman" w:hAnsi="Times New Roman"/>
          <w:color w:val="C00000"/>
        </w:rPr>
        <w:t xml:space="preserve">ophthalmic interaction”</w:t>
      </w:r>
      <w:r>
        <w:rPr>
          <w:rFonts w:ascii="Times New Roman" w:hAnsi="Times New Roman"/>
          <w:color w:val="C00000"/>
        </w:rPr>
        <w:t xml:space="preserve">, the top 3 passages are retained, each truncated to 400 characters, and they are prepended to the case as an</w:t>
      </w:r>
      <w:r>
        <w:rPr>
          <w:rFonts w:ascii="Times New Roman" w:hAnsi="Times New Roman"/>
          <w:color w:val="C00000"/>
        </w:rPr>
        <w:t xml:space="preserve"> </w:t>
      </w:r>
      <w:r>
        <w:rPr>
          <w:rStyle w:val="VerbatimChar"/>
          <w:rFonts w:ascii="Times New Roman" w:hAnsi="Times New Roman"/>
          <w:color w:val="C00000"/>
        </w:rPr>
        <w:t xml:space="preserve">Evidence:</w:t>
      </w:r>
      <w:r>
        <w:rPr>
          <w:rFonts w:ascii="Times New Roman" w:hAnsi="Times New Roman"/>
          <w:color w:val="C00000"/>
        </w:rPr>
        <w:t xml:space="preserve"> </w:t>
      </w:r>
      <w:r>
        <w:rPr>
          <w:rFonts w:ascii="Times New Roman" w:hAnsi="Times New Roman"/>
          <w:color w:val="C00000"/>
        </w:rPr>
        <w:t xml:space="preserve">block.</w:t>
      </w:r>
      <w:r>
        <w:rPr>
          <w:rFonts w:ascii="Times New Roman" w:hAnsi="Times New Roman"/>
          <w:color w:val="C00000"/>
        </w:rPr>
        <w:t xml:space="preserve"> </w:t>
      </w:r>
      <w:r>
        <w:rPr>
          <w:rStyle w:val="VerbatimChar"/>
          <w:rFonts w:ascii="Times New Roman" w:hAnsi="Times New Roman"/>
          <w:color w:val="C00000"/>
        </w:rPr>
        <w:t xml:space="preserve">lightrag</w:t>
      </w:r>
      <w:r>
        <w:rPr>
          <w:rFonts w:ascii="Times New Roman" w:hAnsi="Times New Roman"/>
          <w:color w:val="C00000"/>
        </w:rPr>
        <w:t xml:space="preserve"> </w:t>
      </w:r>
      <w:r>
        <w:rPr>
          <w:rFonts w:ascii="Times New Roman" w:hAnsi="Times New Roman"/>
          <w:color w:val="C00000"/>
        </w:rPr>
        <w:t xml:space="preserve">instead prepends a</w:t>
      </w:r>
      <w:r>
        <w:rPr>
          <w:rFonts w:ascii="Times New Roman" w:hAnsi="Times New Roman"/>
          <w:color w:val="C00000"/>
        </w:rPr>
        <w:t xml:space="preserve"> </w:t>
      </w:r>
      <w:r>
        <w:rPr>
          <w:rStyle w:val="VerbatimChar"/>
          <w:rFonts w:ascii="Times New Roman" w:hAnsi="Times New Roman"/>
          <w:color w:val="C00000"/>
        </w:rPr>
        <w:t xml:space="preserve">Drug profiles:</w:t>
      </w:r>
      <w:r>
        <w:rPr>
          <w:rFonts w:ascii="Times New Roman" w:hAnsi="Times New Roman"/>
          <w:color w:val="C00000"/>
        </w:rPr>
        <w:t xml:space="preserve"> </w:t>
      </w:r>
      <w:r>
        <w:rPr>
          <w:rFonts w:ascii="Times New Roman" w:hAnsi="Times New Roman"/>
          <w:color w:val="C00000"/>
        </w:rPr>
        <w:t xml:space="preserve">block containing the knowledge-graph profiles of both agents, rendered by the curated</w:t>
      </w:r>
      <w:r>
        <w:rPr>
          <w:rFonts w:ascii="Times New Roman" w:hAnsi="Times New Roman"/>
          <w:color w:val="C00000"/>
        </w:rPr>
        <w:t xml:space="preserve"> </w:t>
      </w:r>
      <w:r>
        <w:rPr>
          <w:rStyle w:val="VerbatimChar"/>
          <w:rFonts w:ascii="Times New Roman" w:hAnsi="Times New Roman"/>
          <w:color w:val="C00000"/>
        </w:rPr>
        <w:t xml:space="preserve">PreciseKG.full_kg_context()</w:t>
      </w:r>
      <w:r>
        <w:rPr>
          <w:rFonts w:ascii="Times New Roman" w:hAnsi="Times New Roman"/>
          <w:color w:val="C00000"/>
        </w:rPr>
        <w:t xml:space="preserve"> </w:t>
      </w:r>
      <w:r>
        <w:rPr>
          <w:rFonts w:ascii="Times New Roman" w:hAnsi="Times New Roman"/>
          <w:color w:val="C00000"/>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color w:val="C00000"/>
        </w:rPr>
        <w:t xml:space="preserve"> </w:t>
      </w:r>
      <w:r>
        <w:rPr>
          <w:rFonts w:ascii="Times New Roman" w:hAnsi="Times New Roman"/>
          <w:b/>
          <w:bCs/>
          <w:color w:val="C00000"/>
        </w:rPr>
        <w:t xml:space="preserve">Supplementary Text S3</w:t>
      </w:r>
      <w:r>
        <w:rPr>
          <w:rFonts w:ascii="Times New Roman" w:hAnsi="Times New Roman"/>
          <w:color w:val="C00000"/>
        </w:rPr>
        <w:t xml:space="preserve"> </w:t>
      </w:r>
      <w:r>
        <w:rPr>
          <w:rFonts w:ascii="Times New Roman" w:hAnsi="Times New Roman"/>
          <w:color w:val="C00000"/>
        </w:rPr>
        <w:t xml:space="preserve">and in the deposit file</w:t>
      </w:r>
      <w:r>
        <w:rPr>
          <w:rFonts w:ascii="Times New Roman" w:hAnsi="Times New Roman"/>
          <w:color w:val="C00000"/>
        </w:rPr>
        <w:t xml:space="preserve"> </w:t>
      </w:r>
      <w:r>
        <w:rPr>
          <w:rStyle w:val="VerbatimChar"/>
          <w:rFonts w:ascii="Times New Roman" w:hAnsi="Times New Roman"/>
          <w:color w:val="C00000"/>
        </w:rPr>
        <w:t xml:space="preserve">configs/prompts.yaml</w:t>
      </w:r>
      <w:r>
        <w:rPr>
          <w:rFonts w:ascii="Times New Roman" w:hAnsi="Times New Roman"/>
          <w:color w:val="C00000"/>
        </w:rPr>
        <w:t xml:space="preserve">. LLM baselines used the DeepSeek API model identifier</w:t>
      </w:r>
      <w:r>
        <w:rPr>
          <w:rFonts w:ascii="Times New Roman" w:hAnsi="Times New Roman"/>
          <w:color w:val="C00000"/>
        </w:rPr>
        <w:t xml:space="preserve"> </w:t>
      </w:r>
      <w:r>
        <w:rPr>
          <w:rStyle w:val="VerbatimChar"/>
          <w:rFonts w:ascii="Times New Roman" w:hAnsi="Times New Roman"/>
          <w:color w:val="C00000"/>
        </w:rPr>
        <w:t xml:space="preserve">deepseek-chat</w:t>
      </w:r>
      <w:r>
        <w:rPr>
          <w:rFonts w:ascii="Times New Roman" w:hAnsi="Times New Roman"/>
          <w:color w:val="C00000"/>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color w:val="C00000"/>
        </w:rPr>
        <w:t xml:space="preserve"> </w:t>
      </w:r>
      <w:r>
        <w:rPr>
          <w:rFonts w:ascii="Times New Roman" w:hAnsi="Times New Roman"/>
          <w:b/>
          <w:bCs/>
          <w:color w:val="C00000"/>
        </w:rPr>
        <w:t xml:space="preserve">Input language was English throughout</w:t>
      </w:r>
      <w:r>
        <w:rPr>
          <w:rFonts w:ascii="Times New Roman" w:hAnsi="Times New Roman"/>
          <w:color w:val="C00000"/>
        </w:rPr>
        <w:t xml:space="preserve">, for both the system prompt and every case, in the form</w:t>
      </w:r>
      <w:r>
        <w:rPr>
          <w:rFonts w:ascii="Times New Roman" w:hAnsi="Times New Roman"/>
          <w:color w:val="C00000"/>
        </w:rPr>
        <w:t xml:space="preserve"> </w:t>
      </w:r>
      <w:r>
        <w:rPr>
          <w:rStyle w:val="VerbatimChar"/>
          <w:rFonts w:ascii="Times New Roman" w:hAnsi="Times New Roman"/>
          <w:color w:val="C00000"/>
        </w:rPr>
        <w:t xml:space="preserve">Drug pair: ophthalmic X (eye drops) + systemic Y (oral/IV)</w:t>
      </w:r>
      <w:r>
        <w:rPr>
          <w:rFonts w:ascii="Times New Roman" w:hAnsi="Times New Roman"/>
          <w:color w:val="C00000"/>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color w:val="C00000"/>
        </w:rPr>
        <w:t xml:space="preserve">2.5 Expert grade review</w:t>
      </w:r>
    </w:p>
    <w:p>
      <w:pPr>
        <w:pStyle w:val="FirstParagraph"/>
        <w:spacing w:line="480" w:lineRule="auto"/>
      </w:pPr>
      <w:r>
        <w:rPr>
          <w:rFonts w:ascii="Times New Roman" w:hAnsi="Times New Roman"/>
          <w:color w:val="C00000"/>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color w:val="C00000"/>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color w:val="C00000"/>
        </w:rPr>
        <w:t xml:space="preserve"> </w:t>
      </w:r>
      <w:r>
        <w:rPr>
          <w:rFonts w:ascii="Times New Roman" w:hAnsi="Times New Roman"/>
          <w:b/>
          <w:bCs/>
          <w:color w:val="C00000"/>
        </w:rPr>
        <w:t xml:space="preserve">LF-normalised content</w:t>
      </w:r>
      <w:r>
        <w:rPr>
          <w:rFonts w:ascii="Times New Roman" w:hAnsi="Times New Roman"/>
          <w:color w:val="C00000"/>
        </w:rPr>
        <w:t xml:space="preserve">: a reader should convert CRLF to LF before hashing, otherwise a Windows checkout and a Linux checkout of the same file yield different digests (the deposited</w:t>
      </w:r>
      <w:r>
        <w:rPr>
          <w:rFonts w:ascii="Times New Roman" w:hAnsi="Times New Roman"/>
          <w:color w:val="C00000"/>
        </w:rPr>
        <w:t xml:space="preserve"> </w:t>
      </w:r>
      <w:r>
        <w:rPr>
          <w:rStyle w:val="VerbatimChar"/>
          <w:rFonts w:ascii="Times New Roman" w:hAnsi="Times New Roman"/>
          <w:color w:val="C00000"/>
        </w:rPr>
        <w:t xml:space="preserve">configs/rules.yaml</w:t>
      </w:r>
      <w:r>
        <w:rPr>
          <w:rFonts w:ascii="Times New Roman" w:hAnsi="Times New Roman"/>
          <w:color w:val="C00000"/>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color w:val="C00000"/>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each carrying at least one source record, with zero policy errors (Table 2);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3.8),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color w:val="C00000"/>
        </w:rPr>
        <w:t xml:space="preserve">The deterministic system (full_system) achieved 0.907 exact accuracy (107/118; Wilson 95% CI 0.841–0.947), 0.964 high-risk sensitivity (27 of 28; CI 0.823–0.994), 0.989 specificity, and Cohen’s kappa 0.857 (bootstrap CI 0.791–0.947),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1 against; p = 3.1 × 10⁻¹⁵), versus naive_rag (60 versus 3; p = 9.0 × 10⁻¹⁵), and versus lightrag (21 versus 1; p = 1.1 × 10⁻⁵).</w:t>
      </w:r>
    </w:p>
    <w:p>
      <w:pPr>
        <w:pStyle w:val="BodyText"/>
        <w:spacing w:line="480" w:lineRule="auto"/>
      </w:pPr>
      <w:r>
        <w:rPr>
          <w:rFonts w:ascii="Times New Roman" w:hAnsi="Times New Roman"/>
          <w:color w:val="C00000"/>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color w:val="C00000"/>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color w:val="C00000"/>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color w:val="C00000"/>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0.402 (37/92).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0.169)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p>
    <w:p>
      <w:pPr>
        <w:pStyle w:val="BodyText"/>
        <w:spacing w:line="480" w:lineRule="auto"/>
      </w:pPr>
      <w:r>
        <w:rPr>
          <w:rFonts w:ascii="Times New Roman" w:hAnsi="Times New Roman"/>
          <w:color w:val="C00000"/>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color w:val="C00000"/>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color w:val="C00000"/>
        </w:rPr>
        <w:t xml:space="preserve">3.6 Reasoning-model baselines under an adequate output budget</w:t>
      </w:r>
    </w:p>
    <w:p>
      <w:pPr>
        <w:pStyle w:val="FirstParagraph"/>
        <w:spacing w:line="480" w:lineRule="auto"/>
      </w:pPr>
      <w:r>
        <w:rPr>
          <w:rFonts w:ascii="Times New Roman" w:hAnsi="Times New Roman"/>
          <w:color w:val="C00000"/>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color w:val="C00000"/>
        </w:rPr>
        <w:t xml:space="preserve">Accurate label agreement improved. On the 118-case set, pure_llm rose from 0.475 to 0.576 and naive_rag from 0.415 to 0.585; lightrag was unchanged at 0.737.</w:t>
      </w:r>
      <w:r>
        <w:rPr>
          <w:rFonts w:ascii="Times New Roman" w:hAnsi="Times New Roman"/>
          <w:color w:val="C00000"/>
        </w:rPr>
        <w:t xml:space="preserve"> </w:t>
      </w:r>
      <w:r>
        <w:rPr>
          <w:rFonts w:ascii="Times New Roman" w:hAnsi="Times New Roman"/>
          <w:b/>
          <w:bCs/>
          <w:color w:val="C00000"/>
        </w:rPr>
        <w:t xml:space="preserve">High-risk sensitivity, however, fell sharply</w:t>
      </w:r>
      <w:r>
        <w:rPr>
          <w:rFonts w:ascii="Times New Roman" w:hAnsi="Times New Roman"/>
          <w:color w:val="C00000"/>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color w:val="C00000"/>
              </w:rPr>
              <w:t xml:space="preserve">method</w:t>
            </w:r>
          </w:p>
        </w:tc>
        <w:tc>
          <w:tcPr/>
          <w:p>
            <w:pPr>
              <w:pStyle w:val="Compact"/>
            </w:pPr>
            <w:r>
              <w:rPr>
                <w:color w:val="C00000"/>
              </w:rPr>
              <w:t xml:space="preserve">Acc3 (10-token)</w:t>
            </w:r>
          </w:p>
        </w:tc>
        <w:tc>
          <w:tcPr/>
          <w:p>
            <w:pPr>
              <w:pStyle w:val="Compact"/>
            </w:pPr>
            <w:r>
              <w:rPr>
                <w:color w:val="C00000"/>
              </w:rPr>
              <w:t xml:space="preserve">Acc3 (3000-token)</w:t>
            </w:r>
          </w:p>
        </w:tc>
        <w:tc>
          <w:tcPr/>
          <w:p>
            <w:pPr>
              <w:pStyle w:val="Compact"/>
            </w:pPr>
            <w:r>
              <w:rPr>
                <w:color w:val="C00000"/>
              </w:rPr>
              <w:t xml:space="preserve">sens (10-token)</w:t>
            </w:r>
          </w:p>
        </w:tc>
        <w:tc>
          <w:tcPr/>
          <w:p>
            <w:pPr>
              <w:pStyle w:val="Compact"/>
            </w:pPr>
            <w:r>
              <w:rPr>
                <w:color w:val="C00000"/>
              </w:rPr>
              <w:t xml:space="preserve">sens (3000-token)</w:t>
            </w:r>
          </w:p>
        </w:tc>
        <w:tc>
          <w:tcPr/>
          <w:p>
            <w:pPr>
              <w:pStyle w:val="Compact"/>
            </w:pPr>
            <w:r>
              <w:rPr>
                <w:color w:val="C00000"/>
              </w:rPr>
              <w:t xml:space="preserve">spec (3000-token)</w:t>
            </w:r>
          </w:p>
        </w:tc>
      </w:tr>
      <w:tr>
        <w:tc>
          <w:tcPr/>
          <w:p>
            <w:pPr>
              <w:pStyle w:val="Compact"/>
            </w:pPr>
            <w:r>
              <w:rPr>
                <w:color w:val="C00000"/>
              </w:rPr>
              <w:t xml:space="preserve">pure_llm</w:t>
            </w:r>
          </w:p>
        </w:tc>
        <w:tc>
          <w:tcPr/>
          <w:p>
            <w:pPr>
              <w:pStyle w:val="Compact"/>
            </w:pPr>
            <w:r>
              <w:rPr>
                <w:color w:val="C00000"/>
              </w:rPr>
              <w:t xml:space="preserve">0.475</w:t>
            </w:r>
          </w:p>
        </w:tc>
        <w:tc>
          <w:tcPr/>
          <w:p>
            <w:pPr>
              <w:pStyle w:val="Compact"/>
            </w:pPr>
            <w:r>
              <w:rPr>
                <w:color w:val="C00000"/>
              </w:rPr>
              <w:t xml:space="preserve">0.576</w:t>
            </w:r>
          </w:p>
        </w:tc>
        <w:tc>
          <w:tcPr/>
          <w:p>
            <w:pPr>
              <w:pStyle w:val="Compact"/>
            </w:pPr>
            <w:r>
              <w:rPr>
                <w:color w:val="C00000"/>
              </w:rPr>
              <w:t xml:space="preserve">0.771</w:t>
            </w:r>
          </w:p>
        </w:tc>
        <w:tc>
          <w:tcPr/>
          <w:p>
            <w:pPr>
              <w:pStyle w:val="Compact"/>
            </w:pPr>
            <w:r>
              <w:rPr>
                <w:color w:val="C00000"/>
              </w:rPr>
              <w:t xml:space="preserve">0.250</w:t>
            </w:r>
          </w:p>
        </w:tc>
        <w:tc>
          <w:tcPr/>
          <w:p>
            <w:pPr>
              <w:pStyle w:val="Compact"/>
            </w:pPr>
            <w:r>
              <w:rPr>
                <w:color w:val="C00000"/>
              </w:rPr>
              <w:t xml:space="preserve">1.000</w:t>
            </w:r>
          </w:p>
        </w:tc>
      </w:tr>
      <w:tr>
        <w:tc>
          <w:tcPr/>
          <w:p>
            <w:pPr>
              <w:pStyle w:val="Compact"/>
            </w:pPr>
            <w:r>
              <w:rPr>
                <w:color w:val="C00000"/>
              </w:rPr>
              <w:t xml:space="preserve">naive_rag</w:t>
            </w:r>
          </w:p>
        </w:tc>
        <w:tc>
          <w:tcPr/>
          <w:p>
            <w:pPr>
              <w:pStyle w:val="Compact"/>
            </w:pPr>
            <w:r>
              <w:rPr>
                <w:color w:val="C00000"/>
              </w:rPr>
              <w:t xml:space="preserve">0.415</w:t>
            </w:r>
          </w:p>
        </w:tc>
        <w:tc>
          <w:tcPr/>
          <w:p>
            <w:pPr>
              <w:pStyle w:val="Compact"/>
            </w:pPr>
            <w:r>
              <w:rPr>
                <w:color w:val="C00000"/>
              </w:rPr>
              <w:t xml:space="preserve">0.585</w:t>
            </w:r>
          </w:p>
        </w:tc>
        <w:tc>
          <w:tcPr/>
          <w:p>
            <w:pPr>
              <w:pStyle w:val="Compact"/>
            </w:pPr>
            <w:r>
              <w:rPr>
                <w:color w:val="C00000"/>
              </w:rPr>
              <w:t xml:space="preserve">0.757</w:t>
            </w:r>
          </w:p>
        </w:tc>
        <w:tc>
          <w:tcPr/>
          <w:p>
            <w:pPr>
              <w:pStyle w:val="Compact"/>
            </w:pPr>
            <w:r>
              <w:rPr>
                <w:color w:val="C00000"/>
              </w:rPr>
              <w:t xml:space="preserve">0.214</w:t>
            </w:r>
          </w:p>
        </w:tc>
        <w:tc>
          <w:tcPr/>
          <w:p>
            <w:pPr>
              <w:pStyle w:val="Compact"/>
            </w:pPr>
            <w:r>
              <w:rPr>
                <w:color w:val="C00000"/>
              </w:rPr>
              <w:t xml:space="preserve">0.989</w:t>
            </w:r>
          </w:p>
        </w:tc>
      </w:tr>
      <w:tr>
        <w:tc>
          <w:tcPr/>
          <w:p>
            <w:pPr>
              <w:pStyle w:val="Compact"/>
            </w:pPr>
            <w:r>
              <w:rPr>
                <w:color w:val="C00000"/>
              </w:rPr>
              <w:t xml:space="preserve">lightrag</w:t>
            </w:r>
          </w:p>
        </w:tc>
        <w:tc>
          <w:tcPr/>
          <w:p>
            <w:pPr>
              <w:pStyle w:val="Compact"/>
            </w:pPr>
            <w:r>
              <w:rPr>
                <w:color w:val="C00000"/>
              </w:rPr>
              <w:t xml:space="preserve">0.737</w:t>
            </w:r>
          </w:p>
        </w:tc>
        <w:tc>
          <w:tcPr/>
          <w:p>
            <w:pPr>
              <w:pStyle w:val="Compact"/>
            </w:pPr>
            <w:r>
              <w:rPr>
                <w:color w:val="C00000"/>
              </w:rPr>
              <w:t xml:space="preserve">0.737</w:t>
            </w:r>
          </w:p>
        </w:tc>
        <w:tc>
          <w:tcPr/>
          <w:p>
            <w:pPr>
              <w:pStyle w:val="Compact"/>
            </w:pPr>
            <w:r>
              <w:rPr>
                <w:color w:val="C00000"/>
              </w:rPr>
              <w:t xml:space="preserve">0.779</w:t>
            </w:r>
          </w:p>
        </w:tc>
        <w:tc>
          <w:tcPr/>
          <w:p>
            <w:pPr>
              <w:pStyle w:val="Compact"/>
            </w:pPr>
            <w:r>
              <w:rPr>
                <w:color w:val="C00000"/>
              </w:rPr>
              <w:t xml:space="preserve">0.536</w:t>
            </w:r>
          </w:p>
        </w:tc>
        <w:tc>
          <w:tcPr/>
          <w:p>
            <w:pPr>
              <w:pStyle w:val="Compact"/>
            </w:pPr>
            <w:r>
              <w:rPr>
                <w:color w:val="C00000"/>
              </w:rPr>
              <w:t xml:space="preserve">1.000</w:t>
            </w:r>
          </w:p>
        </w:tc>
      </w:tr>
      <w:tr>
        <w:tc>
          <w:tcPr/>
          <w:p>
            <w:pPr>
              <w:pStyle w:val="Compact"/>
            </w:pPr>
            <w:r>
              <w:rPr>
                <w:color w:val="C00000"/>
              </w:rPr>
              <w:t xml:space="preserve">full_system</w:t>
            </w:r>
          </w:p>
        </w:tc>
        <w:tc>
          <w:tcPr/>
          <w:p>
            <w:pPr>
              <w:pStyle w:val="Compact"/>
            </w:pPr>
            <w:r>
              <w:rPr>
                <w:color w:val="C00000"/>
              </w:rPr>
              <w:t xml:space="preserve">0.907</w:t>
            </w:r>
          </w:p>
        </w:tc>
        <w:tc>
          <w:tcPr/>
          <w:p>
            <w:pPr>
              <w:pStyle w:val="Compact"/>
            </w:pPr>
            <w:r>
              <w:rPr>
                <w:color w:val="C00000"/>
              </w:rPr>
              <w:t xml:space="preserve">0.907</w:t>
            </w:r>
          </w:p>
        </w:tc>
        <w:tc>
          <w:tcPr/>
          <w:p>
            <w:pPr>
              <w:pStyle w:val="Compact"/>
            </w:pPr>
            <w:r>
              <w:rPr>
                <w:color w:val="C00000"/>
              </w:rPr>
              <w:t xml:space="preserve">0.964</w:t>
            </w:r>
          </w:p>
        </w:tc>
        <w:tc>
          <w:tcPr/>
          <w:p>
            <w:pPr>
              <w:pStyle w:val="Compact"/>
            </w:pPr>
            <w:r>
              <w:rPr>
                <w:color w:val="C00000"/>
              </w:rPr>
              <w:t xml:space="preserve">0.964</w:t>
            </w:r>
          </w:p>
        </w:tc>
        <w:tc>
          <w:tcPr/>
          <w:p>
            <w:pPr>
              <w:pStyle w:val="Compact"/>
            </w:pPr>
            <w:r>
              <w:rPr>
                <w:color w:val="C00000"/>
              </w:rPr>
              <w:t xml:space="preserve">0.989</w:t>
            </w:r>
          </w:p>
        </w:tc>
      </w:tr>
    </w:tbl>
    <w:p>
      <w:pPr>
        <w:pStyle w:val="BodyText"/>
        <w:spacing w:line="480" w:lineRule="auto"/>
      </w:pPr>
      <w:r>
        <w:rPr>
          <w:rFonts w:ascii="Times New Roman" w:hAnsi="Times New Roman"/>
          <w:color w:val="C00000"/>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all 28).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color w:val="C00000"/>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color w:val="C00000"/>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color w:val="C00000"/>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color w:val="C00000"/>
        </w:rPr>
        <w:t xml:space="preserve">3.8 Expert grade review (two ophthalmologists, 12 cases)</w:t>
      </w:r>
    </w:p>
    <w:p>
      <w:pPr>
        <w:pStyle w:val="FirstParagraph"/>
        <w:spacing w:line="480" w:lineRule="auto"/>
      </w:pPr>
      <w:r>
        <w:rPr>
          <w:rFonts w:ascii="Times New Roman" w:hAnsi="Times New Roman"/>
          <w:color w:val="C00000"/>
        </w:rPr>
        <w:t xml:space="preserve">Two independent ophthalmology experts reviewed 12 cases under the grade-review protocol of Section 2.5, with the proposed gold and the system grade both visible (Table 6; Supplementary Table S3). Inter-rater agreement was 91.7% (11 of 12; kappa 0.846, weighted kappa 0.875; Figure 3). Expert–system agreement was 41.7% for expert 1 (5 of 12; kappa 0.125, weighted 0.500) and 33.3% for expert 2 (4 of 12; kappa 0.010, weighted 0.461). The disagreement was systematic: expert 1 rated 7 of 12 cases one tier lower than the system and none higher; expert 2 rated 7 lower and 1 higher. Neither expert rated any of the four system-high cases as high (0 of 4). Four cases were fully concordant between both experts and the system (R03 dexamethasone × rifampicin, R07 levofloxacin × sotalol, R10 fluorometholone × prednisone, R11 fluorometholone × glimepiride). The sole inter-expert disagreement was R08 (betaxolol × verapamil), graded medium by expert 1 and high by expert 2. The maximum achievable unweighted kappa given the marginal distributions is 0.625, so the observed near-zero kappas partly reflect margin incompatibility; the weighted kappas (0.500, 0.461) place the divergence at approximately half a tier.</w:t>
      </w:r>
    </w:p>
    <w:p>
      <w:pPr>
        <w:pStyle w:val="BodyText"/>
        <w:spacing w:line="480" w:lineRule="auto"/>
      </w:pPr>
      <w:r>
        <w:rPr>
          <w:rFonts w:ascii="Times New Roman" w:hAnsi="Times New Roman"/>
        </w:rPr>
        <w:t xml:space="preserve">Crucially, the experts disagreed with the gold labels exactly as much as with the system: expert 1 versus gold kappa 0.125 (agreement 41.7%) and expert 2 versus gold kappa 0.010 (agreement 33.3%), identical to the expert–system values because the system matched its gold on all 12 cases. The divergence is therefore not system-specific; it sits between clinical prior and evidence-graded gold.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color w:val="C00000"/>
        </w:rPr>
        <w:t xml:space="preserve">3.9 Limitations</w:t>
      </w:r>
    </w:p>
    <w:p>
      <w:pPr>
        <w:pStyle w:val="FirstParagraph"/>
        <w:spacing w:line="480" w:lineRule="auto"/>
      </w:pPr>
      <w:r>
        <w:rPr>
          <w:rFonts w:ascii="Times New Roman" w:hAnsi="Times New Roman"/>
          <w:color w:val="C00000"/>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color w:val="C00000"/>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0.846) yet graded most cases one tier lower than both the cascade and its gold, with expert–gold kappas numerically identical to the expert–system kappas (0.125 and 0.010) precisely because the cascade reproduced its gold on all 12 cases.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color w:val="C00000"/>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color w:val="C00000"/>
        </w:rPr>
        <w:t xml:space="preserve">Against general-purpose DDI databases. Existing resources such as DDInter provide comprehensive pair-level severity ratings derived from systemic administration [16]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four of which the hard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color w:val="C00000"/>
        </w:rPr>
        <w:t xml:space="preserve"> </w:t>
      </w:r>
      <w:r>
        <w:rPr>
          <w:rFonts w:ascii="Times New Roman" w:hAnsi="Times New Roman"/>
          <w:b/>
          <w:bCs/>
          <w:color w:val="C00000"/>
        </w:rPr>
        <w:t xml:space="preserve">That maximum is the honest limitation of the design.</w:t>
      </w:r>
      <w:r>
        <w:rPr>
          <w:rFonts w:ascii="Times New Roman" w:hAnsi="Times New Roman"/>
          <w:color w:val="C00000"/>
        </w:rPr>
        <w:t xml:space="preserve"> </w:t>
      </w:r>
      <w:r>
        <w:rPr>
          <w:rFonts w:ascii="Times New Roman" w:hAnsi="Times New Roman"/>
          <w:color w:val="C00000"/>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color w:val="C00000"/>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0.846) but rated most cases one tier lower than both the system and its gold. Because the expert–gold and expert–system kappas are identical (0.125 and 0.010), the divergence is not a system artifact; it reflects a systematic difference between clinical prior and evidence-graded gold.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color w:val="C00000"/>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color w:val="C00000"/>
        </w:rPr>
        <w:t xml:space="preserve"> </w:t>
      </w:r>
      <w:r>
        <w:rPr>
          <w:rFonts w:ascii="Times New Roman" w:hAnsi="Times New Roman"/>
          <w:b/>
          <w:bCs/>
          <w:color w:val="C00000"/>
        </w:rPr>
        <w:t xml:space="preserve">Corrected:</w:t>
      </w:r>
      <w:r>
        <w:rPr>
          <w:rFonts w:ascii="Times New Roman" w:hAnsi="Times New Roman"/>
          <w:color w:val="C00000"/>
        </w:rPr>
        <w:t xml:space="preserve"> </w:t>
      </w:r>
      <w:r>
        <w:rPr>
          <w:rFonts w:ascii="Times New Roman" w:hAnsi="Times New Roman"/>
          <w:color w:val="C00000"/>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color w:val="C00000"/>
        </w:rPr>
        <w:t xml:space="preserve"> </w:t>
      </w:r>
      <w:r>
        <w:rPr>
          <w:rFonts w:ascii="Times New Roman" w:hAnsi="Times New Roman"/>
          <w:b/>
          <w:bCs/>
          <w:color w:val="C00000"/>
        </w:rPr>
        <w:t xml:space="preserve">Open:</w:t>
      </w:r>
      <w:r>
        <w:rPr>
          <w:rFonts w:ascii="Times New Roman" w:hAnsi="Times New Roman"/>
          <w:color w:val="C00000"/>
        </w:rPr>
        <w:t xml:space="preserve"> </w:t>
      </w:r>
      <w:r>
        <w:rPr>
          <w:rFonts w:ascii="Times New Roman" w:hAnsi="Times New Roman"/>
          <w:color w:val="C00000"/>
        </w:rPr>
        <w:t xml:space="preserve">nine of the 113 agents in the</w:t>
      </w:r>
      <w:r>
        <w:rPr>
          <w:rFonts w:ascii="Times New Roman" w:hAnsi="Times New Roman"/>
          <w:color w:val="C00000"/>
        </w:rPr>
        <w:t xml:space="preserve"> </w:t>
      </w:r>
      <w:r>
        <w:rPr>
          <w:rFonts w:ascii="Times New Roman" w:hAnsi="Times New Roman"/>
          <w:color w:val="C00000"/>
        </w:rPr>
        <w:t xml:space="preserve">“ophthalmic topical”</w:t>
      </w:r>
      <w:r>
        <w:rPr>
          <w:rFonts w:ascii="Times New Roman" w:hAnsi="Times New Roman"/>
          <w:color w:val="C00000"/>
        </w:rPr>
        <w:t xml:space="preserve"> </w:t>
      </w:r>
      <w:r>
        <w:rPr>
          <w:rFonts w:ascii="Times New Roman" w:hAnsi="Times New Roman"/>
          <w:color w:val="C00000"/>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color w:val="C00000"/>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9%, so the system’s value lies in systematic coverage and traceability rather than in screening yield.</w:t>
      </w:r>
    </w:p>
    <w:p>
      <w:pPr>
        <w:pStyle w:val="BodyText"/>
        <w:spacing w:line="480" w:lineRule="auto"/>
      </w:pPr>
      <w:r>
        <w:rPr>
          <w:rFonts w:ascii="Times New Roman" w:hAnsi="Times New Roman"/>
          <w:color w:val="C00000"/>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color w:val="C00000"/>
        </w:rPr>
        <w:t xml:space="preserve">Four directions follow directly, with the first taking precedence.</w:t>
      </w:r>
      <w:r>
        <w:rPr>
          <w:rFonts w:ascii="Times New Roman" w:hAnsi="Times New Roman"/>
          <w:color w:val="C00000"/>
        </w:rPr>
        <w:t xml:space="preserve"> </w:t>
      </w:r>
      <w:r>
        <w:rPr>
          <w:rFonts w:ascii="Times New Roman" w:hAnsi="Times New Roman"/>
          <w:b/>
          <w:bCs/>
          <w:color w:val="C00000"/>
        </w:rPr>
        <w:t xml:space="preserve">Registry correction:</w:t>
      </w:r>
      <w:r>
        <w:rPr>
          <w:rFonts w:ascii="Times New Roman" w:hAnsi="Times New Roman"/>
          <w:color w:val="C00000"/>
        </w:rPr>
        <w:t xml:space="preserve"> </w:t>
      </w:r>
      <w:r>
        <w:rPr>
          <w:rFonts w:ascii="Times New Roman" w:hAnsi="Times New Roman"/>
          <w:color w:val="C00000"/>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color w:val="C00000"/>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was conducted in accordance with the Declaration of Helsinki and was reviewed and approved by the Ethics Committee of the First Affiliated Hospital of Xinjiang Medical University (approval no. K202509-29; reviewed by expedited review). The approval covers the expert-opinion component of this work. No patient data, human tissue, biological specimens, or clinical interventions were involved: the only human involvement was an expert-opinion exercise in which two ophthalmologists independently rated 12 hypothetical drug-pair vignettes constructed by the study team, no identifiable information was collected, and both experts provided informed consent for their anonymised ratings to be used in research and publication. The ethics approval document is provided as supplementary material. 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color w:val="C00000"/>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color w:val="C00000"/>
        </w:rPr>
        <w:t xml:space="preserve">Repository.</w:t>
      </w:r>
      <w:r>
        <w:rPr>
          <w:rFonts w:ascii="Times New Roman" w:hAnsi="Times New Roman"/>
          <w:color w:val="C00000"/>
        </w:rPr>
        <w:t xml:space="preserve"> </w:t>
      </w:r>
      <w:r>
        <w:rPr>
          <w:rFonts w:ascii="Times New Roman" w:hAnsi="Times New Roman"/>
          <w:color w:val="C00000"/>
        </w:rPr>
        <w:t xml:space="preserve">https://github.com/wangguoqing932/ophddi-cds (release tag</w:t>
      </w:r>
      <w:r>
        <w:rPr>
          <w:rFonts w:ascii="Times New Roman" w:hAnsi="Times New Roman"/>
          <w:color w:val="C00000"/>
        </w:rPr>
        <w:t xml:space="preserve"> </w:t>
      </w:r>
      <w:r>
        <w:rPr>
          <w:rStyle w:val="VerbatimChar"/>
          <w:rFonts w:ascii="Times New Roman" w:hAnsi="Times New Roman"/>
          <w:color w:val="C00000"/>
        </w:rPr>
        <w:t xml:space="preserve">v1.0-submission</w:t>
      </w:r>
      <w:r>
        <w:rPr>
          <w:rFonts w:ascii="Times New Roman" w:hAnsi="Times New Roman"/>
          <w:color w:val="C00000"/>
        </w:rPr>
        <w:t xml:space="preserve">;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v1.0-submission</w:t>
      </w:r>
      <w:r>
        <w:rPr>
          <w:rFonts w:ascii="Times New Roman" w:hAnsi="Times New Roman"/>
        </w:rPr>
        <w:t xml:space="preserve"> </w:t>
      </w:r>
      <w:r>
        <w:rPr>
          <w:rFonts w:ascii="Times New Roman" w:hAnsi="Times New Roman"/>
        </w:rPr>
        <w:t xml:space="preserve">in that repository; a versioned DOI will be registered on acceptance.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(data). Any restrictions to use by non-academics: none.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color w:val="C00000"/>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color w:val="C00000"/>
                <w:sz w:val="18"/>
              </w:rPr>
              <w:t>dataset_id</w:t>
            </w:r>
          </w:p>
        </w:tc>
        <w:tc>
          <w:tcPr>
            <w:tcW w:type="dxa" w:w="1040"/>
          </w:tcPr>
          <w:p>
            <w:pPr>
              <w:spacing w:line="240" w:lineRule="auto"/>
            </w:pPr>
            <w:r>
              <w:rPr>
                <w:rFonts w:ascii="Times New Roman" w:hAnsi="Times New Roman"/>
                <w:b/>
                <w:color w:val="C00000"/>
                <w:sz w:val="18"/>
              </w:rPr>
              <w:t>setting</w:t>
            </w:r>
          </w:p>
        </w:tc>
        <w:tc>
          <w:tcPr>
            <w:tcW w:type="dxa" w:w="1040"/>
          </w:tcPr>
          <w:p>
            <w:pPr>
              <w:spacing w:line="240" w:lineRule="auto"/>
            </w:pPr>
            <w:r>
              <w:rPr>
                <w:rFonts w:ascii="Times New Roman" w:hAnsi="Times New Roman"/>
                <w:b/>
                <w:color w:val="C00000"/>
                <w:sz w:val="18"/>
              </w:rPr>
              <w:t>method</w:t>
            </w:r>
          </w:p>
        </w:tc>
        <w:tc>
          <w:tcPr>
            <w:tcW w:type="dxa" w:w="1040"/>
          </w:tcPr>
          <w:p>
            <w:pPr>
              <w:spacing w:line="240" w:lineRule="auto"/>
            </w:pPr>
            <w:r>
              <w:rPr>
                <w:rFonts w:ascii="Times New Roman" w:hAnsi="Times New Roman"/>
                <w:b/>
                <w:color w:val="C00000"/>
                <w:sz w:val="18"/>
              </w:rPr>
              <w:t>n</w:t>
            </w:r>
          </w:p>
        </w:tc>
        <w:tc>
          <w:tcPr>
            <w:tcW w:type="dxa" w:w="1040"/>
          </w:tcPr>
          <w:p>
            <w:pPr>
              <w:spacing w:line="240" w:lineRule="auto"/>
            </w:pPr>
            <w:r>
              <w:rPr>
                <w:rFonts w:ascii="Times New Roman" w:hAnsi="Times New Roman"/>
                <w:b/>
                <w:color w:val="C00000"/>
                <w:sz w:val="18"/>
              </w:rPr>
              <w:t>sensitivity_high</w:t>
            </w:r>
          </w:p>
        </w:tc>
        <w:tc>
          <w:tcPr>
            <w:tcW w:type="dxa" w:w="1040"/>
          </w:tcPr>
          <w:p>
            <w:pPr>
              <w:spacing w:line="240" w:lineRule="auto"/>
            </w:pPr>
            <w:r>
              <w:rPr>
                <w:rFonts w:ascii="Times New Roman" w:hAnsi="Times New Roman"/>
                <w:b/>
                <w:color w:val="C00000"/>
                <w:sz w:val="18"/>
              </w:rPr>
              <w:t>specificity_high</w:t>
            </w:r>
          </w:p>
        </w:tc>
        <w:tc>
          <w:tcPr>
            <w:tcW w:type="dxa" w:w="1040"/>
          </w:tcPr>
          <w:p>
            <w:pPr>
              <w:spacing w:line="240" w:lineRule="auto"/>
            </w:pPr>
            <w:r>
              <w:rPr>
                <w:rFonts w:ascii="Times New Roman" w:hAnsi="Times New Roman"/>
                <w:b/>
                <w:color w:val="C00000"/>
                <w:sz w:val="18"/>
              </w:rPr>
              <w:t>f1_high</w:t>
            </w:r>
          </w:p>
        </w:tc>
        <w:tc>
          <w:tcPr>
            <w:tcW w:type="dxa" w:w="1040"/>
          </w:tcPr>
          <w:p>
            <w:pPr>
              <w:spacing w:line="240" w:lineRule="auto"/>
            </w:pPr>
            <w:r>
              <w:rPr>
                <w:rFonts w:ascii="Times New Roman" w:hAnsi="Times New Roman"/>
                <w:b/>
                <w:color w:val="C00000"/>
                <w:sz w:val="18"/>
              </w:rPr>
              <w:t>accuracy_3level</w:t>
            </w:r>
          </w:p>
        </w:tc>
        <w:tc>
          <w:tcPr>
            <w:tcW w:type="dxa" w:w="1040"/>
          </w:tcPr>
          <w:p>
            <w:pPr>
              <w:spacing w:line="240" w:lineRule="auto"/>
            </w:pPr>
            <w:r>
              <w:rPr>
                <w:rFonts w:ascii="Times New Roman" w:hAnsi="Times New Roman"/>
                <w:b/>
                <w:color w:val="C00000"/>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0.779</w:t>
            </w:r>
          </w:p>
        </w:tc>
        <w:tc>
          <w:tcPr>
            <w:tcW w:type="dxa" w:w="1040"/>
          </w:tcPr>
          <w:p>
            <w:pPr>
              <w:spacing w:line="240" w:lineRule="auto"/>
            </w:pPr>
            <w:r>
              <w:rPr>
                <w:rFonts w:ascii="Times New Roman" w:hAnsi="Times New Roman"/>
                <w:color w:val="C00000"/>
                <w:sz w:val="18"/>
              </w:rPr>
              <w:t>0.936</w:t>
            </w:r>
          </w:p>
        </w:tc>
        <w:tc>
          <w:tcPr>
            <w:tcW w:type="dxa" w:w="1040"/>
          </w:tcPr>
          <w:p>
            <w:pPr>
              <w:spacing w:line="240" w:lineRule="auto"/>
            </w:pPr>
            <w:r>
              <w:rPr>
                <w:rFonts w:ascii="Times New Roman" w:hAnsi="Times New Roman"/>
                <w:color w:val="C00000"/>
                <w:sz w:val="18"/>
              </w:rPr>
              <w:t>0.785</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0.603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0.964</w:t>
            </w:r>
          </w:p>
        </w:tc>
        <w:tc>
          <w:tcPr>
            <w:tcW w:type="dxa" w:w="1040"/>
          </w:tcPr>
          <w:p>
            <w:pPr>
              <w:spacing w:line="240" w:lineRule="auto"/>
            </w:pPr>
            <w:r>
              <w:rPr>
                <w:rFonts w:ascii="Times New Roman" w:hAnsi="Times New Roman"/>
                <w:color w:val="C00000"/>
                <w:sz w:val="18"/>
              </w:rPr>
              <w:t>0.907</w:t>
            </w:r>
          </w:p>
        </w:tc>
        <w:tc>
          <w:tcPr>
            <w:tcW w:type="dxa" w:w="1040"/>
          </w:tcPr>
          <w:p>
            <w:pPr>
              <w:spacing w:line="240" w:lineRule="auto"/>
            </w:pPr>
            <w:r>
              <w:rPr>
                <w:rFonts w:ascii="Times New Roman" w:hAnsi="Times New Roman"/>
                <w:color w:val="C00000"/>
                <w:sz w:val="18"/>
              </w:rPr>
              <w:t>0.857</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0.250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0.576</w:t>
            </w:r>
          </w:p>
        </w:tc>
        <w:tc>
          <w:tcPr>
            <w:tcW w:type="dxa" w:w="1040"/>
          </w:tcPr>
          <w:p>
            <w:pPr>
              <w:spacing w:line="240" w:lineRule="auto"/>
            </w:pPr>
            <w:r>
              <w:rPr>
                <w:rFonts w:ascii="Times New Roman" w:hAnsi="Times New Roman"/>
                <w:color w:val="C00000"/>
                <w:sz w:val="18"/>
              </w:rPr>
              <w:t>0.333</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0.214</w:t>
            </w:r>
          </w:p>
        </w:tc>
        <w:tc>
          <w:tcPr>
            <w:tcW w:type="dxa" w:w="1040"/>
          </w:tcPr>
          <w:p>
            <w:pPr>
              <w:spacing w:line="240" w:lineRule="auto"/>
            </w:pPr>
            <w:r>
              <w:rPr>
                <w:rFonts w:ascii="Times New Roman" w:hAnsi="Times New Roman"/>
                <w:color w:val="C00000"/>
                <w:sz w:val="18"/>
              </w:rPr>
              <w:t>0.989</w:t>
            </w:r>
          </w:p>
        </w:tc>
        <w:tc>
          <w:tcPr>
            <w:tcW w:type="dxa" w:w="1040"/>
          </w:tcPr>
          <w:p>
            <w:pPr>
              <w:spacing w:line="240" w:lineRule="auto"/>
            </w:pPr>
            <w:r>
              <w:rPr>
                <w:rFonts w:ascii="Times New Roman" w:hAnsi="Times New Roman"/>
                <w:color w:val="C00000"/>
                <w:sz w:val="18"/>
              </w:rPr>
              <w:t>0.343</w:t>
            </w:r>
          </w:p>
        </w:tc>
        <w:tc>
          <w:tcPr>
            <w:tcW w:type="dxa" w:w="1040"/>
          </w:tcPr>
          <w:p>
            <w:pPr>
              <w:spacing w:line="240" w:lineRule="auto"/>
            </w:pPr>
            <w:r>
              <w:rPr>
                <w:rFonts w:ascii="Times New Roman" w:hAnsi="Times New Roman"/>
                <w:color w:val="C00000"/>
                <w:sz w:val="18"/>
              </w:rPr>
              <w:t>0.585</w:t>
            </w:r>
          </w:p>
        </w:tc>
        <w:tc>
          <w:tcPr>
            <w:tcW w:type="dxa" w:w="1040"/>
          </w:tcPr>
          <w:p>
            <w:pPr>
              <w:spacing w:line="240" w:lineRule="auto"/>
            </w:pPr>
            <w:r>
              <w:rPr>
                <w:rFonts w:ascii="Times New Roman" w:hAnsi="Times New Roman"/>
                <w:color w:val="C00000"/>
                <w:sz w:val="18"/>
              </w:rPr>
              <w:t>0.341</w:t>
            </w:r>
          </w:p>
        </w:tc>
      </w:tr>
      <w:tr>
        <w:tc>
          <w:tcPr>
            <w:tcW w:type="dxa" w:w="1040"/>
          </w:tcPr>
          <w:p>
            <w:pPr>
              <w:spacing w:line="240" w:lineRule="auto"/>
            </w:pPr>
            <w:r>
              <w:rPr>
                <w:rFonts w:ascii="Times New Roman" w:hAnsi="Times New Roman"/>
                <w:color w:val="C00000"/>
                <w:sz w:val="18"/>
              </w:rPr>
              <w:t>blind_l1</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118</w:t>
            </w:r>
          </w:p>
        </w:tc>
        <w:tc>
          <w:tcPr>
            <w:tcW w:type="dxa" w:w="1040"/>
          </w:tcPr>
          <w:p>
            <w:pPr>
              <w:spacing w:line="240" w:lineRule="auto"/>
            </w:pPr>
            <w:r>
              <w:rPr>
                <w:rFonts w:ascii="Times New Roman" w:hAnsi="Times New Roman"/>
                <w:color w:val="C00000"/>
                <w:sz w:val="18"/>
              </w:rPr>
              <w:t>0.536</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0.698</w:t>
            </w:r>
          </w:p>
        </w:tc>
        <w:tc>
          <w:tcPr>
            <w:tcW w:type="dxa" w:w="1040"/>
          </w:tcPr>
          <w:p>
            <w:pPr>
              <w:spacing w:line="240" w:lineRule="auto"/>
            </w:pPr>
            <w:r>
              <w:rPr>
                <w:rFonts w:ascii="Times New Roman" w:hAnsi="Times New Roman"/>
                <w:color w:val="C00000"/>
                <w:sz w:val="18"/>
              </w:rPr>
              <w:t>0.737</w:t>
            </w:r>
          </w:p>
        </w:tc>
        <w:tc>
          <w:tcPr>
            <w:tcW w:type="dxa" w:w="1040"/>
          </w:tcPr>
          <w:p>
            <w:pPr>
              <w:spacing w:line="240" w:lineRule="auto"/>
            </w:pPr>
            <w:r>
              <w:rPr>
                <w:rFonts w:ascii="Times New Roman" w:hAnsi="Times New Roman"/>
                <w:color w:val="C00000"/>
                <w:sz w:val="18"/>
              </w:rPr>
              <w:t>0.587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0.848</w:t>
            </w:r>
          </w:p>
        </w:tc>
        <w:tc>
          <w:tcPr>
            <w:tcW w:type="dxa" w:w="1040"/>
          </w:tcPr>
          <w:p>
            <w:pPr>
              <w:spacing w:line="240" w:lineRule="auto"/>
            </w:pPr>
            <w:r>
              <w:rPr>
                <w:rFonts w:ascii="Times New Roman" w:hAnsi="Times New Roman"/>
                <w:color w:val="C00000"/>
                <w:sz w:val="18"/>
              </w:rPr>
              <w:t>0.704</w:t>
            </w:r>
          </w:p>
        </w:tc>
        <w:tc>
          <w:tcPr>
            <w:tcW w:type="dxa" w:w="1040"/>
          </w:tcPr>
          <w:p>
            <w:pPr>
              <w:spacing w:line="240" w:lineRule="auto"/>
            </w:pPr>
            <w:r>
              <w:rPr>
                <w:rFonts w:ascii="Times New Roman" w:hAnsi="Times New Roman"/>
                <w:color w:val="C00000"/>
                <w:sz w:val="18"/>
              </w:rPr>
              <w:t>0.642</w:t>
            </w:r>
          </w:p>
        </w:tc>
        <w:tc>
          <w:tcPr>
            <w:tcW w:type="dxa" w:w="1040"/>
          </w:tcPr>
          <w:p>
            <w:pPr>
              <w:spacing w:line="240" w:lineRule="auto"/>
            </w:pPr>
            <w:r>
              <w:rPr>
                <w:rFonts w:ascii="Times New Roman" w:hAnsi="Times New Roman"/>
                <w:color w:val="C00000"/>
                <w:sz w:val="18"/>
              </w:rPr>
              <w:t>0.630</w:t>
            </w:r>
          </w:p>
        </w:tc>
        <w:tc>
          <w:tcPr>
            <w:tcW w:type="dxa" w:w="1040"/>
          </w:tcPr>
          <w:p>
            <w:pPr>
              <w:spacing w:line="240" w:lineRule="auto"/>
            </w:pPr>
            <w:r>
              <w:rPr>
                <w:rFonts w:ascii="Times New Roman" w:hAnsi="Times New Roman"/>
                <w:color w:val="C00000"/>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0.264</w:t>
            </w:r>
          </w:p>
        </w:tc>
        <w:tc>
          <w:tcPr>
            <w:tcW w:type="dxa" w:w="1040"/>
          </w:tcPr>
          <w:p>
            <w:pPr>
              <w:spacing w:line="240" w:lineRule="auto"/>
            </w:pPr>
            <w:r>
              <w:rPr>
                <w:rFonts w:ascii="Times New Roman" w:hAnsi="Times New Roman"/>
                <w:color w:val="C00000"/>
                <w:sz w:val="18"/>
              </w:rPr>
              <w:t>0.949</w:t>
            </w:r>
          </w:p>
        </w:tc>
        <w:tc>
          <w:tcPr>
            <w:tcW w:type="dxa" w:w="1040"/>
          </w:tcPr>
          <w:p>
            <w:pPr>
              <w:spacing w:line="240" w:lineRule="auto"/>
            </w:pPr>
            <w:r>
              <w:rPr>
                <w:rFonts w:ascii="Times New Roman" w:hAnsi="Times New Roman"/>
                <w:color w:val="C00000"/>
                <w:sz w:val="18"/>
              </w:rPr>
              <w:t>0.377</w:t>
            </w:r>
          </w:p>
        </w:tc>
        <w:tc>
          <w:tcPr>
            <w:tcW w:type="dxa" w:w="1040"/>
          </w:tcPr>
          <w:p>
            <w:pPr>
              <w:spacing w:line="240" w:lineRule="auto"/>
            </w:pPr>
            <w:r>
              <w:rPr>
                <w:rFonts w:ascii="Times New Roman" w:hAnsi="Times New Roman"/>
                <w:color w:val="C00000"/>
                <w:sz w:val="18"/>
              </w:rPr>
              <w:t>0.591</w:t>
            </w:r>
          </w:p>
        </w:tc>
        <w:tc>
          <w:tcPr>
            <w:tcW w:type="dxa" w:w="1040"/>
          </w:tcPr>
          <w:p>
            <w:pPr>
              <w:spacing w:line="240" w:lineRule="auto"/>
            </w:pPr>
            <w:r>
              <w:rPr>
                <w:rFonts w:ascii="Times New Roman" w:hAnsi="Times New Roman"/>
                <w:color w:val="C00000"/>
                <w:sz w:val="18"/>
              </w:rPr>
              <w:t>0.220</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10-token</w:t>
            </w:r>
          </w:p>
        </w:tc>
        <w:tc>
          <w:tcPr>
            <w:tcW w:type="dxa" w:w="1040"/>
          </w:tcPr>
          <w:p>
            <w:pPr>
              <w:spacing w:line="240" w:lineRule="auto"/>
            </w:pPr>
            <w:r>
              <w:rPr>
                <w:rFonts w:ascii="Times New Roman" w:hAnsi="Times New Roman"/>
                <w:color w:val="C00000"/>
                <w:sz w:val="18"/>
              </w:rPr>
              <w:t>full_system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0.320</w:t>
            </w:r>
          </w:p>
        </w:tc>
        <w:tc>
          <w:tcPr>
            <w:tcW w:type="dxa" w:w="1040"/>
          </w:tcPr>
          <w:p>
            <w:pPr>
              <w:spacing w:line="240" w:lineRule="auto"/>
            </w:pPr>
            <w:r>
              <w:rPr>
                <w:rFonts w:ascii="Times New Roman" w:hAnsi="Times New Roman"/>
                <w:color w:val="C00000"/>
                <w:sz w:val="18"/>
              </w:rPr>
              <w:t>0.955</w:t>
            </w:r>
          </w:p>
        </w:tc>
        <w:tc>
          <w:tcPr>
            <w:tcW w:type="dxa" w:w="1040"/>
          </w:tcPr>
          <w:p>
            <w:pPr>
              <w:spacing w:line="240" w:lineRule="auto"/>
            </w:pPr>
            <w:r>
              <w:rPr>
                <w:rFonts w:ascii="Times New Roman" w:hAnsi="Times New Roman"/>
                <w:color w:val="C00000"/>
                <w:sz w:val="18"/>
              </w:rPr>
              <w:t>0.444</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pure_llm</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0.080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0.148</w:t>
            </w:r>
          </w:p>
        </w:tc>
        <w:tc>
          <w:tcPr>
            <w:tcW w:type="dxa" w:w="1040"/>
          </w:tcPr>
          <w:p>
            <w:pPr>
              <w:spacing w:line="240" w:lineRule="auto"/>
            </w:pPr>
            <w:r>
              <w:rPr>
                <w:rFonts w:ascii="Times New Roman" w:hAnsi="Times New Roman"/>
                <w:color w:val="C00000"/>
                <w:sz w:val="18"/>
              </w:rPr>
              <w:t>0.609</w:t>
            </w:r>
          </w:p>
        </w:tc>
        <w:tc>
          <w:tcPr>
            <w:tcW w:type="dxa" w:w="1040"/>
          </w:tcPr>
          <w:p>
            <w:pPr>
              <w:spacing w:line="240" w:lineRule="auto"/>
            </w:pPr>
            <w:r>
              <w:rPr>
                <w:rFonts w:ascii="Times New Roman" w:hAnsi="Times New Roman"/>
                <w:color w:val="C00000"/>
                <w:sz w:val="18"/>
              </w:rPr>
              <w:t>0.317</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naive_rag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0.400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0.571</w:t>
            </w:r>
          </w:p>
        </w:tc>
        <w:tc>
          <w:tcPr>
            <w:tcW w:type="dxa" w:w="1040"/>
          </w:tcPr>
          <w:p>
            <w:pPr>
              <w:spacing w:line="240" w:lineRule="auto"/>
            </w:pPr>
            <w:r>
              <w:rPr>
                <w:rFonts w:ascii="Times New Roman" w:hAnsi="Times New Roman"/>
                <w:color w:val="C00000"/>
                <w:sz w:val="18"/>
              </w:rPr>
              <w:t>0.728</w:t>
            </w:r>
          </w:p>
        </w:tc>
        <w:tc>
          <w:tcPr>
            <w:tcW w:type="dxa" w:w="1040"/>
          </w:tcPr>
          <w:p>
            <w:pPr>
              <w:spacing w:line="240" w:lineRule="auto"/>
            </w:pPr>
            <w:r>
              <w:rPr>
                <w:rFonts w:ascii="Times New Roman" w:hAnsi="Times New Roman"/>
                <w:color w:val="C00000"/>
                <w:sz w:val="18"/>
              </w:rPr>
              <w:t>0.553</w:t>
            </w:r>
          </w:p>
        </w:tc>
      </w:tr>
      <w:tr>
        <w:tc>
          <w:tcPr>
            <w:tcW w:type="dxa" w:w="1040"/>
          </w:tcPr>
          <w:p>
            <w:pPr>
              <w:spacing w:line="240" w:lineRule="auto"/>
            </w:pPr>
            <w:r>
              <w:rPr>
                <w:rFonts w:ascii="Times New Roman" w:hAnsi="Times New Roman"/>
                <w:color w:val="C00000"/>
                <w:sz w:val="18"/>
              </w:rPr>
              <w:t>blind_v3_ddinter</w:t>
            </w:r>
          </w:p>
        </w:tc>
        <w:tc>
          <w:tcPr>
            <w:tcW w:type="dxa" w:w="1040"/>
          </w:tcPr>
          <w:p>
            <w:pPr>
              <w:spacing w:line="240" w:lineRule="auto"/>
            </w:pPr>
            <w:r>
              <w:rPr>
                <w:rFonts w:ascii="Times New Roman" w:hAnsi="Times New Roman"/>
                <w:color w:val="C00000"/>
                <w:sz w:val="18"/>
              </w:rPr>
              <w:t>3000-token</w:t>
            </w:r>
          </w:p>
        </w:tc>
        <w:tc>
          <w:tcPr>
            <w:tcW w:type="dxa" w:w="1040"/>
          </w:tcPr>
          <w:p>
            <w:pPr>
              <w:spacing w:line="240" w:lineRule="auto"/>
            </w:pPr>
            <w:r>
              <w:rPr>
                <w:rFonts w:ascii="Times New Roman" w:hAnsi="Times New Roman"/>
                <w:color w:val="C00000"/>
                <w:sz w:val="18"/>
              </w:rPr>
              <w:t>lightrag</w:t>
            </w:r>
          </w:p>
        </w:tc>
        <w:tc>
          <w:tcPr>
            <w:tcW w:type="dxa" w:w="1040"/>
          </w:tcPr>
          <w:p>
            <w:pPr>
              <w:spacing w:line="240" w:lineRule="auto"/>
            </w:pPr>
            <w:r>
              <w:rPr>
                <w:rFonts w:ascii="Times New Roman" w:hAnsi="Times New Roman"/>
                <w:color w:val="C00000"/>
                <w:sz w:val="18"/>
              </w:rPr>
              <w:t>92</w:t>
            </w:r>
          </w:p>
        </w:tc>
        <w:tc>
          <w:tcPr>
            <w:tcW w:type="dxa" w:w="1040"/>
          </w:tcPr>
          <w:p>
            <w:pPr>
              <w:spacing w:line="240" w:lineRule="auto"/>
            </w:pPr>
            <w:r>
              <w:rPr>
                <w:rFonts w:ascii="Times New Roman" w:hAnsi="Times New Roman"/>
                <w:color w:val="C00000"/>
                <w:sz w:val="18"/>
              </w:rPr>
              <w:t>0.240</w:t>
            </w:r>
          </w:p>
        </w:tc>
        <w:tc>
          <w:tcPr>
            <w:tcW w:type="dxa" w:w="1040"/>
          </w:tcPr>
          <w:p>
            <w:pPr>
              <w:spacing w:line="240" w:lineRule="auto"/>
            </w:pPr>
            <w:r>
              <w:rPr>
                <w:rFonts w:ascii="Times New Roman" w:hAnsi="Times New Roman"/>
                <w:color w:val="C00000"/>
                <w:sz w:val="18"/>
              </w:rPr>
              <w:t>1.000</w:t>
            </w:r>
          </w:p>
        </w:tc>
        <w:tc>
          <w:tcPr>
            <w:tcW w:type="dxa" w:w="1040"/>
          </w:tcPr>
          <w:p>
            <w:pPr>
              <w:spacing w:line="240" w:lineRule="auto"/>
            </w:pPr>
            <w:r>
              <w:rPr>
                <w:rFonts w:ascii="Times New Roman" w:hAnsi="Times New Roman"/>
                <w:color w:val="C00000"/>
                <w:sz w:val="18"/>
              </w:rPr>
              <w:t>0.387</w:t>
            </w:r>
          </w:p>
        </w:tc>
        <w:tc>
          <w:tcPr>
            <w:tcW w:type="dxa" w:w="1040"/>
          </w:tcPr>
          <w:p>
            <w:pPr>
              <w:spacing w:line="240" w:lineRule="auto"/>
            </w:pPr>
            <w:r>
              <w:rPr>
                <w:rFonts w:ascii="Times New Roman" w:hAnsi="Times New Roman"/>
                <w:color w:val="C00000"/>
                <w:sz w:val="18"/>
              </w:rPr>
              <w:t>0.674</w:t>
            </w:r>
          </w:p>
        </w:tc>
        <w:tc>
          <w:tcPr>
            <w:tcW w:type="dxa" w:w="1040"/>
          </w:tcPr>
          <w:p>
            <w:pPr>
              <w:spacing w:line="240" w:lineRule="auto"/>
            </w:pPr>
            <w:r>
              <w:rPr>
                <w:rFonts w:ascii="Times New Roman" w:hAnsi="Times New Roman"/>
                <w:color w:val="C00000"/>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color w:val="C00000"/>
                <w:sz w:val="18"/>
              </w:rPr>
              <w:t>All 92 (vs corrected gold)</w:t>
            </w:r>
          </w:p>
        </w:tc>
        <w:tc>
          <w:tcPr>
            <w:tcW w:type="dxa" w:w="3120"/>
          </w:tcPr>
          <w:p>
            <w:pPr>
              <w:spacing w:line="240" w:lineRule="auto"/>
            </w:pPr>
            <w:r>
              <w:rPr>
                <w:rFonts w:ascii="Times New Roman" w:hAnsi="Times New Roman"/>
                <w:color w:val="C00000"/>
                <w:sz w:val="18"/>
              </w:rPr>
              <w:t>92</w:t>
            </w:r>
          </w:p>
        </w:tc>
        <w:tc>
          <w:tcPr>
            <w:tcW w:type="dxa" w:w="3120"/>
          </w:tcPr>
          <w:p>
            <w:pPr>
              <w:spacing w:line="240" w:lineRule="auto"/>
            </w:pPr>
            <w:r>
              <w:rPr>
                <w:rFonts w:ascii="Times New Roman" w:hAnsi="Times New Roman"/>
                <w:color w:val="C00000"/>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37 (0.402)</w:t>
            </w:r>
          </w:p>
        </w:tc>
      </w:tr>
      <w:tr>
        <w:tc>
          <w:tcPr>
            <w:tcW w:type="dxa" w:w="3120"/>
          </w:tcPr>
          <w:p>
            <w:pPr>
              <w:spacing w:line="240" w:lineRule="auto"/>
            </w:pPr>
            <w:r>
              <w:rPr>
                <w:rFonts w:ascii="Times New Roman" w:hAnsi="Times New Roman"/>
                <w:sz w:val="18"/>
              </w:rPr>
              <w:t>Absorption-corrected cases</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color w:val="C00000"/>
                <w:sz w:val="18"/>
              </w:rPr>
              <w:t>Kept cases (third-party-only)</w:t>
            </w:r>
          </w:p>
        </w:tc>
        <w:tc>
          <w:tcPr>
            <w:tcW w:type="dxa" w:w="3120"/>
          </w:tcPr>
          <w:p>
            <w:pPr>
              <w:spacing w:line="240" w:lineRule="auto"/>
            </w:pPr>
            <w:r>
              <w:rPr>
                <w:rFonts w:ascii="Times New Roman" w:hAnsi="Times New Roman"/>
                <w:color w:val="C00000"/>
                <w:sz w:val="18"/>
              </w:rPr>
              <w:t>62</w:t>
            </w:r>
          </w:p>
        </w:tc>
        <w:tc>
          <w:tcPr>
            <w:tcW w:type="dxa" w:w="3120"/>
          </w:tcPr>
          <w:p>
            <w:pPr>
              <w:spacing w:line="240" w:lineRule="auto"/>
            </w:pPr>
            <w:r>
              <w:rPr>
                <w:rFonts w:ascii="Times New Roman" w:hAnsi="Times New Roman"/>
                <w:color w:val="C00000"/>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color w:val="C00000"/>
                <w:sz w:val="18"/>
              </w:rPr>
              <w:t>high-&gt;low</w:t>
            </w:r>
          </w:p>
        </w:tc>
        <w:tc>
          <w:tcPr>
            <w:tcW w:type="dxa" w:w="4680"/>
          </w:tcPr>
          <w:p>
            <w:pPr>
              <w:spacing w:line="240" w:lineRule="auto"/>
            </w:pPr>
            <w:r>
              <w:rPr>
                <w:rFonts w:ascii="Times New Roman" w:hAnsi="Times New Roman"/>
                <w:color w:val="C00000"/>
                <w:sz w:val="18"/>
              </w:rPr>
              <w:t>8</w:t>
            </w:r>
          </w:p>
        </w:tc>
      </w:tr>
      <w:tr>
        <w:tc>
          <w:tcPr>
            <w:tcW w:type="dxa" w:w="4680"/>
          </w:tcPr>
          <w:p>
            <w:pPr>
              <w:spacing w:line="240" w:lineRule="auto"/>
            </w:pPr>
            <w:r>
              <w:rPr>
                <w:rFonts w:ascii="Times New Roman" w:hAnsi="Times New Roman"/>
                <w:color w:val="C00000"/>
                <w:sz w:val="18"/>
              </w:rPr>
              <w:t>high-&gt;medium</w:t>
            </w:r>
          </w:p>
        </w:tc>
        <w:tc>
          <w:tcPr>
            <w:tcW w:type="dxa" w:w="4680"/>
          </w:tcPr>
          <w:p>
            <w:pPr>
              <w:spacing w:line="240" w:lineRule="auto"/>
            </w:pPr>
            <w:r>
              <w:rPr>
                <w:rFonts w:ascii="Times New Roman" w:hAnsi="Times New Roman"/>
                <w:color w:val="C00000"/>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color w:val="C00000"/>
                <w:sz w:val="18"/>
              </w:rPr>
              <w:t>total disagreements</w:t>
            </w:r>
          </w:p>
        </w:tc>
        <w:tc>
          <w:tcPr>
            <w:tcW w:type="dxa" w:w="4680"/>
          </w:tcPr>
          <w:p>
            <w:pPr>
              <w:spacing w:line="240" w:lineRule="auto"/>
            </w:pPr>
            <w:r>
              <w:rPr>
                <w:rFonts w:ascii="Times New Roman" w:hAnsi="Times New Roman"/>
                <w:color w:val="C00000"/>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w:t>
            </w:r>
          </w:p>
        </w:tc>
        <w:tc>
          <w:tcPr>
            <w:tcW w:type="dxa" w:w="1337"/>
          </w:tcPr>
          <w:p>
            <w:pPr>
              <w:spacing w:line="240" w:lineRule="auto"/>
            </w:pPr>
            <w:r>
              <w:rPr>
                <w:rFonts w:ascii="Times New Roman" w:hAnsi="Times New Roman"/>
                <w:b/>
                <w:sz w:val="18"/>
              </w:rPr>
              <w:t>system</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color w:val="C00000"/>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color w:val="C00000"/>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color w:val="C00000"/>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color w:val="C00000"/>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2026-09-23T20:34:45Z</dcterms:created>
  <dcterms:modified xsi:type="dcterms:W3CDTF">2026-09-23T20:34:45Z</dcterms:modified>
</cp:coreProperties>
</file>

<file path=docProps/custom.xml><?xml version="1.0" encoding="utf-8"?>
<Properties xmlns="http://schemas.openxmlformats.org/officeDocument/2006/custom-properties" xmlns:vt="http://schemas.openxmlformats.org/officeDocument/2006/docPropsVTypes"/>
</file>