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How far that assumption diverges from absorption-aware assessment at registry scale has not been quantified, and it is not known whether an evidence-graded assessment agrees with the judgment of prescribing clinicians.</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carrying at least one source record; an absorption-scaled class matrix; a hard-constraint layer), covering 113 ophthalmic and 232 systemic agents, and used it to compare three ways of assigning ophthalmic–systemic DDI risk. Against DDInter severity for all 1,933 registry-matched pairs, 75.3% were graded lower once absorption was modelled (352 downgraded from high; 18.2% of all pairs), and 80.5% of downgrades were attributable to low systemic absorption. On a 118-case literature-derived gold the cascade reached 0.907 exact accuracy (107/118; kappa 0.857) versus 0.415–0.737 for three LLM baselines, with significant McNemar tests. When the baselines were re-run with a reasoning model and a 3000-token budget their label agreement rose (0.576–0.737) but high-risk sensitivity collapsed to 0.214–0.536 and specificity approached 1.000, because they adopt a conservative rarely-high-risk policy; the cascade retained 0.964 sensitivity. On a semi-independent 92-case audit set the cascade reached 0.674 accuracy with high-risk sensitivity 0.320 (8 of 25), and one adequate-budget baseline scored higher on both (0.728 and 0.400), the single comparison in which a baseline outperforms the system. Two independent ophthalmologists reviewed the assigned grades for 12 cases with both the proposed gold and the system grade visible, agreed closely with each other (kappa 0.846), and yet did not endorse most grades, placing a consistent one-tier divergence between their clinical judgment and the evidence-graded assessment; because the system reproduced its gold on all 12 cases, this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gold was constructed by the study team, which comprises the named authors,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citation-verified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all 28).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2026-09-23T18:16:02Z</dcterms:created>
  <dcterms:modified xsi:type="dcterms:W3CDTF">2026-09-23T18:16:02Z</dcterms:modified>
</cp:coreProperties>
</file>

<file path=docProps/custom.xml><?xml version="1.0" encoding="utf-8"?>
<Properties xmlns="http://schemas.openxmlformats.org/officeDocument/2006/custom-properties" xmlns:vt="http://schemas.openxmlformats.org/officeDocument/2006/docPropsVTypes"/>
</file>