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rPr>
        <w:t>Wang Guoqing, M.D.¹; Hu Lumei, M.D.¹; Wang Shaocheng, M.D.³; Yi Xianglong, M.D., Ph.D.¹²*</w:t>
      </w:r>
    </w:p>
    <w:p>
      <w:pPr>
        <w:spacing w:line="480" w:lineRule="auto"/>
      </w:pPr>
    </w:p>
    <w:p>
      <w:pPr>
        <w:spacing w:line="480" w:lineRule="auto"/>
      </w:pPr>
      <w:r>
        <w:rPr>
          <w:rFonts w:ascii="Times New Roman" w:hAnsi="Times New Roman"/>
        </w:rPr>
        <w:t>¹ Department of Ophthalmology, The First Affiliated Hospital of Xinjiang Medical University, Urumqi, Xinjiang, China</w:t>
      </w:r>
    </w:p>
    <w:p>
      <w:pPr>
        <w:spacing w:line="480" w:lineRule="auto"/>
      </w:pPr>
      <w:r>
        <w:rPr>
          <w:rFonts w:ascii="Times New Roman" w:hAnsi="Times New Roman"/>
        </w:rPr>
        <w:t>² Xinjiang Medical University, Urumqi, Xinjiang, China</w:t>
      </w:r>
    </w:p>
    <w:p>
      <w:pPr>
        <w:spacing w:line="480" w:lineRule="auto"/>
      </w:pPr>
      <w:r>
        <w:rPr>
          <w:rFonts w:ascii="Times New Roman" w:hAnsi="Times New Roman"/>
        </w:rPr>
        <w:t>³ Department of Gastroenterology, Xinjiang Production and Construction Corps Third Division General Hospital, Xinjiang, China</w:t>
      </w:r>
    </w:p>
    <w:p>
      <w:pPr>
        <w:spacing w:line="480" w:lineRule="auto"/>
      </w:pPr>
    </w:p>
    <w:p>
      <w:pPr>
        <w:spacing w:line="480" w:lineRule="auto"/>
      </w:pPr>
      <w:r>
        <w:rPr>
          <w:rFonts w:ascii="Times New Roman" w:hAnsi="Times New Roman"/>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rPr>
        <w:t>E-mail: yixianglong1010@163.com</w:t>
      </w:r>
    </w:p>
    <w:p>
      <w:pPr>
        <w:spacing w:line="480" w:lineRule="auto"/>
      </w:pPr>
      <w:r>
        <w:rPr>
          <w:rFonts w:ascii="Times New Roman" w:hAnsi="Times New Roman"/>
        </w:rPr>
        <w:t>Wang Guoqing, M.D., Resident Physician; E-mail: 17690924120@163.com</w:t>
      </w:r>
    </w:p>
    <w:p>
      <w:pPr>
        <w:spacing w:line="480" w:lineRule="auto"/>
      </w:pPr>
      <w:r>
        <w:rPr>
          <w:rFonts w:ascii="Times New Roman" w:hAnsi="Times New Roman"/>
        </w:rPr>
        <w:t>Hu Lumei, M.D., Department of Ophthalmology, The First Affiliated Hospital of Xinjiang Medical University; E-mail: 1301161825@qq.com</w:t>
      </w:r>
    </w:p>
    <w:p>
      <w:pPr>
        <w:spacing w:line="480" w:lineRule="auto"/>
      </w:pPr>
      <w:r>
        <w:rPr>
          <w:rFonts w:ascii="Times New Roman" w:hAnsi="Times New Roman"/>
        </w:rPr>
        <w:t>Wang Shaocheng, M.D., Department of Gastroenterology, Xinjiang Production and Construction Corps Third Division General Hospital; E-mail: 13150407698@163.com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color w:val="C00000"/>
        </w:rPr>
        <w:t xml:space="preserve">Background.</w:t>
      </w:r>
      <w:r>
        <w:rPr>
          <w:rFonts w:ascii="Times New Roman" w:hAnsi="Times New Roman"/>
          <w:color w:val="C00000"/>
        </w:rPr>
        <w:t xml:space="preserve"> </w:t>
      </w:r>
      <w:r>
        <w:rPr>
          <w:rFonts w:ascii="Times New Roman" w:hAnsi="Times New Roman"/>
          <w:color w:val="C00000"/>
        </w:rPr>
        <w:t xml:space="preserve">Ophthalmic topical medications reach clinically meaningful systemic exposure, yet general-purpose drug-drug interaction (DDI) databases grade severity from systemic administration and do not model absorption from the topical route. Whether that assumption holds at registry scale, and whether evidence-graded assessment agrees with prescribing clinicians, is unknown.</w:t>
      </w:r>
    </w:p>
    <w:p>
      <w:pPr>
        <w:pStyle w:val="BodyText"/>
        <w:spacing w:line="480" w:lineRule="auto"/>
      </w:pPr>
      <w:r>
        <w:rPr>
          <w:rFonts w:ascii="Times New Roman" w:hAnsi="Times New Roman"/>
          <w:b/>
          <w:bCs/>
          <w:color w:val="C00000"/>
        </w:rPr>
        <w:t xml:space="preserve">Results.</w:t>
      </w:r>
      <w:r>
        <w:rPr>
          <w:rFonts w:ascii="Times New Roman" w:hAnsi="Times New Roman"/>
          <w:color w:val="C00000"/>
        </w:rPr>
        <w:t xml:space="preserve"> </w:t>
      </w:r>
      <w:r>
        <w:rPr>
          <w:rFonts w:ascii="Times New Roman" w:hAnsi="Times New Roman"/>
          <w:color w:val="C00000"/>
        </w:rPr>
        <w:t xml:space="preserve">We built OphDDI-CDS, a deterministic three-layer cascade (40 mechanism rules, each with a source record; an absorption-scaled class matrix; a hard-constraint layer) over 113 ophthalmic and 232 systemic agents, and compared three ways of assigning ophthalmic–systemic DDI risk. Against DDInter severity for all 1,933 registry-matched pairs, 75.3% were graded lower once absorption was modelled (352 downgraded from high), and 80.5% of downgrades were attributable to low systemic absorption. On a 118-case literature-derived gold the cascade reached 0.907 exact accuracy (kappa 0.857) versus 0.415–0.737 for three LLM baselines. Re-run with a reasoning model and a 3000-token budget, the baselines’ label agreement rose (0.576-0.737) but high-risk sensitivity collapsed to 0.214-0.536, a conservative rarely-high-risk policy; the cascade retained 0.964. On a semi-independent 92-case audit set the cascade reached 0.674 accuracy with high-risk sensitivity 0.320 (8 of 25); restricted to the 62 cases whose severity is free of the system’s own absorption assumption, accuracy is 0.548 (34 of 62). One adequate-budget baseline scored higher on both (0.728 and 0.400), the only such comparison. Two independent ophthalmologists reviewed 12 assigned grades with both the proposed gold and the system grade visible; they agreed closely with each other (kappa 0.840) yet did not endorse the assigned grades, rating 10 of 12 cases one tier lower; because the questionnaire displayed both grades and the system reproduced its gold, this exercise is not an independent validation and is reported as such.</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color w:val="C00000"/>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Alvan et al. measured plasma concentrations after ocular administration [1], and Rait notes that systemic absorption occurs in relatively small amounts but is clinically consequential in susceptible patients [2]. (An earlier version cited these two references for an</w:t>
      </w:r>
      <w:r>
        <w:rPr>
          <w:rFonts w:ascii="Times New Roman" w:hAnsi="Times New Roman"/>
          <w:color w:val="C00000"/>
        </w:rPr>
        <w:t xml:space="preserve"> </w:t>
      </w:r>
      <w:r>
        <w:rPr>
          <w:rFonts w:ascii="Times New Roman" w:hAnsi="Times New Roman"/>
          <w:color w:val="C00000"/>
        </w:rPr>
        <w:t xml:space="preserve">“approximately 80%”</w:t>
      </w:r>
      <w:r>
        <w:rPr>
          <w:rFonts w:ascii="Times New Roman" w:hAnsi="Times New Roman"/>
          <w:color w:val="C00000"/>
        </w:rPr>
        <w:t xml:space="preserve"> </w:t>
      </w:r>
      <w:r>
        <w:rPr>
          <w:rFonts w:ascii="Times New Roman" w:hAnsi="Times New Roman"/>
          <w:color w:val="C00000"/>
        </w:rPr>
        <w:t xml:space="preserve">bioavailability figure; neither reports it. That order of magnitude is supported by Korte et al. [N1], cited below.)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color w:val="C00000"/>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Route awareness is not wholly absent from mainstream resources: Drugs.com maintains a separate ophthalmic entity for timolol with its own interaction list and severity distribution, and Lexicomp asks the user to specify the route of administration. What is absent is not route awareness as such but an explicit, registry-wide absorption model that would let a prescriber see how a systemic-route severity rating changes once topical absorption is taken into account; that is the gap this work addresses.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color w:val="C00000"/>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retrieval-augmented variants captured only part of the gap to a purpose-built cascade, and the ranking of retrieval methods depended on how much output budget the model was given [20,21]; Section 3.6 reports both settings.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color w:val="C00000"/>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color w:val="C00000"/>
        </w:rPr>
        <w:t xml:space="preserve">Our contributions are fourfold. First, we quantify the divergence rather than assert it: across all 1,933 ophthalmic–systemic pairs for which DDInter provides a severity rating, absorption-aware assessment grades 75.3% of pairs lower, 352 pairs move down from high, and a single nameable mechanism — low systemic absorption from the topical route — accounts for 80.5% of all downgrades. This turns a known qualitative caveat into a measured property of the database. Second, we provide the instrument that makes the measurement possible: a reproducible, source-traceable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on the 12-case expert review the experts disagreed with the assigned grades about one tier lower on 10 of 12 cases, and the same near-zero agreement appears against both the system and its gold because the system reproduced that gold. Fourth, we report the evaluation in a form that can be audited and re-run: a four-phase protocol (rule consistency, development-phase validation, a semi-independent external audit, and a clinical grade review (not an independent validation; see Section 4.4))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color w:val="C00000"/>
        </w:rPr>
        <w:t xml:space="preserve">How route of administration is represented.</w:t>
      </w:r>
      <w:r>
        <w:rPr>
          <w:rFonts w:ascii="Times New Roman" w:hAnsi="Times New Roman"/>
          <w:color w:val="C00000"/>
        </w:rPr>
        <w:t xml:space="preserve"> </w:t>
      </w:r>
      <w:r>
        <w:rPr>
          <w:rFonts w:ascii="Times New Roman" w:hAnsi="Times New Roman"/>
          <w:color w:val="C00000"/>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color w:val="C00000"/>
        </w:rPr>
        <w:t xml:space="preserve"> </w:t>
      </w:r>
      <w:r>
        <w:rPr>
          <w:rStyle w:val="VerbatimChar"/>
          <w:rFonts w:ascii="Times New Roman" w:hAnsi="Times New Roman"/>
          <w:color w:val="C00000"/>
        </w:rPr>
        <w:t xml:space="preserve">systemic_absorption_high</w:t>
      </w:r>
      <w:r>
        <w:rPr>
          <w:rFonts w:ascii="Times New Roman" w:hAnsi="Times New Roman"/>
          <w:color w:val="C00000"/>
        </w:rPr>
        <w:t xml:space="preserve"> </w:t>
      </w:r>
      <w:r>
        <w:rPr>
          <w:rFonts w:ascii="Times New Roman" w:hAnsi="Times New Roman"/>
          <w:color w:val="C00000"/>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color w:val="C00000"/>
        </w:rPr>
        <w:t xml:space="preserve">Evidence and gold labels were derived from multiple sources. DDInter 2.0, a curated database of 302,516 DDI records [N2].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color w:val="C00000"/>
        </w:rPr>
        <w:t xml:space="preserve">L1 rule engine.</w:t>
      </w:r>
      <w:r>
        <w:rPr>
          <w:rFonts w:ascii="Times New Roman" w:hAnsi="Times New Roman"/>
          <w:color w:val="C00000"/>
        </w:rPr>
        <w:t xml:space="preserve"> </w:t>
      </w:r>
      <w:r>
        <w:rPr>
          <w:rFonts w:ascii="Times New Roman" w:hAnsi="Times New Roman"/>
          <w:color w:val="C00000"/>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color w:val="C00000"/>
        </w:rPr>
        <w:t xml:space="preserve"> </w:t>
      </w:r>
      <w:r>
        <w:rPr>
          <w:rFonts w:ascii="Times New Roman" w:hAnsi="Times New Roman"/>
          <w:b/>
          <w:bCs/>
          <w:color w:val="C00000"/>
        </w:rPr>
        <w:t xml:space="preserve">No second-order interactions are modelled:</w:t>
      </w:r>
      <w:r>
        <w:rPr>
          <w:rFonts w:ascii="Times New Roman" w:hAnsi="Times New Roman"/>
          <w:color w:val="C00000"/>
        </w:rPr>
        <w:t xml:space="preserve"> </w:t>
      </w:r>
      <w:r>
        <w:rPr>
          <w:rFonts w:ascii="Times New Roman" w:hAnsi="Times New Roman"/>
          <w:color w:val="C00000"/>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color w:val="C00000"/>
        </w:rPr>
        <w:t xml:space="preserve">Citation coverage is narrower than the phrase</w:t>
      </w:r>
      <w:r>
        <w:rPr>
          <w:rFonts w:ascii="Times New Roman" w:hAnsi="Times New Roman"/>
          <w:color w:val="C00000"/>
        </w:rPr>
        <w:t xml:space="preserve"> </w:t>
      </w:r>
      <w:r>
        <w:rPr>
          <w:rFonts w:ascii="Times New Roman" w:hAnsi="Times New Roman"/>
          <w:color w:val="C00000"/>
        </w:rPr>
        <w:t xml:space="preserve">“citation-verified”</w:t>
      </w:r>
      <w:r>
        <w:rPr>
          <w:rFonts w:ascii="Times New Roman" w:hAnsi="Times New Roman"/>
          <w:color w:val="C00000"/>
        </w:rPr>
        <w:t xml:space="preserve"> </w:t>
      </w:r>
      <w:r>
        <w:rPr>
          <w:rFonts w:ascii="Times New Roman" w:hAnsi="Times New Roman"/>
          <w:color w:val="C00000"/>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color w:val="C00000"/>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color w:val="C00000"/>
        </w:rPr>
        <w:t xml:space="preserve">L2 class matrix.</w:t>
      </w:r>
      <w:r>
        <w:rPr>
          <w:rFonts w:ascii="Times New Roman" w:hAnsi="Times New Roman"/>
          <w:color w:val="C00000"/>
        </w:rPr>
        <w:t xml:space="preserve"> </w:t>
      </w:r>
      <w:r>
        <w:rPr>
          <w:rFonts w:ascii="Times New Roman" w:hAnsi="Times New Roman"/>
          <w:color w:val="C00000"/>
        </w:rPr>
        <w:t xml:space="preserve">A drug-class matrix relates ophthalmic drug classes to systemic drug classes. The released configuration declares 21 ophthalmic row keys and 40 systemic column keys, of which 34 columns are used, and assigns a level to 104 cells, of which 83 carry an actionable grade (high/medium/low) and 21 are explicitly marked</w:t>
      </w:r>
      <w:r>
        <w:rPr>
          <w:rFonts w:ascii="Times New Roman" w:hAnsi="Times New Roman"/>
          <w:color w:val="C00000"/>
        </w:rPr>
        <w:t xml:space="preserve"> </w:t>
      </w:r>
      <w:r>
        <w:rPr>
          <w:rFonts w:ascii="Times New Roman" w:hAnsi="Times New Roman"/>
          <w:color w:val="C00000"/>
        </w:rPr>
        <w:t xml:space="preserve">“none”</w:t>
      </w:r>
      <w:r>
        <w:rPr>
          <w:rFonts w:ascii="Times New Roman" w:hAnsi="Times New Roman"/>
          <w:color w:val="C00000"/>
        </w:rPr>
        <w:t xml:space="preserve"> </w:t>
      </w:r>
      <w:r>
        <w:rPr>
          <w:rFonts w:ascii="Times New Roman" w:hAnsi="Times New Roman"/>
          <w:color w:val="C00000"/>
        </w:rPr>
        <w:t xml:space="preserve">and ignored by the engine;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color w:val="C00000"/>
        </w:rPr>
        <w:t xml:space="preserve"> </w:t>
      </w:r>
      <w:r>
        <w:rPr>
          <w:rFonts w:ascii="Times New Roman" w:hAnsi="Times New Roman"/>
          <w:b/>
          <w:bCs/>
          <w:color w:val="C00000"/>
        </w:rPr>
        <w:t xml:space="preserve">not empirically validated</w:t>
      </w:r>
      <w:r>
        <w:rPr>
          <w:rFonts w:ascii="Times New Roman" w:hAnsi="Times New Roman"/>
          <w:color w:val="C00000"/>
        </w:rPr>
        <w:t xml:space="preserve"> </w:t>
      </w:r>
      <w:r>
        <w:rPr>
          <w:rFonts w:ascii="Times New Roman" w:hAnsi="Times New Roman"/>
          <w:color w:val="C00000"/>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83 graded class pairs for which a mechanism or an absorption-based expectation exists (21 further cells are marked</w:t>
      </w:r>
      <w:r>
        <w:rPr>
          <w:rFonts w:ascii="Times New Roman" w:hAnsi="Times New Roman"/>
          <w:color w:val="C00000"/>
        </w:rPr>
        <w:t xml:space="preserve"> </w:t>
      </w:r>
      <w:r>
        <w:rPr>
          <w:rFonts w:ascii="Times New Roman" w:hAnsi="Times New Roman"/>
          <w:color w:val="C00000"/>
        </w:rPr>
        <w:t xml:space="preserve">“none”</w:t>
      </w:r>
      <w:r>
        <w:rPr>
          <w:rFonts w:ascii="Times New Roman" w:hAnsi="Times New Roman"/>
          <w:color w:val="C00000"/>
        </w:rPr>
        <w:t xml:space="preserve"> </w:t>
      </w:r>
      <w:r>
        <w:rPr>
          <w:rFonts w:ascii="Times New Roman" w:hAnsi="Times New Roman"/>
          <w:color w:val="C00000"/>
        </w:rPr>
        <w:t xml:space="preserve">to record that the pair was reviewed and needs no action), and any pair that reaches neither a rule nor a defined cell falls through to the L3 default-low path rather than receiving an interpolated grade.</w:t>
      </w:r>
      <w:r>
        <w:rPr>
          <w:rFonts w:ascii="Times New Roman" w:hAnsi="Times New Roman"/>
          <w:color w:val="C00000"/>
        </w:rPr>
        <w:t xml:space="preserve"> </w:t>
      </w:r>
      <w:r>
        <w:rPr>
          <w:rFonts w:ascii="Times New Roman" w:hAnsi="Times New Roman"/>
          <w:b/>
          <w:bCs/>
          <w:color w:val="C00000"/>
        </w:rPr>
        <w:t xml:space="preserve">Layer scope of the class mapping:</w:t>
      </w:r>
      <w:r>
        <w:rPr>
          <w:rFonts w:ascii="Times New Roman" w:hAnsi="Times New Roman"/>
          <w:color w:val="C00000"/>
        </w:rPr>
        <w:t xml:space="preserve"> </w:t>
      </w:r>
      <w:r>
        <w:rPr>
          <w:rFonts w:ascii="Times New Roman" w:hAnsi="Times New Roman"/>
          <w:color w:val="C00000"/>
        </w:rPr>
        <w:t xml:space="preserve">the drug-to-class mapping (113 ophthalmic agents, 232 systemic agents;</w:t>
      </w:r>
      <w:r>
        <w:rPr>
          <w:rFonts w:ascii="Times New Roman" w:hAnsi="Times New Roman"/>
          <w:color w:val="C00000"/>
        </w:rPr>
        <w:t xml:space="preserve"> </w:t>
      </w:r>
      <w:r>
        <w:rPr>
          <w:rStyle w:val="VerbatimChar"/>
          <w:rFonts w:ascii="Times New Roman" w:hAnsi="Times New Roman"/>
          <w:color w:val="C00000"/>
        </w:rPr>
        <w:t xml:space="preserve">configs/drug_classes.yaml</w:t>
      </w:r>
      <w:r>
        <w:rPr>
          <w:rFonts w:ascii="Times New Roman" w:hAnsi="Times New Roman"/>
          <w:color w:val="C00000"/>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color w:val="C00000"/>
        </w:rPr>
        <w:t xml:space="preserve">Which layer produces the grade.</w:t>
      </w:r>
      <w:r>
        <w:rPr>
          <w:rFonts w:ascii="Times New Roman" w:hAnsi="Times New Roman"/>
          <w:color w:val="C00000"/>
        </w:rPr>
        <w:t xml:space="preserve"> </w:t>
      </w:r>
      <w:r>
        <w:rPr>
          <w:rFonts w:ascii="Times New Roman" w:hAnsi="Times New Roman"/>
          <w:color w:val="C00000"/>
        </w:rPr>
        <w:t xml:space="preserve">Because the cascade returns the maximum of the rule and matrix layers, the layer that determines each grade is worth stating. Across all 26,216 registry pairs the class matrix determines 68.7%, the G19 hard constraint 12.2%, the rule layer 12.0%, and an explicit default-low path 7.1% for pairs with no rule or matrix signal; these four paths are disjoint and their outputs are recorded in the audit deposited with this manuscript. The rule layer is not absorption-gated, which has one consequence we report rather than leave implicit: 202 pairs whose ophthalmic agent carries a low-or-below absorption tier receive medium (107) or high (95) grades, and every one of them arrives through the rule path. All 95 high grades come from a single rule,</w:t>
      </w:r>
      <w:r>
        <w:rPr>
          <w:rFonts w:ascii="Times New Roman" w:hAnsi="Times New Roman"/>
          <w:color w:val="C00000"/>
        </w:rPr>
        <w:t xml:space="preserve"> </w:t>
      </w:r>
      <w:r>
        <w:rPr>
          <w:rStyle w:val="VerbatimChar"/>
          <w:rFonts w:ascii="Times New Roman" w:hAnsi="Times New Roman"/>
          <w:color w:val="C00000"/>
        </w:rPr>
        <w:t xml:space="preserve">nsaid_antihypertensive_antagonism</w:t>
      </w:r>
      <w:r>
        <w:rPr>
          <w:rFonts w:ascii="Times New Roman" w:hAnsi="Times New Roman"/>
          <w:color w:val="C00000"/>
        </w:rPr>
        <w:t xml:space="preserve">, which requires no absorption flag. Section 4.2 quantifies that consequence and why we did not gate the rule.</w:t>
      </w:r>
    </w:p>
    <w:p>
      <w:pPr>
        <w:pStyle w:val="BodyText"/>
        <w:spacing w:line="480" w:lineRule="auto"/>
      </w:pPr>
      <w:r>
        <w:rPr>
          <w:rFonts w:ascii="Times New Roman" w:hAnsi="Times New Roman"/>
          <w:b/>
          <w:bCs/>
          <w:color w:val="C00000"/>
        </w:rPr>
        <w:t xml:space="preserve">L3 hard constraint.</w:t>
      </w:r>
      <w:r>
        <w:rPr>
          <w:rFonts w:ascii="Times New Roman" w:hAnsi="Times New Roman"/>
          <w:color w:val="C00000"/>
        </w:rPr>
        <w:t xml:space="preserve"> </w:t>
      </w:r>
      <w:r>
        <w:rPr>
          <w:rFonts w:ascii="Times New Roman" w:hAnsi="Times New Roman"/>
          <w:color w:val="C00000"/>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color w:val="C00000"/>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color w:val="C00000"/>
        </w:rPr>
        <w:t xml:space="preserve"> </w:t>
      </w:r>
      <w:r>
        <w:rPr>
          <w:rFonts w:ascii="Times New Roman" w:hAnsi="Times New Roman"/>
          <w:b/>
          <w:bCs/>
          <w:color w:val="C00000"/>
        </w:rPr>
        <w:t xml:space="preserve">Absorption tiers and their definition.</w:t>
      </w:r>
      <w:r>
        <w:rPr>
          <w:rFonts w:ascii="Times New Roman" w:hAnsi="Times New Roman"/>
          <w:color w:val="C00000"/>
        </w:rPr>
        <w:t xml:space="preserve"> </w:t>
      </w:r>
      <w:r>
        <w:rPr>
          <w:rFonts w:ascii="Times New Roman" w:hAnsi="Times New Roman"/>
          <w:color w:val="C00000"/>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color w:val="C00000"/>
        </w:rPr>
        <w:t xml:space="preserve"> </w:t>
      </w:r>
      <w:r>
        <w:rPr>
          <w:rFonts w:ascii="Times New Roman" w:hAnsi="Times New Roman"/>
          <w:b/>
          <w:bCs/>
          <w:color w:val="C00000"/>
        </w:rPr>
        <w:t xml:space="preserve">six</w:t>
      </w:r>
      <w:r>
        <w:rPr>
          <w:rFonts w:ascii="Times New Roman" w:hAnsi="Times New Roman"/>
          <w:color w:val="C00000"/>
        </w:rPr>
        <w:t xml:space="preserve"> </w:t>
      </w:r>
      <w:r>
        <w:rPr>
          <w:rFonts w:ascii="Times New Roman" w:hAnsi="Times New Roman"/>
          <w:color w:val="C00000"/>
        </w:rPr>
        <w:t xml:space="preserve">tier values, not the four used in earlier descriptions of this work:</w:t>
      </w:r>
      <w:r>
        <w:rPr>
          <w:rFonts w:ascii="Times New Roman" w:hAnsi="Times New Roman"/>
          <w:color w:val="C00000"/>
        </w:rPr>
        <w:t xml:space="preserve"> </w:t>
      </w:r>
      <w:r>
        <w:rPr>
          <w:rStyle w:val="VerbatimChar"/>
          <w:rFonts w:ascii="Times New Roman" w:hAnsi="Times New Roman"/>
          <w:color w:val="C00000"/>
        </w:rPr>
        <w:t xml:space="preserve">systemic_absorption_high</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systemic_absorption_medium</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systemic_absorption_low</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systemic_absorption_very_low</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minimal_systemic_absorption</w:t>
      </w:r>
      <w:r>
        <w:rPr>
          <w:rFonts w:ascii="Times New Roman" w:hAnsi="Times New Roman"/>
          <w:color w:val="C00000"/>
        </w:rPr>
        <w:t xml:space="preserve"> </w:t>
      </w:r>
      <w:r>
        <w:rPr>
          <w:rFonts w:ascii="Times New Roman" w:hAnsi="Times New Roman"/>
          <w:color w:val="C00000"/>
        </w:rPr>
        <w:t xml:space="preserve">and</w:t>
      </w:r>
      <w:r>
        <w:rPr>
          <w:rFonts w:ascii="Times New Roman" w:hAnsi="Times New Roman"/>
          <w:color w:val="C00000"/>
        </w:rPr>
        <w:t xml:space="preserve"> </w:t>
      </w:r>
      <w:r>
        <w:rPr>
          <w:rStyle w:val="VerbatimChar"/>
          <w:rFonts w:ascii="Times New Roman" w:hAnsi="Times New Roman"/>
          <w:color w:val="C00000"/>
        </w:rPr>
        <w:t xml:space="preserve">systemic_absorption_none</w:t>
      </w:r>
      <w:r>
        <w:rPr>
          <w:rFonts w:ascii="Times New Roman" w:hAnsi="Times New Roman"/>
          <w:color w:val="C00000"/>
        </w:rPr>
        <w:t xml:space="preserve"> </w:t>
      </w:r>
      <w:r>
        <w:rPr>
          <w:rFonts w:ascii="Times New Roman" w:hAnsi="Times New Roman"/>
          <w:color w:val="C00000"/>
        </w:rPr>
        <w:t xml:space="preserve">(113 agents: 15 high, 17 medium, 61 low, 9 very-low, 7 minimal, 4 none). The L3 hard constraint fires on two of these values,</w:t>
      </w:r>
      <w:r>
        <w:rPr>
          <w:rFonts w:ascii="Times New Roman" w:hAnsi="Times New Roman"/>
          <w:color w:val="C00000"/>
        </w:rPr>
        <w:t xml:space="preserve"> </w:t>
      </w:r>
      <w:r>
        <w:rPr>
          <w:rStyle w:val="VerbatimChar"/>
          <w:rFonts w:ascii="Times New Roman" w:hAnsi="Times New Roman"/>
          <w:color w:val="C00000"/>
        </w:rPr>
        <w:t xml:space="preserve">systemic_absorption_low</w:t>
      </w:r>
      <w:r>
        <w:rPr>
          <w:rFonts w:ascii="Times New Roman" w:hAnsi="Times New Roman"/>
          <w:color w:val="C00000"/>
        </w:rPr>
        <w:t xml:space="preserve"> </w:t>
      </w:r>
      <w:r>
        <w:rPr>
          <w:rFonts w:ascii="Times New Roman" w:hAnsi="Times New Roman"/>
          <w:color w:val="C00000"/>
        </w:rPr>
        <w:t xml:space="preserve">and</w:t>
      </w:r>
      <w:r>
        <w:rPr>
          <w:rFonts w:ascii="Times New Roman" w:hAnsi="Times New Roman"/>
          <w:color w:val="C00000"/>
        </w:rPr>
        <w:t xml:space="preserve"> </w:t>
      </w:r>
      <w:r>
        <w:rPr>
          <w:rStyle w:val="VerbatimChar"/>
          <w:rFonts w:ascii="Times New Roman" w:hAnsi="Times New Roman"/>
          <w:color w:val="C00000"/>
        </w:rPr>
        <w:t xml:space="preserve">systemic_absorption_very_low</w:t>
      </w:r>
      <w:r>
        <w:rPr>
          <w:rFonts w:ascii="Times New Roman" w:hAnsi="Times New Roman"/>
          <w:color w:val="C00000"/>
        </w:rPr>
        <w:t xml:space="preserve">, as implemented in</w:t>
      </w:r>
      <w:r>
        <w:rPr>
          <w:rFonts w:ascii="Times New Roman" w:hAnsi="Times New Roman"/>
          <w:color w:val="C00000"/>
        </w:rPr>
        <w:t xml:space="preserve"> </w:t>
      </w:r>
      <w:r>
        <w:rPr>
          <w:rStyle w:val="VerbatimChar"/>
          <w:rFonts w:ascii="Times New Roman" w:hAnsi="Times New Roman"/>
          <w:color w:val="C00000"/>
        </w:rPr>
        <w:t xml:space="preserve">kg_layer.py</w:t>
      </w:r>
      <w:r>
        <w:rPr>
          <w:rFonts w:ascii="Times New Roman" w:hAnsi="Times New Roman"/>
          <w:color w:val="C00000"/>
        </w:rPr>
        <w:t xml:space="preserve">; the remaining four values preserve the assigned level. (Section 2.2 and Section 4.2 of the previous revision stated that four tiers were tested; the code tests two. The final grades are unaffected because the other low-exposure values are already mapped to low risk within the matrix layer.) The tier is a</w:t>
      </w:r>
      <w:r>
        <w:rPr>
          <w:rFonts w:ascii="Times New Roman" w:hAnsi="Times New Roman"/>
          <w:color w:val="C00000"/>
        </w:rPr>
        <w:t xml:space="preserve"> </w:t>
      </w:r>
      <w:r>
        <w:rPr>
          <w:rFonts w:ascii="Times New Roman" w:hAnsi="Times New Roman"/>
          <w:b/>
          <w:bCs/>
          <w:color w:val="C00000"/>
        </w:rPr>
        <w:t xml:space="preserve">categorical assignment, not a measured quantity</w:t>
      </w:r>
      <w:r>
        <w:rPr>
          <w:rFonts w:ascii="Times New Roman" w:hAnsi="Times New Roman"/>
          <w:color w:val="C00000"/>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that has now been corrected (flurbiprofen was tiered high in the registry while the curation file recorded low for the same evidence sources; it is tiered low as of this revision),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is Supplementary Table S5.</w:t>
      </w:r>
      <w:r>
        <w:rPr>
          <w:rFonts w:ascii="Times New Roman" w:hAnsi="Times New Roman"/>
          <w:color w:val="C00000"/>
        </w:rPr>
        <w:t xml:space="preserve"> </w:t>
      </w:r>
      <w:r>
        <w:rPr>
          <w:rFonts w:ascii="Times New Roman" w:hAnsi="Times New Roman"/>
          <w:b/>
          <w:bCs/>
          <w:color w:val="C00000"/>
        </w:rPr>
        <w:t xml:space="preserve">The table’s source column does not evidence the tiers individually:</w:t>
      </w:r>
      <w:r>
        <w:rPr>
          <w:rFonts w:ascii="Times New Roman" w:hAnsi="Times New Roman"/>
          <w:color w:val="C00000"/>
        </w:rPr>
        <w:t xml:space="preserve"> </w:t>
      </w:r>
      <w:r>
        <w:rPr>
          <w:rFonts w:ascii="Times New Roman" w:hAnsi="Times New Roman"/>
          <w:color w:val="C00000"/>
        </w:rPr>
        <w:t xml:space="preserve">all 113 rows record the same string (</w:t>
      </w:r>
      <w:r>
        <w:rPr>
          <w:rStyle w:val="VerbatimChar"/>
          <w:rFonts w:ascii="Times New Roman" w:hAnsi="Times New Roman"/>
          <w:color w:val="C00000"/>
        </w:rPr>
        <w:t xml:space="preserve">DrugBank DBxxxxx|PubMed</w:t>
      </w:r>
      <w:r>
        <w:rPr>
          <w:rFonts w:ascii="Times New Roman" w:hAnsi="Times New Roman"/>
          <w:color w:val="C00000"/>
        </w:rPr>
        <w:t xml:space="preserve">, with PubMed as a bare word and no identifier), and individual source records are named in this section for timolol [1,27] and for atropine and dexamethasone [29] only. The remaining tiers are the study team’s curation assignment; Table S5 marks this explicitly so the support behind each row is not overstated.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color w:val="C00000"/>
        </w:rPr>
        <w:t xml:space="preserve">L1 literature-derived gold (118 cases). Gold labels were constructed by the study team from authoritative sources, without reference to system outputs, following the data-selection principle set out in Section 2.1.</w:t>
      </w:r>
      <w:r>
        <w:rPr>
          <w:rFonts w:ascii="Times New Roman" w:hAnsi="Times New Roman"/>
          <w:color w:val="C00000"/>
        </w:rPr>
        <w:t xml:space="preserve"> </w:t>
      </w:r>
      <w:r>
        <w:rPr>
          <w:rFonts w:ascii="Times New Roman" w:hAnsi="Times New Roman"/>
          <w:b/>
          <w:bCs/>
          <w:color w:val="C00000"/>
        </w:rPr>
        <w:t xml:space="preserve">Selection criteria.</w:t>
      </w:r>
      <w:r>
        <w:rPr>
          <w:rFonts w:ascii="Times New Roman" w:hAnsi="Times New Roman"/>
          <w:color w:val="C00000"/>
        </w:rPr>
        <w:t xml:space="preserve"> </w:t>
      </w:r>
      <w:r>
        <w:rPr>
          <w:rFonts w:ascii="Times New Roman" w:hAnsi="Times New Roman"/>
          <w:color w:val="C00000"/>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color w:val="C00000"/>
        </w:rPr>
        <w:t xml:space="preserve"> </w:t>
      </w:r>
      <w:r>
        <w:rPr>
          <w:rFonts w:ascii="Times New Roman" w:hAnsi="Times New Roman"/>
          <w:b/>
          <w:bCs/>
          <w:color w:val="C00000"/>
        </w:rPr>
        <w:t xml:space="preserve">To be explicit about who constructed the gold:</w:t>
      </w:r>
      <w:r>
        <w:rPr>
          <w:rFonts w:ascii="Times New Roman" w:hAnsi="Times New Roman"/>
          <w:color w:val="C00000"/>
        </w:rPr>
        <w:t xml:space="preserve"> </w:t>
      </w:r>
      <w:r>
        <w:rPr>
          <w:rFonts w:ascii="Times New Roman" w:hAnsi="Times New Roman"/>
          <w:color w:val="C00000"/>
        </w:rPr>
        <w:t xml:space="preserve">the gold was constructed by the study team, which comprises the named authors, so</w:t>
      </w:r>
      <w:r>
        <w:rPr>
          <w:rFonts w:ascii="Times New Roman" w:hAnsi="Times New Roman"/>
          <w:color w:val="C00000"/>
        </w:rPr>
        <w:t xml:space="preserve"> </w:t>
      </w:r>
      <w:r>
        <w:rPr>
          <w:rFonts w:ascii="Times New Roman" w:hAnsi="Times New Roman"/>
          <w:color w:val="C00000"/>
        </w:rPr>
        <w:t xml:space="preserve">“no human expert participated in gold construction”</w:t>
      </w:r>
      <w:r>
        <w:rPr>
          <w:rFonts w:ascii="Times New Roman" w:hAnsi="Times New Roman"/>
          <w:color w:val="C00000"/>
        </w:rPr>
        <w:t xml:space="preserve"> </w:t>
      </w:r>
      <w:r>
        <w:rPr>
          <w:rFonts w:ascii="Times New Roman" w:hAnsi="Times New Roman"/>
          <w:color w:val="C00000"/>
        </w:rPr>
        <w:t xml:space="preserve">means that no</w:t>
      </w:r>
      <w:r>
        <w:rPr>
          <w:rFonts w:ascii="Times New Roman" w:hAnsi="Times New Roman"/>
          <w:color w:val="C00000"/>
        </w:rPr>
        <w:t xml:space="preserve"> </w:t>
      </w:r>
      <w:r>
        <w:rPr>
          <w:rFonts w:ascii="Times New Roman" w:hAnsi="Times New Roman"/>
          <w:i/>
          <w:iCs/>
          <w:color w:val="C00000"/>
        </w:rPr>
        <w:t xml:space="preserve">independent</w:t>
      </w:r>
      <w:r>
        <w:rPr>
          <w:rFonts w:ascii="Times New Roman" w:hAnsi="Times New Roman"/>
          <w:color w:val="C00000"/>
        </w:rPr>
        <w:t xml:space="preserve"> </w:t>
      </w:r>
      <w:r>
        <w:rPr>
          <w:rFonts w:ascii="Times New Roman" w:hAnsi="Times New Roman"/>
          <w:color w:val="C00000"/>
        </w:rPr>
        <w:t xml:space="preserve">expert was involved, and none of the expert opinion used here was blinded to the system.</w:t>
      </w:r>
      <w:r>
        <w:rPr>
          <w:rFonts w:ascii="Times New Roman" w:hAnsi="Times New Roman"/>
          <w:color w:val="C00000"/>
        </w:rPr>
        <w:t xml:space="preserve"> </w:t>
      </w:r>
      <w:r>
        <w:rPr>
          <w:rFonts w:ascii="Times New Roman" w:hAnsi="Times New Roman"/>
          <w:b/>
          <w:bCs/>
          <w:color w:val="C00000"/>
        </w:rPr>
        <w:t xml:space="preserve">How the gold shares sources with the rules:</w:t>
      </w:r>
      <w:r>
        <w:rPr>
          <w:rFonts w:ascii="Times New Roman" w:hAnsi="Times New Roman"/>
          <w:color w:val="C00000"/>
        </w:rPr>
        <w:t xml:space="preserve"> </w:t>
      </w:r>
      <w:r>
        <w:rPr>
          <w:rFonts w:ascii="Times New Roman" w:hAnsi="Times New Roman"/>
          <w:color w:val="C00000"/>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color w:val="C00000"/>
        </w:rPr>
        <w:t xml:space="preserve"> </w:t>
      </w:r>
      <w:r>
        <w:rPr>
          <w:rFonts w:ascii="Times New Roman" w:hAnsi="Times New Roman"/>
          <w:b/>
          <w:bCs/>
          <w:color w:val="C00000"/>
        </w:rPr>
        <w:t xml:space="preserve">Contradictory evidence:</w:t>
      </w:r>
      <w:r>
        <w:rPr>
          <w:rFonts w:ascii="Times New Roman" w:hAnsi="Times New Roman"/>
          <w:color w:val="C00000"/>
        </w:rPr>
        <w:t xml:space="preserve"> </w:t>
      </w:r>
      <w:r>
        <w:rPr>
          <w:rFonts w:ascii="Times New Roman" w:hAnsi="Times New Roman"/>
          <w:color w:val="C00000"/>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 all four datasets as Supplementary Table S8).</w:t>
      </w:r>
    </w:p>
    <w:p>
      <w:pPr>
        <w:pStyle w:val="BodyText"/>
        <w:spacing w:line="480" w:lineRule="auto"/>
      </w:pPr>
      <w:r>
        <w:rPr>
          <w:rFonts w:ascii="Times New Roman" w:hAnsi="Times New Roman"/>
          <w:color w:val="C00000"/>
        </w:rPr>
        <w:t xml:space="preserve">DDInter audit set (92 cases). A stratified random sample by absorption tier and DDInter severity.</w:t>
      </w:r>
      <w:r>
        <w:rPr>
          <w:rFonts w:ascii="Times New Roman" w:hAnsi="Times New Roman"/>
          <w:color w:val="C00000"/>
        </w:rPr>
        <w:t xml:space="preserve"> </w:t>
      </w:r>
      <w:r>
        <w:rPr>
          <w:rFonts w:ascii="Times New Roman" w:hAnsi="Times New Roman"/>
          <w:b/>
          <w:bCs/>
          <w:color w:val="C00000"/>
        </w:rPr>
        <w:t xml:space="preserve">Correction rule.</w:t>
      </w:r>
      <w:r>
        <w:rPr>
          <w:rFonts w:ascii="Times New Roman" w:hAnsi="Times New Roman"/>
          <w:color w:val="C00000"/>
        </w:rPr>
        <w:t xml:space="preserve"> </w:t>
      </w:r>
      <w:r>
        <w:rPr>
          <w:rFonts w:ascii="Times New Roman" w:hAnsi="Times New Roman"/>
          <w:color w:val="C00000"/>
        </w:rPr>
        <w:t xml:space="preserve">A case was corrected from the DDInter severity to low when the ophthalmic agent’s registry absorption tier is low, very low, minimal or none, no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color w:val="C00000"/>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color w:val="C00000"/>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color w:val="C00000"/>
        </w:rPr>
        <w:t xml:space="preserve"> </w:t>
      </w:r>
      <w:r>
        <w:rPr>
          <w:rFonts w:ascii="Times New Roman" w:hAnsi="Times New Roman"/>
          <w:b/>
          <w:bCs/>
          <w:color w:val="C00000"/>
        </w:rPr>
        <w:t xml:space="preserve">Retrieval protocols, in full.</w:t>
      </w:r>
      <w:r>
        <w:rPr>
          <w:rFonts w:ascii="Times New Roman" w:hAnsi="Times New Roman"/>
          <w:color w:val="C00000"/>
        </w:rPr>
        <w:t xml:space="preserve"> </w:t>
      </w:r>
      <w:r>
        <w:rPr>
          <w:rStyle w:val="VerbatimChar"/>
          <w:rFonts w:ascii="Times New Roman" w:hAnsi="Times New Roman"/>
          <w:color w:val="C00000"/>
        </w:rPr>
        <w:t xml:space="preserve">naive_rag</w:t>
      </w:r>
      <w:r>
        <w:rPr>
          <w:rFonts w:ascii="Times New Roman" w:hAnsi="Times New Roman"/>
          <w:color w:val="C00000"/>
        </w:rPr>
        <w:t xml:space="preserve"> </w:t>
      </w:r>
      <w:r>
        <w:rPr>
          <w:rFonts w:ascii="Times New Roman" w:hAnsi="Times New Roman"/>
          <w:color w:val="C00000"/>
        </w:rPr>
        <w:t xml:space="preserve">performs BM25 retrieval with</w:t>
      </w:r>
      <w:r>
        <w:rPr>
          <w:rFonts w:ascii="Times New Roman" w:hAnsi="Times New Roman"/>
          <w:color w:val="C00000"/>
        </w:rPr>
        <w:t xml:space="preserve"> </w:t>
      </w:r>
      <w:r>
        <w:rPr>
          <w:rStyle w:val="VerbatimChar"/>
          <w:rFonts w:ascii="Times New Roman" w:hAnsi="Times New Roman"/>
          <w:color w:val="C00000"/>
        </w:rPr>
        <w:t xml:space="preserve">rank_bm25.BM25Okapi</w:t>
      </w:r>
      <w:r>
        <w:rPr>
          <w:rFonts w:ascii="Times New Roman" w:hAnsi="Times New Roman"/>
          <w:color w:val="C00000"/>
        </w:rPr>
        <w:t xml:space="preserve"> </w:t>
      </w:r>
      <w:r>
        <w:rPr>
          <w:rFonts w:ascii="Times New Roman" w:hAnsi="Times New Roman"/>
          <w:color w:val="C00000"/>
        </w:rPr>
        <w:t xml:space="preserve">(k1 = 1.5, b = 0.75) over the same 1,307 evidence chunks that populate the index, lowercased and whitespace-tokenised on both sides; the query is the string</w:t>
      </w:r>
      <w:r>
        <w:rPr>
          <w:rFonts w:ascii="Times New Roman" w:hAnsi="Times New Roman"/>
          <w:color w:val="C00000"/>
        </w:rPr>
        <w:t xml:space="preserve"> </w:t>
      </w:r>
      <w:r>
        <w:rPr>
          <w:rFonts w:ascii="Times New Roman" w:hAnsi="Times New Roman"/>
          <w:color w:val="C00000"/>
        </w:rPr>
        <w:t xml:space="preserve">“</w:t>
      </w:r>
      <w:r>
        <w:rPr>
          <w:rFonts w:ascii="Times New Roman" w:hAnsi="Times New Roman"/>
          <w:color w:val="C00000"/>
        </w:rPr>
        <w:t xml:space="preserve"> </w:t>
      </w:r>
      <w:r>
        <w:rPr>
          <w:rFonts w:ascii="Times New Roman" w:hAnsi="Times New Roman"/>
          <w:color w:val="C00000"/>
        </w:rPr>
        <w:t xml:space="preserve"> </w:t>
      </w:r>
      <w:r>
        <w:rPr>
          <w:rFonts w:ascii="Times New Roman" w:hAnsi="Times New Roman"/>
          <w:color w:val="C00000"/>
        </w:rPr>
        <w:t xml:space="preserve">ophthalmic interaction”</w:t>
      </w:r>
      <w:r>
        <w:rPr>
          <w:rFonts w:ascii="Times New Roman" w:hAnsi="Times New Roman"/>
          <w:color w:val="C00000"/>
        </w:rPr>
        <w:t xml:space="preserve">, i.e. the drug names are included, the top 3 passages are retained, each truncated to 400 characters, and they are prepended to the case as an</w:t>
      </w:r>
      <w:r>
        <w:rPr>
          <w:rFonts w:ascii="Times New Roman" w:hAnsi="Times New Roman"/>
          <w:color w:val="C00000"/>
        </w:rPr>
        <w:t xml:space="preserve"> </w:t>
      </w:r>
      <w:r>
        <w:rPr>
          <w:rStyle w:val="VerbatimChar"/>
          <w:rFonts w:ascii="Times New Roman" w:hAnsi="Times New Roman"/>
          <w:color w:val="C00000"/>
        </w:rPr>
        <w:t xml:space="preserve">Evidence:</w:t>
      </w:r>
      <w:r>
        <w:rPr>
          <w:rFonts w:ascii="Times New Roman" w:hAnsi="Times New Roman"/>
          <w:color w:val="C00000"/>
        </w:rPr>
        <w:t xml:space="preserve"> </w:t>
      </w:r>
      <w:r>
        <w:rPr>
          <w:rFonts w:ascii="Times New Roman" w:hAnsi="Times New Roman"/>
          <w:color w:val="C00000"/>
        </w:rPr>
        <w:t xml:space="preserve">block.</w:t>
      </w:r>
      <w:r>
        <w:rPr>
          <w:rFonts w:ascii="Times New Roman" w:hAnsi="Times New Roman"/>
          <w:color w:val="C00000"/>
        </w:rPr>
        <w:t xml:space="preserve"> </w:t>
      </w:r>
      <w:r>
        <w:rPr>
          <w:rStyle w:val="VerbatimChar"/>
          <w:rFonts w:ascii="Times New Roman" w:hAnsi="Times New Roman"/>
          <w:color w:val="C00000"/>
        </w:rPr>
        <w:t xml:space="preserve">lightrag</w:t>
      </w:r>
      <w:r>
        <w:rPr>
          <w:rFonts w:ascii="Times New Roman" w:hAnsi="Times New Roman"/>
          <w:color w:val="C00000"/>
        </w:rPr>
        <w:t xml:space="preserve"> </w:t>
      </w:r>
      <w:r>
        <w:rPr>
          <w:rFonts w:ascii="Times New Roman" w:hAnsi="Times New Roman"/>
          <w:color w:val="C00000"/>
        </w:rPr>
        <w:t xml:space="preserve">instead prepends a</w:t>
      </w:r>
      <w:r>
        <w:rPr>
          <w:rFonts w:ascii="Times New Roman" w:hAnsi="Times New Roman"/>
          <w:color w:val="C00000"/>
        </w:rPr>
        <w:t xml:space="preserve"> </w:t>
      </w:r>
      <w:r>
        <w:rPr>
          <w:rStyle w:val="VerbatimChar"/>
          <w:rFonts w:ascii="Times New Roman" w:hAnsi="Times New Roman"/>
          <w:color w:val="C00000"/>
        </w:rPr>
        <w:t xml:space="preserve">Drug profiles:</w:t>
      </w:r>
      <w:r>
        <w:rPr>
          <w:rFonts w:ascii="Times New Roman" w:hAnsi="Times New Roman"/>
          <w:color w:val="C00000"/>
        </w:rPr>
        <w:t xml:space="preserve"> </w:t>
      </w:r>
      <w:r>
        <w:rPr>
          <w:rFonts w:ascii="Times New Roman" w:hAnsi="Times New Roman"/>
          <w:color w:val="C00000"/>
        </w:rPr>
        <w:t xml:space="preserve">block containing the knowledge-graph profiles of both agents, rendered by the curated</w:t>
      </w:r>
      <w:r>
        <w:rPr>
          <w:rFonts w:ascii="Times New Roman" w:hAnsi="Times New Roman"/>
          <w:color w:val="C00000"/>
        </w:rPr>
        <w:t xml:space="preserve"> </w:t>
      </w:r>
      <w:r>
        <w:rPr>
          <w:rStyle w:val="VerbatimChar"/>
          <w:rFonts w:ascii="Times New Roman" w:hAnsi="Times New Roman"/>
          <w:color w:val="C00000"/>
        </w:rPr>
        <w:t xml:space="preserve">PreciseKG.full_kg_context()</w:t>
      </w:r>
      <w:r>
        <w:rPr>
          <w:rFonts w:ascii="Times New Roman" w:hAnsi="Times New Roman"/>
          <w:color w:val="C00000"/>
        </w:rPr>
        <w:t xml:space="preserve"> </w:t>
      </w:r>
      <w:r>
        <w:rPr>
          <w:rFonts w:ascii="Times New Roman" w:hAnsi="Times New Roman"/>
          <w:color w:val="C00000"/>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color w:val="C00000"/>
        </w:rPr>
        <w:t xml:space="preserve"> </w:t>
      </w:r>
      <w:r>
        <w:rPr>
          <w:rFonts w:ascii="Times New Roman" w:hAnsi="Times New Roman"/>
          <w:b/>
          <w:bCs/>
          <w:color w:val="C00000"/>
        </w:rPr>
        <w:t xml:space="preserve">Supplementary Text S3</w:t>
      </w:r>
      <w:r>
        <w:rPr>
          <w:rFonts w:ascii="Times New Roman" w:hAnsi="Times New Roman"/>
          <w:color w:val="C00000"/>
        </w:rPr>
        <w:t xml:space="preserve"> </w:t>
      </w:r>
      <w:r>
        <w:rPr>
          <w:rFonts w:ascii="Times New Roman" w:hAnsi="Times New Roman"/>
          <w:color w:val="C00000"/>
        </w:rPr>
        <w:t xml:space="preserve">and in the deposit file</w:t>
      </w:r>
      <w:r>
        <w:rPr>
          <w:rFonts w:ascii="Times New Roman" w:hAnsi="Times New Roman"/>
          <w:color w:val="C00000"/>
        </w:rPr>
        <w:t xml:space="preserve"> </w:t>
      </w:r>
      <w:r>
        <w:rPr>
          <w:rStyle w:val="VerbatimChar"/>
          <w:rFonts w:ascii="Times New Roman" w:hAnsi="Times New Roman"/>
          <w:color w:val="C00000"/>
        </w:rPr>
        <w:t xml:space="preserve">configs/prompts.yaml</w:t>
      </w:r>
      <w:r>
        <w:rPr>
          <w:rFonts w:ascii="Times New Roman" w:hAnsi="Times New Roman"/>
          <w:color w:val="C00000"/>
        </w:rPr>
        <w:t xml:space="preserve">. LLM baselines used the DeepSeek API model identifier</w:t>
      </w:r>
      <w:r>
        <w:rPr>
          <w:rFonts w:ascii="Times New Roman" w:hAnsi="Times New Roman"/>
          <w:color w:val="C00000"/>
        </w:rPr>
        <w:t xml:space="preserve"> </w:t>
      </w:r>
      <w:r>
        <w:rPr>
          <w:rStyle w:val="VerbatimChar"/>
          <w:rFonts w:ascii="Times New Roman" w:hAnsi="Times New Roman"/>
          <w:color w:val="C00000"/>
        </w:rPr>
        <w:t xml:space="preserve">deepseek-chat</w:t>
      </w:r>
      <w:r>
        <w:rPr>
          <w:rFonts w:ascii="Times New Roman" w:hAnsi="Times New Roman"/>
          <w:color w:val="C00000"/>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color w:val="C00000"/>
        </w:rPr>
        <w:t xml:space="preserve"> </w:t>
      </w:r>
      <w:r>
        <w:rPr>
          <w:rFonts w:ascii="Times New Roman" w:hAnsi="Times New Roman"/>
          <w:b/>
          <w:bCs/>
          <w:color w:val="C00000"/>
        </w:rPr>
        <w:t xml:space="preserve">Input language was English throughout</w:t>
      </w:r>
      <w:r>
        <w:rPr>
          <w:rFonts w:ascii="Times New Roman" w:hAnsi="Times New Roman"/>
          <w:color w:val="C00000"/>
        </w:rPr>
        <w:t xml:space="preserve">, for both the system prompt and every case, in the form</w:t>
      </w:r>
      <w:r>
        <w:rPr>
          <w:rFonts w:ascii="Times New Roman" w:hAnsi="Times New Roman"/>
          <w:color w:val="C00000"/>
        </w:rPr>
        <w:t xml:space="preserve"> </w:t>
      </w:r>
      <w:r>
        <w:rPr>
          <w:rStyle w:val="VerbatimChar"/>
          <w:rFonts w:ascii="Times New Roman" w:hAnsi="Times New Roman"/>
          <w:color w:val="C00000"/>
        </w:rPr>
        <w:t xml:space="preserve">Drug pair: ophthalmic X (eye drops) + systemic Y (oral/IV)</w:t>
      </w:r>
      <w:r>
        <w:rPr>
          <w:rFonts w:ascii="Times New Roman" w:hAnsi="Times New Roman"/>
          <w:color w:val="C00000"/>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 Supplementary Text S5 records the run configuration and the file-level fingerprints needed to verify that the deposited predictions reproduce these figures.</w:t>
      </w:r>
      <w:r>
        <w:rPr>
          <w:rFonts w:ascii="Times New Roman" w:hAnsi="Times New Roman"/>
          <w:color w:val="C00000"/>
        </w:rPr>
        <w:t xml:space="preserve"> </w:t>
      </w:r>
      <w:r>
        <w:rPr>
          <w:rFonts w:ascii="Times New Roman" w:hAnsi="Times New Roman"/>
          <w:b/>
          <w:bCs/>
          <w:color w:val="C00000"/>
        </w:rPr>
        <w:t xml:space="preserve">Reasoning-model re-run (reported in Section 3.6 and Table 3).</w:t>
      </w:r>
      <w:r>
        <w:rPr>
          <w:rFonts w:ascii="Times New Roman" w:hAnsi="Times New Roman"/>
          <w:color w:val="C00000"/>
        </w:rPr>
        <w:t xml:space="preserve"> </w:t>
      </w:r>
      <w:r>
        <w:rPr>
          <w:rFonts w:ascii="Times New Roman" w:hAnsi="Times New Roman"/>
          <w:color w:val="C00000"/>
        </w:rPr>
        <w:t xml:space="preserve">The three LLM baselines were additionally re-run under an adequate output budget with a reasoning model. Setup, stated in full: provider Zhipu (Zhipu AI, China) through the coding-plan endpoint</w:t>
      </w:r>
      <w:r>
        <w:rPr>
          <w:rFonts w:ascii="Times New Roman" w:hAnsi="Times New Roman"/>
          <w:color w:val="C00000"/>
        </w:rPr>
        <w:t xml:space="preserve"> </w:t>
      </w:r>
      <w:r>
        <w:rPr>
          <w:rStyle w:val="VerbatimChar"/>
          <w:rFonts w:ascii="Times New Roman" w:hAnsi="Times New Roman"/>
          <w:color w:val="C00000"/>
        </w:rPr>
        <w:t xml:space="preserve">https://open.bigmodel.cn/api/coding/paas/v4</w:t>
      </w:r>
      <w:r>
        <w:rPr>
          <w:rFonts w:ascii="Times New Roman" w:hAnsi="Times New Roman"/>
          <w:color w:val="C00000"/>
        </w:rPr>
        <w:t xml:space="preserve">, model identifier</w:t>
      </w:r>
      <w:r>
        <w:rPr>
          <w:rFonts w:ascii="Times New Roman" w:hAnsi="Times New Roman"/>
          <w:color w:val="C00000"/>
        </w:rPr>
        <w:t xml:space="preserve"> </w:t>
      </w:r>
      <w:r>
        <w:rPr>
          <w:rStyle w:val="VerbatimChar"/>
          <w:rFonts w:ascii="Times New Roman" w:hAnsi="Times New Roman"/>
          <w:color w:val="C00000"/>
        </w:rPr>
        <w:t xml:space="preserve">glm-5.3-flash</w:t>
      </w:r>
      <w:r>
        <w:rPr>
          <w:rFonts w:ascii="Times New Roman" w:hAnsi="Times New Roman"/>
          <w:color w:val="C00000"/>
        </w:rPr>
        <w:t xml:space="preserve">, temperature 0.0,</w:t>
      </w:r>
      <w:r>
        <w:rPr>
          <w:rFonts w:ascii="Times New Roman" w:hAnsi="Times New Roman"/>
          <w:color w:val="C00000"/>
        </w:rPr>
        <w:t xml:space="preserve"> </w:t>
      </w:r>
      <w:r>
        <w:rPr>
          <w:rStyle w:val="VerbatimChar"/>
          <w:rFonts w:ascii="Times New Roman" w:hAnsi="Times New Roman"/>
          <w:color w:val="C00000"/>
        </w:rPr>
        <w:t xml:space="preserve">max_tokens</w:t>
      </w:r>
      <w:r>
        <w:rPr>
          <w:rFonts w:ascii="Times New Roman" w:hAnsi="Times New Roman"/>
          <w:color w:val="C00000"/>
        </w:rPr>
        <w:t xml:space="preserve"> </w:t>
      </w:r>
      <w:r>
        <w:rPr>
          <w:rFonts w:ascii="Times New Roman" w:hAnsi="Times New Roman"/>
          <w:color w:val="C00000"/>
        </w:rPr>
        <w:t xml:space="preserve">3000, five repeated samples per case, temperature held fixed so the repetition captures sampling variance rather than a temperature schedule.</w:t>
      </w:r>
      <w:r>
        <w:rPr>
          <w:rFonts w:ascii="Times New Roman" w:hAnsi="Times New Roman"/>
          <w:color w:val="C00000"/>
        </w:rPr>
        <w:t xml:space="preserve"> </w:t>
      </w:r>
      <w:r>
        <w:rPr>
          <w:rFonts w:ascii="Times New Roman" w:hAnsi="Times New Roman"/>
          <w:b/>
          <w:bCs/>
          <w:color w:val="C00000"/>
        </w:rPr>
        <w:t xml:space="preserve">Reasoning tokens count against the 3000-token budget</w:t>
      </w:r>
      <w:r>
        <w:rPr>
          <w:rFonts w:ascii="Times New Roman" w:hAnsi="Times New Roman"/>
          <w:color w:val="C00000"/>
        </w:rPr>
        <w:t xml:space="preserve">: the model emits</w:t>
      </w:r>
      <w:r>
        <w:rPr>
          <w:rFonts w:ascii="Times New Roman" w:hAnsi="Times New Roman"/>
          <w:color w:val="C00000"/>
        </w:rPr>
        <w:t xml:space="preserve"> </w:t>
      </w:r>
      <w:r>
        <w:rPr>
          <w:rStyle w:val="VerbatimChar"/>
          <w:rFonts w:ascii="Times New Roman" w:hAnsi="Times New Roman"/>
          <w:color w:val="C00000"/>
        </w:rPr>
        <w:t xml:space="preserve">reasoning_content</w:t>
      </w:r>
      <w:r>
        <w:rPr>
          <w:rFonts w:ascii="Times New Roman" w:hAnsi="Times New Roman"/>
          <w:color w:val="C00000"/>
        </w:rPr>
        <w:t xml:space="preserve"> </w:t>
      </w:r>
      <w:r>
        <w:rPr>
          <w:rFonts w:ascii="Times New Roman" w:hAnsi="Times New Roman"/>
          <w:color w:val="C00000"/>
        </w:rPr>
        <w:t xml:space="preserve">before</w:t>
      </w:r>
      <w:r>
        <w:rPr>
          <w:rFonts w:ascii="Times New Roman" w:hAnsi="Times New Roman"/>
          <w:color w:val="C00000"/>
        </w:rPr>
        <w:t xml:space="preserve"> </w:t>
      </w:r>
      <w:r>
        <w:rPr>
          <w:rStyle w:val="VerbatimChar"/>
          <w:rFonts w:ascii="Times New Roman" w:hAnsi="Times New Roman"/>
          <w:color w:val="C00000"/>
        </w:rPr>
        <w:t xml:space="preserve">content</w:t>
      </w:r>
      <w:r>
        <w:rPr>
          <w:rFonts w:ascii="Times New Roman" w:hAnsi="Times New Roman"/>
          <w:color w:val="C00000"/>
        </w:rPr>
        <w:t xml:space="preserve">, so the budget covers both.</w:t>
      </w:r>
      <w:r>
        <w:rPr>
          <w:rFonts w:ascii="Times New Roman" w:hAnsi="Times New Roman"/>
          <w:color w:val="C00000"/>
        </w:rPr>
        <w:t xml:space="preserve"> </w:t>
      </w:r>
      <w:r>
        <w:rPr>
          <w:rFonts w:ascii="Times New Roman" w:hAnsi="Times New Roman"/>
          <w:b/>
          <w:bCs/>
          <w:color w:val="C00000"/>
        </w:rPr>
        <w:t xml:space="preserve">Zero responses were truncated</w:t>
      </w:r>
      <w:r>
        <w:rPr>
          <w:rFonts w:ascii="Times New Roman" w:hAnsi="Times New Roman"/>
          <w:color w:val="C00000"/>
        </w:rPr>
        <w:t xml:space="preserve"> </w:t>
      </w:r>
      <w:r>
        <w:rPr>
          <w:rFonts w:ascii="Times New Roman" w:hAnsi="Times New Roman"/>
          <w:color w:val="C00000"/>
        </w:rPr>
        <w:t xml:space="preserve">at this budget (completion_tokens never reached max_tokens across all 3,150 calls). Split votes were resolved by majority over the five samples; the deposited parse rule is applied to each sample first (exact match, then substring</w:t>
      </w:r>
      <w:r>
        <w:rPr>
          <w:rFonts w:ascii="Times New Roman" w:hAnsi="Times New Roman"/>
          <w:color w:val="C00000"/>
        </w:rPr>
        <w:t xml:space="preserve"> </w:t>
      </w:r>
      <w:r>
        <w:rPr>
          <w:rStyle w:val="VerbatimChar"/>
          <w:rFonts w:ascii="Times New Roman" w:hAnsi="Times New Roman"/>
          <w:color w:val="C00000"/>
        </w:rPr>
        <w:t xml:space="preserve">high</w:t>
      </w:r>
      <w:r>
        <w:rPr>
          <w:rFonts w:ascii="Times New Roman" w:hAnsi="Times New Roman"/>
          <w:color w:val="C00000"/>
        </w:rPr>
        <w:t xml:space="preserve"> </w:t>
      </w:r>
      <w:r>
        <w:rPr>
          <w:rFonts w:ascii="Times New Roman" w:hAnsi="Times New Roman"/>
          <w:color w:val="C00000"/>
        </w:rPr>
        <w:t xml:space="preserve">&gt;</w:t>
      </w:r>
      <w:r>
        <w:rPr>
          <w:rFonts w:ascii="Times New Roman" w:hAnsi="Times New Roman"/>
          <w:color w:val="C00000"/>
        </w:rPr>
        <w:t xml:space="preserve"> </w:t>
      </w:r>
      <w:r>
        <w:rPr>
          <w:rStyle w:val="VerbatimChar"/>
          <w:rFonts w:ascii="Times New Roman" w:hAnsi="Times New Roman"/>
          <w:color w:val="C00000"/>
        </w:rPr>
        <w:t xml:space="preserve">medium</w:t>
      </w:r>
      <w:r>
        <w:rPr>
          <w:rFonts w:ascii="Times New Roman" w:hAnsi="Times New Roman"/>
          <w:color w:val="C00000"/>
        </w:rPr>
        <w:t xml:space="preserve">/</w:t>
      </w:r>
      <w:r>
        <w:rPr>
          <w:rStyle w:val="VerbatimChar"/>
          <w:rFonts w:ascii="Times New Roman" w:hAnsi="Times New Roman"/>
          <w:color w:val="C00000"/>
        </w:rPr>
        <w:t xml:space="preserve">moderate</w:t>
      </w:r>
      <w:r>
        <w:rPr>
          <w:rFonts w:ascii="Times New Roman" w:hAnsi="Times New Roman"/>
          <w:color w:val="C00000"/>
        </w:rPr>
        <w:t xml:space="preserve"> </w:t>
      </w:r>
      <w:r>
        <w:rPr>
          <w:rFonts w:ascii="Times New Roman" w:hAnsi="Times New Roman"/>
          <w:color w:val="C00000"/>
        </w:rPr>
        <w:t xml:space="preserve">&gt;</w:t>
      </w:r>
      <w:r>
        <w:rPr>
          <w:rFonts w:ascii="Times New Roman" w:hAnsi="Times New Roman"/>
          <w:color w:val="C00000"/>
        </w:rPr>
        <w:t xml:space="preserve"> </w:t>
      </w:r>
      <w:r>
        <w:rPr>
          <w:rStyle w:val="VerbatimChar"/>
          <w:rFonts w:ascii="Times New Roman" w:hAnsi="Times New Roman"/>
          <w:color w:val="C00000"/>
        </w:rPr>
        <w:t xml:space="preserve">low</w:t>
      </w:r>
      <w:r>
        <w:rPr>
          <w:rFonts w:ascii="Times New Roman" w:hAnsi="Times New Roman"/>
          <w:color w:val="C00000"/>
        </w:rPr>
        <w:t xml:space="preserve">, else</w:t>
      </w:r>
      <w:r>
        <w:rPr>
          <w:rFonts w:ascii="Times New Roman" w:hAnsi="Times New Roman"/>
          <w:color w:val="C00000"/>
        </w:rPr>
        <w:t xml:space="preserve"> </w:t>
      </w:r>
      <w:r>
        <w:rPr>
          <w:rStyle w:val="VerbatimChar"/>
          <w:rFonts w:ascii="Times New Roman" w:hAnsi="Times New Roman"/>
          <w:color w:val="C00000"/>
        </w:rPr>
        <w:t xml:space="preserve">unknown</w:t>
      </w:r>
      <w:r>
        <w:rPr>
          <w:rFonts w:ascii="Times New Roman" w:hAnsi="Times New Roman"/>
          <w:color w:val="C00000"/>
        </w:rPr>
        <w:t xml:space="preserve">), and no sample returned</w:t>
      </w:r>
      <w:r>
        <w:rPr>
          <w:rFonts w:ascii="Times New Roman" w:hAnsi="Times New Roman"/>
          <w:color w:val="C00000"/>
        </w:rPr>
        <w:t xml:space="preserve"> </w:t>
      </w:r>
      <w:r>
        <w:rPr>
          <w:rStyle w:val="VerbatimChar"/>
          <w:rFonts w:ascii="Times New Roman" w:hAnsi="Times New Roman"/>
          <w:color w:val="C00000"/>
        </w:rPr>
        <w:t xml:space="preserve">unknown</w:t>
      </w:r>
      <w:r>
        <w:rPr>
          <w:rFonts w:ascii="Times New Roman" w:hAnsi="Times New Roman"/>
          <w:color w:val="C00000"/>
        </w:rPr>
        <w:t xml:space="preserve">. The run was executed on 23–24 September 2026 and produced 3,150 raw responses, deposited in full at</w:t>
      </w:r>
      <w:r>
        <w:rPr>
          <w:rFonts w:ascii="Times New Roman" w:hAnsi="Times New Roman"/>
          <w:color w:val="C00000"/>
        </w:rPr>
        <w:t xml:space="preserve"> </w:t>
      </w:r>
      <w:r>
        <w:rPr>
          <w:rStyle w:val="VerbatimChar"/>
          <w:rFonts w:ascii="Times New Roman" w:hAnsi="Times New Roman"/>
          <w:color w:val="C00000"/>
        </w:rPr>
        <w:t xml:space="preserve">data/predictions/glm53_baselines/</w:t>
      </w:r>
      <w:r>
        <w:rPr>
          <w:rFonts w:ascii="Times New Roman" w:hAnsi="Times New Roman"/>
          <w:color w:val="C00000"/>
        </w:rPr>
        <w:t xml:space="preserve"> </w:t>
      </w:r>
      <w:r>
        <w:rPr>
          <w:rFonts w:ascii="Times New Roman" w:hAnsi="Times New Roman"/>
          <w:color w:val="C00000"/>
        </w:rPr>
        <w:t xml:space="preserve">with the run script</w:t>
      </w:r>
      <w:r>
        <w:rPr>
          <w:rFonts w:ascii="Times New Roman" w:hAnsi="Times New Roman"/>
          <w:color w:val="C00000"/>
        </w:rPr>
        <w:t xml:space="preserve"> </w:t>
      </w:r>
      <w:r>
        <w:rPr>
          <w:rStyle w:val="VerbatimChar"/>
          <w:rFonts w:ascii="Times New Roman" w:hAnsi="Times New Roman"/>
          <w:color w:val="C00000"/>
        </w:rPr>
        <w:t xml:space="preserve">scripts/rerun_glm53_baselines.py</w:t>
      </w:r>
      <w:r>
        <w:rPr>
          <w:rFonts w:ascii="Times New Roman" w:hAnsi="Times New Roman"/>
          <w:color w:val="C00000"/>
        </w:rPr>
        <w:t xml:space="preserve">.</w:t>
      </w:r>
      <w:r>
        <w:rPr>
          <w:rFonts w:ascii="Times New Roman" w:hAnsi="Times New Roman"/>
          <w:color w:val="C00000"/>
        </w:rPr>
        <w:t xml:space="preserve"> </w:t>
      </w:r>
      <w:r>
        <w:rPr>
          <w:rFonts w:ascii="Times New Roman" w:hAnsi="Times New Roman"/>
          <w:b/>
          <w:bCs/>
          <w:color w:val="C00000"/>
        </w:rPr>
        <w:t xml:space="preserve">Single-model caveat:</w:t>
      </w:r>
      <w:r>
        <w:rPr>
          <w:rFonts w:ascii="Times New Roman" w:hAnsi="Times New Roman"/>
          <w:color w:val="C00000"/>
        </w:rPr>
        <w:t xml:space="preserve"> </w:t>
      </w:r>
      <w:r>
        <w:rPr>
          <w:rFonts w:ascii="Times New Roman" w:hAnsi="Times New Roman"/>
          <w:color w:val="C00000"/>
        </w:rPr>
        <w:t xml:space="preserve">this comparison uses one commercial reasoning model at one endpoint; the endpoint does not expose checkpoint revision, so the finding that reasoning models adopt a conservative rarely-high-risk policy is a property of this model family at this budget, not a claim about reasoning models in general. The deterministic cascade requires no model call and is unchanged between the two settings.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color w:val="C00000"/>
        </w:rPr>
        <w:t xml:space="preserve">2.5 Expert grade review</w:t>
      </w:r>
    </w:p>
    <w:p>
      <w:pPr>
        <w:pStyle w:val="FirstParagraph"/>
        <w:spacing w:line="480" w:lineRule="auto"/>
      </w:pPr>
      <w:r>
        <w:rPr>
          <w:rFonts w:ascii="Times New Roman" w:hAnsi="Times New Roman"/>
          <w:color w:val="C00000"/>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color w:val="C00000"/>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color w:val="C00000"/>
        </w:rPr>
        <w:t xml:space="preserve"> </w:t>
      </w:r>
      <w:r>
        <w:rPr>
          <w:rFonts w:ascii="Times New Roman" w:hAnsi="Times New Roman"/>
          <w:b/>
          <w:bCs/>
          <w:color w:val="C00000"/>
        </w:rPr>
        <w:t xml:space="preserve">LF-normalised content</w:t>
      </w:r>
      <w:r>
        <w:rPr>
          <w:rFonts w:ascii="Times New Roman" w:hAnsi="Times New Roman"/>
          <w:color w:val="C00000"/>
        </w:rPr>
        <w:t xml:space="preserve">: a reader should convert CRLF to LF before hashing, otherwise a Windows checkout and a Linux checkout of the same file yield different digests (the deposited</w:t>
      </w:r>
      <w:r>
        <w:rPr>
          <w:rFonts w:ascii="Times New Roman" w:hAnsi="Times New Roman"/>
          <w:color w:val="C00000"/>
        </w:rPr>
        <w:t xml:space="preserve"> </w:t>
      </w:r>
      <w:r>
        <w:rPr>
          <w:rStyle w:val="VerbatimChar"/>
          <w:rFonts w:ascii="Times New Roman" w:hAnsi="Times New Roman"/>
          <w:color w:val="C00000"/>
        </w:rPr>
        <w:t xml:space="preserve">configs/rules.yaml</w:t>
      </w:r>
      <w:r>
        <w:rPr>
          <w:rFonts w:ascii="Times New Roman" w:hAnsi="Times New Roman"/>
          <w:color w:val="C00000"/>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40"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color w:val="C00000"/>
        </w:rPr>
        <w:t xml:space="preserve">The knowledge base comprises 113 ophthalmic topical agents and 232 systemic medications (Table 1; machine-readable form as Supplementary Table S4), 1,307 approved evidence chunks (A = 53, B = 191, C = 215, D = 584, E = 264; composition detailed in Supplementary Text S1), and a LightRAG index over 1,307 documents. The rule engine comprises 40 mechanism rules plus 3 patient-factor policies (43 policy entries), each carrying at least one source record, with zero policy errors (Table 2; full inventory as Supplementary Table S6); the coverage of those records, and its limits, are stated in Section 2.2. The class-matrix layer defines 104 cells across 21 ophthalmic row keys and 40 systemic column keys (34 columns in use)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color w:val="C00000"/>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Under the evaluation protocol of Section 2.3,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color w:val="C00000"/>
        </w:rPr>
        <w:t xml:space="preserve">On this set the gold and the rules draw on the same literature (Section 3.9),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and Supplementary Table S7 gives the same figures dataset by dataset and budget by budget.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color w:val="C00000"/>
        </w:rPr>
        <w:t xml:space="preserve">The deterministic system (full_system) achieved 0.907 exact accuracy (107/118; Wilson 95% CI 0.841–0.947), 0.964 high-risk sensitivity (27 of 28; CI 0.823–0.994), 0.989 specificity, and Cohen’s kappa 0.857 (bootstrap CI 0.772–0.934), with zero variance across conditions. Lightrag reached 0.737 accuracy, 0.779 sensitivity, and 0.936 specificity (kappa 0.603).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2 against; p = 4.4 × 10⁻¹⁴), versus naive_rag (60 versus 4; p = 7.4 × 10⁻¹⁴), and versus lightrag (20 versus 1; p = 2.1 × 10⁻⁵).</w:t>
      </w:r>
    </w:p>
    <w:p>
      <w:pPr>
        <w:pStyle w:val="BodyText"/>
        <w:spacing w:line="480" w:lineRule="auto"/>
      </w:pPr>
      <w:r>
        <w:rPr>
          <w:rFonts w:ascii="Times New Roman" w:hAnsi="Times New Roman"/>
          <w:color w:val="C00000"/>
        </w:rPr>
        <w:t xml:space="preserve">The accuracy gradient full_system &gt; lightrag &gt; pure_llm &gt; naive_rag was stable across all five temperature conditions on this set. The accuracy gap between full_system and the best LLM baseline (lightrag) was 0.170, indicating that the deterministic knowledge engineering contributed more than retrieval augmentation alone. In this 10-token setting naive_rag scored below pure_llm, but that ordering does not survive an adequate output budget (Section 3.6), so we do not interpret it as a property of keyword retrieval.</w:t>
      </w:r>
    </w:p>
    <w:p>
      <w:pPr>
        <w:pStyle w:val="BodyText"/>
        <w:spacing w:line="480" w:lineRule="auto"/>
      </w:pPr>
      <w:r>
        <w:rPr>
          <w:rFonts w:ascii="Times New Roman" w:hAnsi="Times New Roman"/>
          <w:color w:val="C00000"/>
        </w:rPr>
        <w:t xml:space="preserve">In the per-subset analysis, the procedurally frozen blind subset (n = 40, SHA-locked) reached 0.975 accuracy (39 of 40; Clopper–Pearson CI 0.868–0.999); the single miss is flurbiprofen × warfarin, discussed in Section 3.5. The FDA/Stockley’s/BNF mechanism subset (n = 20) reached 1.000. The guideline-sourced subset (n = 58) reached 0.828 (48/58). Eleven exact-scale disagreements remain in total: ten in the guideline subset and the flurbiprofen pair in the frozen subset. The guideline disagreements concern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color w:val="C00000"/>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1,455 pairs (75.3%) were graded lower by the system, including 352 pairs downgraded from high (37 to medium, 315 to low; 18.2% of all pairs) and 1,103 from medium to low; 136 pairs (7.0%) were upgraded. Of all downgrades, 80.5% (1,171 of 1,455)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color w:val="C00000"/>
        </w:rPr>
        <w:t xml:space="preserve">On the 92-case audit set, full_system reached 0.674 exact accuracy (62/92; Wilson CI 0.573–0.761) and kappa 0.428 against the absorption-corrected gold (specificity 0.955). Only part of that set is independent of the system’s own absorption assumption: restricting the analysis to the 62 cases kept at the third-party DDInter severity gives 34 of 62 (0.548), which is the figure free of the system’s assumption and should be read as the audit-set headline rather than 0.674. Against the uncorrected DDInter severity labels, agreement was 0.370 (34/92). Stratified: among the 30 absorption-corrected cases (all corrected to low), the system agreed on 28 (93%); among the 62 kept cases, it agreed on 34 (55%) (Table 5). Baselines on the corrected gold: pure_llm 0.630, lightrag 0.591, naive_rag 0.535. McNemar tests on the audit set were significant for full_system versus lightrag (8 versus 1; p = 0.039), but not versus naive_rag (27 versus 17; p = 0.174) or pure_llm (18 versus 15; p = 0.728). We also report, symmetrically, that on this set the two ungrounded baselines exceed the system on high-risk sensitivity (pure_llm and naive_rag 0.848 each, lightrag 0.264, versus 0.320 for the cascade), so the cascade’s advantage here is in specificity and exact accuracy, not in sensitivity.</w:t>
      </w:r>
      <w:r>
        <w:rPr>
          <w:rFonts w:ascii="Times New Roman" w:hAnsi="Times New Roman"/>
          <w:color w:val="C00000"/>
        </w:rPr>
        <w:t xml:space="preserve"> </w:t>
      </w:r>
      <w:r>
        <w:rPr>
          <w:rFonts w:ascii="Times New Roman" w:hAnsi="Times New Roman"/>
          <w:b/>
          <w:bCs/>
          <w:color w:val="C00000"/>
        </w:rPr>
        <w:t xml:space="preserve">That comparison is partly confounded, and we quantify the confound rather than leave it implicit.</w:t>
      </w:r>
      <w:r>
        <w:rPr>
          <w:rFonts w:ascii="Times New Roman" w:hAnsi="Times New Roman"/>
          <w:color w:val="C00000"/>
        </w:rPr>
        <w:t xml:space="preserve"> </w:t>
      </w:r>
      <w:r>
        <w:rPr>
          <w:rFonts w:ascii="Times New Roman" w:hAnsi="Times New Roman"/>
          <w:color w:val="C00000"/>
        </w:rPr>
        <w:t xml:space="preserve">Of the 1,307 evidence chunks, 500 are DDInter 2.0 severity statements, and the audit gold for the 62 third-party-graded cases is the DDInter value itself. Running the deposited BM25 retrieval with the deposited parameters, the top-3 passages contain the pair’s own DDInter statement for 19 of those 62 cases (</w:t>
      </w:r>
      <w:r>
        <w:rPr>
          <w:rStyle w:val="VerbatimChar"/>
          <w:rFonts w:ascii="Times New Roman" w:hAnsi="Times New Roman"/>
          <w:color w:val="C00000"/>
        </w:rPr>
        <w:t xml:space="preserve">scripts/naive_rag_leakage_audit.py</w:t>
      </w:r>
      <w:r>
        <w:rPr>
          <w:rFonts w:ascii="Times New Roman" w:hAnsi="Times New Roman"/>
          <w:color w:val="C00000"/>
        </w:rPr>
        <w:t xml:space="preserve">); for those cases naive_rag retrieves the gold label. Its exact accuracy on that subset therefore cannot be read as independent evidence, and the same applies in weaker form to lightrag, whose knowledge-graph profiles are built from the same curated corpus. The deterministic cascade does not query that corpus at inference time. We report the baseline comparison because it was pre-specified, and the leakage audit so that its weight can be judged correctly.</w:t>
      </w:r>
    </w:p>
    <w:p>
      <w:pPr>
        <w:pStyle w:val="BodyText"/>
        <w:spacing w:line="480" w:lineRule="auto"/>
      </w:pPr>
      <w:r>
        <w:rPr>
          <w:rFonts w:ascii="Times New Roman" w:hAnsi="Times New Roman"/>
          <w:color w:val="C00000"/>
        </w:rPr>
        <w:t xml:space="preserve">High-risk sensitivity on the audit set was 0.320 (8 of 25 gold-high cases; CI 0.172–0.516), the lowest of the four methods (pure_llm and naive_rag 0.848, lightrag 0.264). This is the single most important limitation of the current system and is reported deliberately. The 30 disagreements with the audit gold were directionally consistent with the absorption-first design: 17 gold-high pairs were downgraded (8 to low, 9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color w:val="C00000"/>
        </w:rPr>
        <w:t xml:space="preserve">What the system could miss. The 17 downgraded gold-high pairs include six pairs where systemic-route reasoning is weak on ophthalmic grounds (for example aflibercept × leflunomide, with no plausible topical systemic pathway). The remaining downgrades are clinically sensitive: betaxolol × verapamil and betaxolol × diltiazem (selective beta-blockade plus calcium-channel blockade), timolol × epinephrine, scopolamine or homatropine × topiramate (anticholinergic burden), and flurbiprofen × methotrexate. That last pair deserves comment because it illustrates how the absorption model interacts with the third-party labels. An earlier analysis of this registry tiered flurbiprofen high and therefore traced the divergence to a matrix cell graded below its gold. Reviewing the assignment showed it to be a data-entry error: flurbiprofen sodium ophthalmic is formulated at 0.03%, the lowest concentration of any ophthalmic NSAID in the registry, the other four ophthalmic NSAIDs are all tiered low, and the curation file recorded low for the same two evidence sources. Correcting the tier to low (Section 4.4) moves this pair and three related anticoagulant pairs further from the DDInter-derived gold rather than closer to it, because the systemic-route label is high while a 0.03% topical formulation cannot plausibly reach systemic exposure. We report the corrected direction rather than the original one: the divergence here is between a systemic-route label and a low-absorption ophthalmic agent, not between a matrix cell and its gold. For a screening tool, this false-negative profile is the clinically critical number, and it defines the calibration priorities in Section 4.5.</w:t>
      </w:r>
    </w:p>
    <w:bookmarkEnd w:id="35"/>
    <w:bookmarkStart w:id="36" w:name="Xf6f07463e6fd01a7ac2d818efc3a65a10f25954"/>
    <w:p>
      <w:pPr>
        <w:pStyle w:val="Heading3"/>
        <w:spacing w:line="480" w:lineRule="auto"/>
      </w:pPr>
      <w:r>
        <w:rPr>
          <w:rFonts w:ascii="Times New Roman" w:hAnsi="Times New Roman"/>
          <w:b/>
          <w:color w:val="C00000"/>
        </w:rPr>
        <w:t xml:space="preserve">3.6 Reasoning-model baselines under an adequate output budget</w:t>
      </w:r>
    </w:p>
    <w:p>
      <w:pPr>
        <w:pStyle w:val="FirstParagraph"/>
        <w:spacing w:line="480" w:lineRule="auto"/>
      </w:pPr>
      <w:r>
        <w:rPr>
          <w:rFonts w:ascii="Times New Roman" w:hAnsi="Times New Roman"/>
          <w:color w:val="C00000"/>
        </w:rPr>
        <w:t xml:space="preserve">Because the primary comparison used a single non-reasoning model with a 10-token output cap, we repeated the three LLM baselines under conditions that remove that constraint, and report both settings rather than replacing one with the other. The re-run used a reasoning model (glm-5.3-flash), a 3000-token budget, a fixed temperature of 0.0 with five repeated samples per case, and a pre-specified parsing rule (exact match first, then substring matching in the order high &gt; medium &gt; low, else unknown). The system prompt, retrieval settings and user-prompt templates were unchanged, so the two settings differ only in model, output budget and sampling. All 3,150 calls completed with no errors and no unparseable responses.</w:t>
      </w:r>
    </w:p>
    <w:p>
      <w:pPr>
        <w:pStyle w:val="BodyText"/>
        <w:spacing w:line="480" w:lineRule="auto"/>
      </w:pPr>
      <w:r>
        <w:rPr>
          <w:rFonts w:ascii="Times New Roman" w:hAnsi="Times New Roman"/>
          <w:color w:val="C00000"/>
        </w:rPr>
        <w:t xml:space="preserve">Accurate label agreement improved. On the 118-case set, pure_llm rose from 0.475 to 0.576 and naive_rag from 0.415 to 0.585; lightrag was unchanged at 0.737.</w:t>
      </w:r>
      <w:r>
        <w:rPr>
          <w:rFonts w:ascii="Times New Roman" w:hAnsi="Times New Roman"/>
          <w:color w:val="C00000"/>
        </w:rPr>
        <w:t xml:space="preserve"> </w:t>
      </w:r>
      <w:r>
        <w:rPr>
          <w:rFonts w:ascii="Times New Roman" w:hAnsi="Times New Roman"/>
          <w:b/>
          <w:bCs/>
          <w:color w:val="C00000"/>
        </w:rPr>
        <w:t xml:space="preserve">High-risk sensitivity, however, fell sharply</w:t>
      </w:r>
      <w:r>
        <w:rPr>
          <w:rFonts w:ascii="Times New Roman" w:hAnsi="Times New Roman"/>
          <w:color w:val="C00000"/>
        </w:rPr>
        <w:t xml:space="preserve">, and specificity rose to approximately 1.000: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color w:val="C00000"/>
              </w:rPr>
              <w:t xml:space="preserve">method</w:t>
            </w:r>
          </w:p>
        </w:tc>
        <w:tc>
          <w:tcPr/>
          <w:p>
            <w:pPr>
              <w:pStyle w:val="Compact"/>
            </w:pPr>
            <w:r>
              <w:rPr>
                <w:color w:val="C00000"/>
              </w:rPr>
              <w:t xml:space="preserve">Acc3 (10-token)</w:t>
            </w:r>
          </w:p>
        </w:tc>
        <w:tc>
          <w:tcPr/>
          <w:p>
            <w:pPr>
              <w:pStyle w:val="Compact"/>
            </w:pPr>
            <w:r>
              <w:rPr>
                <w:color w:val="C00000"/>
              </w:rPr>
              <w:t xml:space="preserve">Acc3 (3000-token)</w:t>
            </w:r>
          </w:p>
        </w:tc>
        <w:tc>
          <w:tcPr/>
          <w:p>
            <w:pPr>
              <w:pStyle w:val="Compact"/>
            </w:pPr>
            <w:r>
              <w:rPr>
                <w:color w:val="C00000"/>
              </w:rPr>
              <w:t xml:space="preserve">sens (10-token)</w:t>
            </w:r>
          </w:p>
        </w:tc>
        <w:tc>
          <w:tcPr/>
          <w:p>
            <w:pPr>
              <w:pStyle w:val="Compact"/>
            </w:pPr>
            <w:r>
              <w:rPr>
                <w:color w:val="C00000"/>
              </w:rPr>
              <w:t xml:space="preserve">sens (3000-token)</w:t>
            </w:r>
          </w:p>
        </w:tc>
        <w:tc>
          <w:tcPr/>
          <w:p>
            <w:pPr>
              <w:pStyle w:val="Compact"/>
            </w:pPr>
            <w:r>
              <w:rPr>
                <w:color w:val="C00000"/>
              </w:rPr>
              <w:t xml:space="preserve">spec (3000-token)</w:t>
            </w:r>
          </w:p>
        </w:tc>
      </w:tr>
      <w:tr>
        <w:tc>
          <w:tcPr/>
          <w:p>
            <w:pPr>
              <w:pStyle w:val="Compact"/>
            </w:pPr>
            <w:r>
              <w:rPr>
                <w:color w:val="C00000"/>
              </w:rPr>
              <w:t xml:space="preserve">pure_llm</w:t>
            </w:r>
          </w:p>
        </w:tc>
        <w:tc>
          <w:tcPr/>
          <w:p>
            <w:pPr>
              <w:pStyle w:val="Compact"/>
            </w:pPr>
            <w:r>
              <w:rPr>
                <w:color w:val="C00000"/>
              </w:rPr>
              <w:t xml:space="preserve">0.475</w:t>
            </w:r>
          </w:p>
        </w:tc>
        <w:tc>
          <w:tcPr/>
          <w:p>
            <w:pPr>
              <w:pStyle w:val="Compact"/>
            </w:pPr>
            <w:r>
              <w:rPr>
                <w:color w:val="C00000"/>
              </w:rPr>
              <w:t xml:space="preserve">0.576</w:t>
            </w:r>
          </w:p>
        </w:tc>
        <w:tc>
          <w:tcPr/>
          <w:p>
            <w:pPr>
              <w:pStyle w:val="Compact"/>
            </w:pPr>
            <w:r>
              <w:rPr>
                <w:color w:val="C00000"/>
              </w:rPr>
              <w:t xml:space="preserve">0.771</w:t>
            </w:r>
          </w:p>
        </w:tc>
        <w:tc>
          <w:tcPr/>
          <w:p>
            <w:pPr>
              <w:pStyle w:val="Compact"/>
            </w:pPr>
            <w:r>
              <w:rPr>
                <w:color w:val="C00000"/>
              </w:rPr>
              <w:t xml:space="preserve">0.250</w:t>
            </w:r>
          </w:p>
        </w:tc>
        <w:tc>
          <w:tcPr/>
          <w:p>
            <w:pPr>
              <w:pStyle w:val="Compact"/>
            </w:pPr>
            <w:r>
              <w:rPr>
                <w:color w:val="C00000"/>
              </w:rPr>
              <w:t xml:space="preserve">1.000</w:t>
            </w:r>
          </w:p>
        </w:tc>
      </w:tr>
      <w:tr>
        <w:tc>
          <w:tcPr/>
          <w:p>
            <w:pPr>
              <w:pStyle w:val="Compact"/>
            </w:pPr>
            <w:r>
              <w:rPr>
                <w:color w:val="C00000"/>
              </w:rPr>
              <w:t xml:space="preserve">naive_rag</w:t>
            </w:r>
          </w:p>
        </w:tc>
        <w:tc>
          <w:tcPr/>
          <w:p>
            <w:pPr>
              <w:pStyle w:val="Compact"/>
            </w:pPr>
            <w:r>
              <w:rPr>
                <w:color w:val="C00000"/>
              </w:rPr>
              <w:t xml:space="preserve">0.415</w:t>
            </w:r>
          </w:p>
        </w:tc>
        <w:tc>
          <w:tcPr/>
          <w:p>
            <w:pPr>
              <w:pStyle w:val="Compact"/>
            </w:pPr>
            <w:r>
              <w:rPr>
                <w:color w:val="C00000"/>
              </w:rPr>
              <w:t xml:space="preserve">0.585</w:t>
            </w:r>
          </w:p>
        </w:tc>
        <w:tc>
          <w:tcPr/>
          <w:p>
            <w:pPr>
              <w:pStyle w:val="Compact"/>
            </w:pPr>
            <w:r>
              <w:rPr>
                <w:color w:val="C00000"/>
              </w:rPr>
              <w:t xml:space="preserve">0.757</w:t>
            </w:r>
          </w:p>
        </w:tc>
        <w:tc>
          <w:tcPr/>
          <w:p>
            <w:pPr>
              <w:pStyle w:val="Compact"/>
            </w:pPr>
            <w:r>
              <w:rPr>
                <w:color w:val="C00000"/>
              </w:rPr>
              <w:t xml:space="preserve">0.214</w:t>
            </w:r>
          </w:p>
        </w:tc>
        <w:tc>
          <w:tcPr/>
          <w:p>
            <w:pPr>
              <w:pStyle w:val="Compact"/>
            </w:pPr>
            <w:r>
              <w:rPr>
                <w:color w:val="C00000"/>
              </w:rPr>
              <w:t xml:space="preserve">0.989</w:t>
            </w:r>
          </w:p>
        </w:tc>
      </w:tr>
      <w:tr>
        <w:tc>
          <w:tcPr/>
          <w:p>
            <w:pPr>
              <w:pStyle w:val="Compact"/>
            </w:pPr>
            <w:r>
              <w:rPr>
                <w:color w:val="C00000"/>
              </w:rPr>
              <w:t xml:space="preserve">lightrag</w:t>
            </w:r>
          </w:p>
        </w:tc>
        <w:tc>
          <w:tcPr/>
          <w:p>
            <w:pPr>
              <w:pStyle w:val="Compact"/>
            </w:pPr>
            <w:r>
              <w:rPr>
                <w:color w:val="C00000"/>
              </w:rPr>
              <w:t xml:space="preserve">0.737</w:t>
            </w:r>
          </w:p>
        </w:tc>
        <w:tc>
          <w:tcPr/>
          <w:p>
            <w:pPr>
              <w:pStyle w:val="Compact"/>
            </w:pPr>
            <w:r>
              <w:rPr>
                <w:color w:val="C00000"/>
              </w:rPr>
              <w:t xml:space="preserve">0.737</w:t>
            </w:r>
          </w:p>
        </w:tc>
        <w:tc>
          <w:tcPr/>
          <w:p>
            <w:pPr>
              <w:pStyle w:val="Compact"/>
            </w:pPr>
            <w:r>
              <w:rPr>
                <w:color w:val="C00000"/>
              </w:rPr>
              <w:t xml:space="preserve">0.779</w:t>
            </w:r>
          </w:p>
        </w:tc>
        <w:tc>
          <w:tcPr/>
          <w:p>
            <w:pPr>
              <w:pStyle w:val="Compact"/>
            </w:pPr>
            <w:r>
              <w:rPr>
                <w:color w:val="C00000"/>
              </w:rPr>
              <w:t xml:space="preserve">0.536</w:t>
            </w:r>
          </w:p>
        </w:tc>
        <w:tc>
          <w:tcPr/>
          <w:p>
            <w:pPr>
              <w:pStyle w:val="Compact"/>
            </w:pPr>
            <w:r>
              <w:rPr>
                <w:color w:val="C00000"/>
              </w:rPr>
              <w:t xml:space="preserve">1.000</w:t>
            </w:r>
          </w:p>
        </w:tc>
      </w:tr>
      <w:tr>
        <w:tc>
          <w:tcPr/>
          <w:p>
            <w:pPr>
              <w:pStyle w:val="Compact"/>
            </w:pPr>
            <w:r>
              <w:rPr>
                <w:color w:val="C00000"/>
              </w:rPr>
              <w:t xml:space="preserve">full_system</w:t>
            </w:r>
          </w:p>
        </w:tc>
        <w:tc>
          <w:tcPr/>
          <w:p>
            <w:pPr>
              <w:pStyle w:val="Compact"/>
            </w:pPr>
            <w:r>
              <w:rPr>
                <w:color w:val="C00000"/>
              </w:rPr>
              <w:t xml:space="preserve">0.907</w:t>
            </w:r>
          </w:p>
        </w:tc>
        <w:tc>
          <w:tcPr/>
          <w:p>
            <w:pPr>
              <w:pStyle w:val="Compact"/>
            </w:pPr>
            <w:r>
              <w:rPr>
                <w:color w:val="C00000"/>
              </w:rPr>
              <w:t xml:space="preserve">0.907</w:t>
            </w:r>
          </w:p>
        </w:tc>
        <w:tc>
          <w:tcPr/>
          <w:p>
            <w:pPr>
              <w:pStyle w:val="Compact"/>
            </w:pPr>
            <w:r>
              <w:rPr>
                <w:color w:val="C00000"/>
              </w:rPr>
              <w:t xml:space="preserve">0.964</w:t>
            </w:r>
          </w:p>
        </w:tc>
        <w:tc>
          <w:tcPr/>
          <w:p>
            <w:pPr>
              <w:pStyle w:val="Compact"/>
            </w:pPr>
            <w:r>
              <w:rPr>
                <w:color w:val="C00000"/>
              </w:rPr>
              <w:t xml:space="preserve">0.964</w:t>
            </w:r>
          </w:p>
        </w:tc>
        <w:tc>
          <w:tcPr/>
          <w:p>
            <w:pPr>
              <w:pStyle w:val="Compact"/>
            </w:pPr>
            <w:r>
              <w:rPr>
                <w:color w:val="C00000"/>
              </w:rPr>
              <w:t xml:space="preserve">0.989</w:t>
            </w:r>
          </w:p>
        </w:tc>
      </w:tr>
    </w:tbl>
    <w:p>
      <w:pPr>
        <w:pStyle w:val="BodyText"/>
        <w:spacing w:line="480" w:lineRule="auto"/>
      </w:pPr>
      <w:r>
        <w:rPr>
          <w:rFonts w:ascii="Times New Roman" w:hAnsi="Times New Roman"/>
          <w:color w:val="C00000"/>
        </w:rPr>
        <w:t xml:space="preserve">The mechanism is a shift in the predicted label distribution rather than an improvement in discrimination. Under the larger budget the baselines converge on a conservative policy: pure_llm assigns high risk to 6% of cases where the gold contains 24%, and on the audit set to 2% where the gold contains 27%. Because both gold sets are dominated by low and medium grades, this conservatism inflates exact accuracy while the baselines identify 6 to 15 of the 28 gold-high cases (the cascade identifies 27 of them). We therefore read the accuracy increase as an artefact of the decision rule the model adopts when given room to reason, not as evidence that reasoning improves ophthalmic DDI screening; the sensitivity column is the informative one.</w:t>
      </w:r>
    </w:p>
    <w:p>
      <w:pPr>
        <w:pStyle w:val="BodyText"/>
        <w:spacing w:line="480" w:lineRule="auto"/>
      </w:pPr>
      <w:r>
        <w:rPr>
          <w:rFonts w:ascii="Times New Roman" w:hAnsi="Times New Roman"/>
          <w:color w:val="C00000"/>
        </w:rPr>
        <w:t xml:space="preserve">Two further results from this re-run bear on the interpretation of the primary comparison. First, the ordering between retrieval methods reverses: under the 10-token cap naive_rag scored below pure_llm (0.415 versus 0.475), and we previously attributed that to retrieval noise, but with an adequate budget naive_rag scores at or above pure_llm on both sets (0.585 versus 0.576; 0.728 versus 0.609). The earlier gap was a property of the constrained setting, and the claim that keyword retrieval injects noise in this domain is withdrawn. Second, on the audit set the adequate-budget naive_rag baseline reaches 0.728 exact accuracy and 0.400 high-risk sensitivity, both above the cascade (0.674 and 0.320); we report this because it is the one comparison in which a baseline outperforms the system, and it is not explained by the conservatism described above. Its sensitivity is also unstable across the five samples (0.280 to 0.480), whereas the cascade returns the same grade every time.</w:t>
      </w:r>
    </w:p>
    <w:p>
      <w:pPr>
        <w:pStyle w:val="BodyText"/>
        <w:spacing w:line="480" w:lineRule="auto"/>
      </w:pPr>
      <w:r>
        <w:rPr>
          <w:rFonts w:ascii="Times New Roman" w:hAnsi="Times New Roman"/>
          <w:color w:val="C00000"/>
        </w:rPr>
        <w:t xml:space="preserve">Sample-to-sample variation was itself informative. At a fixed temperature of 0.0 the baselines still varied by 0.013 to 0.034 in exact accuracy across the five repeats, which is why the reported figures use a majority vote over five samples rather than a single call; the cascade’s SD remained 0.000.</w:t>
      </w:r>
    </w:p>
    <w:bookmarkEnd w:id="36"/>
    <w:bookmarkStart w:id="37" w:name="determinism-and-temperature-sensitivity"/>
    <w:p>
      <w:pPr>
        <w:pStyle w:val="Heading3"/>
        <w:spacing w:line="480" w:lineRule="auto"/>
      </w:pPr>
      <w:r>
        <w:rPr>
          <w:rFonts w:ascii="Times New Roman" w:hAnsi="Times New Roman"/>
          <w:b/>
          <w:color w:val="C00000"/>
        </w:rPr>
        <w:t xml:space="preserve">3.7 Determinism and temperature sensitivity</w:t>
      </w:r>
    </w:p>
    <w:p>
      <w:pPr>
        <w:pStyle w:val="FirstParagraph"/>
        <w:spacing w:line="480" w:lineRule="auto"/>
      </w:pPr>
      <w:r>
        <w:rPr>
          <w:rFonts w:ascii="Times New Roman" w:hAnsi="Times New Roman"/>
          <w:color w:val="C00000"/>
        </w:rPr>
        <w:t xml:space="preserve">Full_system is deterministic: all five temperature conditions returned identical predictions (SD = 0.000 for every metric), a determinism check rather than a robustness claim. Figure 5 shows the per-layer latency trace for the worked example, in which the whole cascade completes in under 2 ms with no model call.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 The deterministic path exercised here is the one distributed in the release described in Section 2.7.</w:t>
      </w:r>
    </w:p>
    <w:bookmarkEnd w:id="37"/>
    <w:bookmarkStart w:id="38" w:name="X914a3bd05d2c0ce9c9f6dde65cc59a344f8ad46"/>
    <w:p>
      <w:pPr>
        <w:pStyle w:val="Heading3"/>
        <w:spacing w:line="480" w:lineRule="auto"/>
      </w:pPr>
      <w:r>
        <w:rPr>
          <w:rFonts w:ascii="Times New Roman" w:hAnsi="Times New Roman"/>
          <w:b/>
          <w:color w:val="C00000"/>
        </w:rPr>
        <w:t xml:space="preserve">3.8 Expert grade review (two ophthalmologists, 12 cases)</w:t>
      </w:r>
    </w:p>
    <w:p>
      <w:pPr>
        <w:pStyle w:val="FirstParagraph"/>
        <w:spacing w:line="480" w:lineRule="auto"/>
      </w:pPr>
      <w:r>
        <w:rPr>
          <w:rFonts w:ascii="Times New Roman" w:hAnsi="Times New Roman"/>
          <w:color w:val="C00000"/>
        </w:rPr>
        <w:t xml:space="preserve">Two ophthalmology experts reviewed 12 cases under the grade-review protocol of Section 2.5, with the proposed gold and the system grade both visible (Table 6; Supplementary Table S3). Inter-rater agreement was 91.7% (11 of 12; kappa 0.840, 95% bootstrap CI 0.526–1.000; Figure 3). Expert–system agreement, computed against the grades the experts were shown, was 16.7% for expert 1 (2 of 12; kappa −0.176) and 8.3% for expert 2 (1 of 12; kappa −0.257). The disagreement was systematic and one-directional: expert 1 rated 10 of 12 cases one tier lower than the grade shown and none higher; expert 2 rated 10 lower and 1 higher. Neither expert rated any of the four system-high cases as high (0 of 4). One case was fully concordant between both experts, the grade shown and the gold (R07 levofloxacin × sotalol). The sole inter-expert disagreement was R08 (betaxolol × verapamil), graded medium by expert 1 and high by expert 2. The maximum achievable unweighted kappa given the marginal distributions is 0.294 for expert 1 and 0.314 for expert 2, so the low observed kappas partly reflect margin incompatibility; the quadratic-weighted kappas (−0.630 and −0.793) place the divergence at roughly one tier.</w:t>
      </w:r>
    </w:p>
    <w:p>
      <w:pPr>
        <w:pStyle w:val="BodyText"/>
        <w:spacing w:line="480" w:lineRule="auto"/>
      </w:pPr>
      <w:r>
        <w:rPr>
          <w:rFonts w:ascii="Times New Roman" w:hAnsi="Times New Roman"/>
          <w:color w:val="C00000"/>
        </w:rPr>
        <w:t xml:space="preserve">The experts disagreed with the gold labels to the same degree as with the system: expert 1 versus gold kappa 0.020 (agreement 33.3%) and expert 2 versus gold kappa −0.091 (agreement 25.0%). The two comparisons are not independent evidence — the questionnaire showed both the proposed gold and the system grade, and the system reproduced its gold on all 12 cases, so the expert–gold and expert–system comparisons measure the same disagreement twice. What the exercise supports is only that the experts did not endorse the assigned grades, not that the system and its gold were separately validated.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8"/>
    <w:bookmarkStart w:id="39" w:name="limitations"/>
    <w:p>
      <w:pPr>
        <w:pStyle w:val="Heading3"/>
        <w:spacing w:line="480" w:lineRule="auto"/>
      </w:pPr>
      <w:r>
        <w:rPr>
          <w:rFonts w:ascii="Times New Roman" w:hAnsi="Times New Roman"/>
          <w:b/>
          <w:color w:val="C00000"/>
        </w:rPr>
        <w:t xml:space="preserve">3.9 Limitations</w:t>
      </w:r>
    </w:p>
    <w:p>
      <w:pPr>
        <w:pStyle w:val="FirstParagraph"/>
        <w:spacing w:line="480" w:lineRule="auto"/>
      </w:pPr>
      <w:r>
        <w:rPr>
          <w:rFonts w:ascii="Times New Roman" w:hAnsi="Times New Roman"/>
          <w:color w:val="C00000"/>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0.370, and audit-set high-risk sensitivity is 0.320.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9"/>
    <w:bookmarkEnd w:id="40"/>
    <w:bookmarkStart w:id="46" w:name="discussion"/>
    <w:p>
      <w:pPr>
        <w:pStyle w:val="Heading2"/>
        <w:spacing w:line="480" w:lineRule="auto"/>
      </w:pPr>
      <w:r>
        <w:rPr>
          <w:rFonts w:ascii="Times New Roman" w:hAnsi="Times New Roman"/>
          <w:b/>
        </w:rPr>
        <w:t xml:space="preserve">4. Discussion</w:t>
      </w:r>
    </w:p>
    <w:bookmarkStart w:id="41"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color w:val="C00000"/>
        </w:rPr>
        <w:t xml:space="preserve">The grade review in Section 3.8 is the source for the expert comparison discussed here: the same ophthalmic–systemic pair receives three different risk assignments depending on who is judging, and this study places all three on common ground. Systemic-route database severity and absorption-aware assessment disagree for 75.3% of the 1,933 registry-matched pairs that carry a DDInter rating, and that divergence is dominated by a single mechanism: low topical systemic absorption accounts for 80.5% of downgrades. Evidence-graded rules and expert judgment also disagree, and not because of the rules — two ophthalmologists agreed closely with each other (kappa 0.840) yet rated 10 of 12 cases one tier lower than the grade they were shown, and their agreement with the assigned grades was near zero for both experts (−0.176 and −0.257); because the questionnaire displayed both the proposed gold and the system grade and the cascade reproduced that gold on all 12 cases, this review is reported as a perspective comparison rather than an independent validation.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color w:val="C00000"/>
        </w:rPr>
        <w:t xml:space="preserve">The quantitative performance results bound that claim rather than carry it. The cascade agreed with its evidence-graded gold on 0.907 of 118 cases (kappa 0.857) and outperformed three LLM baselines (0.415–0.737 accuracy) with significant McNemar tests, zero variance across five temperature conditions, and millisecond inference. On the semi-independent audit set it again led on exact accuracy (0.674 versus 0.535–0.591) and specificity (0.955), but its high-risk sensitivity was the lowest of the four methods (0.320, 8 of 25), and its advantage over pure_llm and naive_rag on that set was not statistically significant. The procedurally frozen blind subset (n = 40) was classified with 39 of 40 correct. Because the L1 gold shares its literature sources with the rules, the 0.907 figure is best read as the internal consistency of an explicitly evidence-graded encoding; the audit-set sensitivity is the number that bounds what the system can claim as a safety screen today.</w:t>
      </w:r>
    </w:p>
    <w:bookmarkEnd w:id="41"/>
    <w:bookmarkStart w:id="42"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color w:val="C00000"/>
        </w:rPr>
        <w:t xml:space="preserve">Against general-purpose DDI databases. Existing resources such as DDInter provide comprehensive pair-level severity ratings derived from systemic administration [16,N2] but do not encode the decisive ophthalmic modifier, the magnitude of systemic absorption from topical administration, nor dose-route corrections. Our system makes this ophthalmic pharmacokinetic factor an explicit, first-class modelling component [32]. A systemic-absorption tier is assigned to every ophthalmic agent (six values in the registry, two of which the L3 constraint forces to low); an absorption-scaling step forces low-absorption pairs to low risk within the matrix layer unless a mechanism-based upgrade applies; and a hard-constraint layer encodes the absorption-first pharmacology, with the final grade taken as the maximum of the rule and matrix layers.</w:t>
      </w:r>
      <w:r>
        <w:rPr>
          <w:rFonts w:ascii="Times New Roman" w:hAnsi="Times New Roman"/>
          <w:color w:val="C00000"/>
        </w:rPr>
        <w:t xml:space="preserve"> </w:t>
      </w:r>
      <w:r>
        <w:rPr>
          <w:rFonts w:ascii="Times New Roman" w:hAnsi="Times New Roman"/>
          <w:b/>
          <w:bCs/>
          <w:color w:val="C00000"/>
        </w:rPr>
        <w:t xml:space="preserve">That maximum is the honest limitation of the design.</w:t>
      </w:r>
      <w:r>
        <w:rPr>
          <w:rFonts w:ascii="Times New Roman" w:hAnsi="Times New Roman"/>
          <w:color w:val="C00000"/>
        </w:rPr>
        <w:t xml:space="preserve"> </w:t>
      </w:r>
      <w:r>
        <w:rPr>
          <w:rFonts w:ascii="Times New Roman" w:hAnsi="Times New Roman"/>
          <w:color w:val="C00000"/>
        </w:rPr>
        <w:t xml:space="preserve">The determinism that makes this behaviour auditable is reported in Section 3.7. The rule layer is not absorption-gated, so 202 pairs with a low-or-below tier receive medium or high grades through rules that require no absorption flag — all 95 high grades among them from a single rule, nsaid_antihypertensive_antagonism. We could have gated that rule, as the four class-matrix upgrades are gated, and we measured what that would do: gating it lowers agreement with the L1 gold from 0.907 to 0.890, and gating all four NSAID rules lowers it to 0.847. We therefore report the behaviour rather than re-engineer it to fit the gold. That the gold prefers an ungated rule is itself informative: the guideline-sourced subset was labelled from sources that reason about systemic exposure, so part of the gold encodes the same systemic-route assumption the paper argues against. Whether to gate these rules is a calibration decision that should follow outcome-linked evidence, not gold agreement, and Section 4.5 lists it first. In the 1,933-pair DDInter audit (Section 3.4), 75.3% of matched pairs were graded lower by the system, including 352 pairs downgraded from high (18.2% of all pairs), with 80.5%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color w:val="C00000"/>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the graph-context baseline (named lightrag; Section 2.4) captured only part of the gain even though all LLM baselines received an identical system prompt containing the key absorption facts, and under an adequate output budget the baselines converged on a conservative policy that assigns high risk to 6% of cases where the gold contains 24% (Section 3.6). What separates the cascade from the baselines is therefore not label agreement but the sensitivity-specificity profile and the reproducibility of the decision.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2"/>
    <w:bookmarkStart w:id="43"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color w:val="C00000"/>
        </w:rPr>
        <w:t xml:space="preserve">Two independent ophthalmologists agreed closely with each other (kappa 0.840) but rated 10 of 12 cases one tier lower than both the system and its gold. Because the questionnaire displayed both grades and the system reproduced its gold on all 12 cases, the expert–gold and expert–system comparisons are not independent and neither can be read as validating the other. The exercise establishes a systematic difference between clinical prior and the assigned grades, nothing more.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3"/>
    <w:bookmarkStart w:id="44"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color w:val="C00000"/>
        </w:rPr>
        <w:t xml:space="preserve">Absorption-tier assignment. The tiers are the most load-bearing variable in the cascade and the least independently documented. They are a study-team assignment (Section 2.2) with no operational measurement behind every agent, and one defect has been corrected during revision and one remains open.</w:t>
      </w:r>
      <w:r>
        <w:rPr>
          <w:rFonts w:ascii="Times New Roman" w:hAnsi="Times New Roman"/>
          <w:color w:val="C00000"/>
        </w:rPr>
        <w:t xml:space="preserve"> </w:t>
      </w:r>
      <w:r>
        <w:rPr>
          <w:rFonts w:ascii="Times New Roman" w:hAnsi="Times New Roman"/>
          <w:b/>
          <w:bCs/>
          <w:color w:val="C00000"/>
        </w:rPr>
        <w:t xml:space="preserve">Corrected:</w:t>
      </w:r>
      <w:r>
        <w:rPr>
          <w:rFonts w:ascii="Times New Roman" w:hAnsi="Times New Roman"/>
          <w:color w:val="C00000"/>
        </w:rPr>
        <w:t xml:space="preserve"> </w:t>
      </w:r>
      <w:r>
        <w:rPr>
          <w:rFonts w:ascii="Times New Roman" w:hAnsi="Times New Roman"/>
          <w:color w:val="C00000"/>
        </w:rPr>
        <w:t xml:space="preserve">flurbiprofen was tiered high in the registry while the curation file recorded low for the same evidence sources; at 0.03% it is the lowest-concentration ophthalmic NSAID in the registry and the other four are all tiered low, so the high tier was a data-entry error. It is now tiered low, and the registry-scale analysis in Section 3.4 reflects the corrected value.</w:t>
      </w:r>
      <w:r>
        <w:rPr>
          <w:rFonts w:ascii="Times New Roman" w:hAnsi="Times New Roman"/>
          <w:color w:val="C00000"/>
        </w:rPr>
        <w:t xml:space="preserve"> </w:t>
      </w:r>
      <w:r>
        <w:rPr>
          <w:rFonts w:ascii="Times New Roman" w:hAnsi="Times New Roman"/>
          <w:b/>
          <w:bCs/>
          <w:color w:val="C00000"/>
        </w:rPr>
        <w:t xml:space="preserve">Disclosed alternative tiers.</w:t>
      </w:r>
      <w:r>
        <w:rPr>
          <w:rFonts w:ascii="Times New Roman" w:hAnsi="Times New Roman"/>
          <w:color w:val="C00000"/>
        </w:rPr>
        <w:t xml:space="preserve"> </w:t>
      </w:r>
      <w:r>
        <w:rPr>
          <w:rFonts w:ascii="Times New Roman" w:hAnsi="Times New Roman"/>
          <w:color w:val="C00000"/>
        </w:rPr>
        <w:t xml:space="preserve">Thirteen further agents show the same registry-versus-curation discrepancy that led us to correct flurbiprofen (dorzolamide, brinzolamide, the timolol fixed combinations, dexamethasone, atropine among them). We adopt the registry (</w:t>
      </w:r>
      <w:r>
        <w:rPr>
          <w:rStyle w:val="VerbatimChar"/>
          <w:rFonts w:ascii="Times New Roman" w:hAnsi="Times New Roman"/>
          <w:color w:val="C00000"/>
        </w:rPr>
        <w:t xml:space="preserve">data/seed/entities_a.csv</w:t>
      </w:r>
      <w:r>
        <w:rPr>
          <w:rFonts w:ascii="Times New Roman" w:hAnsi="Times New Roman"/>
          <w:color w:val="C00000"/>
        </w:rPr>
        <w:t xml:space="preserve">) as authoritative because it is the file the engine loads at inference time; the curation file is an intermediate artefact. To let readers judge how much the registry-scale headline depends on that choice, we re-ran the 1,933-pair audit under the curation-file tiers: the downgrade share moves from 75.27% to 75.69%, and the from-high downgrades stay at 352 (</w:t>
      </w:r>
      <w:r>
        <w:rPr>
          <w:rStyle w:val="VerbatimChar"/>
          <w:rFonts w:ascii="Times New Roman" w:hAnsi="Times New Roman"/>
          <w:color w:val="C00000"/>
        </w:rPr>
        <w:t xml:space="preserve">scripts/audit_ddinter_disagreement.py --tier-override data/curation/entity_a_candidates.yaml</w:t>
      </w:r>
      <w:r>
        <w:rPr>
          <w:rFonts w:ascii="Times New Roman" w:hAnsi="Times New Roman"/>
          <w:color w:val="C00000"/>
        </w:rPr>
        <w:t xml:space="preserve">; result deposited as</w:t>
      </w:r>
      <w:r>
        <w:rPr>
          <w:rFonts w:ascii="Times New Roman" w:hAnsi="Times New Roman"/>
          <w:color w:val="C00000"/>
        </w:rPr>
        <w:t xml:space="preserve"> </w:t>
      </w:r>
      <w:r>
        <w:rPr>
          <w:rStyle w:val="VerbatimChar"/>
          <w:rFonts w:ascii="Times New Roman" w:hAnsi="Times New Roman"/>
          <w:color w:val="C00000"/>
        </w:rPr>
        <w:t xml:space="preserve">audits/tier_override_scenario.json</w:t>
      </w:r>
      <w:r>
        <w:rPr>
          <w:rFonts w:ascii="Times New Roman" w:hAnsi="Times New Roman"/>
          <w:color w:val="C00000"/>
        </w:rPr>
        <w:t xml:space="preserve">). The registry-scale conclusion is therefore robust to which of the two files is treated as authoritative.</w:t>
      </w:r>
      <w:r>
        <w:rPr>
          <w:rFonts w:ascii="Times New Roman" w:hAnsi="Times New Roman"/>
          <w:color w:val="C00000"/>
        </w:rPr>
        <w:t xml:space="preserve"> </w:t>
      </w:r>
      <w:r>
        <w:rPr>
          <w:rFonts w:ascii="Times New Roman" w:hAnsi="Times New Roman"/>
          <w:b/>
          <w:bCs/>
          <w:color w:val="C00000"/>
        </w:rPr>
        <w:t xml:space="preserve">Open:</w:t>
      </w:r>
      <w:r>
        <w:rPr>
          <w:rFonts w:ascii="Times New Roman" w:hAnsi="Times New Roman"/>
          <w:color w:val="C00000"/>
        </w:rPr>
        <w:t xml:space="preserve"> </w:t>
      </w:r>
      <w:r>
        <w:rPr>
          <w:rFonts w:ascii="Times New Roman" w:hAnsi="Times New Roman"/>
          <w:color w:val="C00000"/>
        </w:rPr>
        <w:t xml:space="preserve">nine of the 113 agents in the</w:t>
      </w:r>
      <w:r>
        <w:rPr>
          <w:rFonts w:ascii="Times New Roman" w:hAnsi="Times New Roman"/>
          <w:color w:val="C00000"/>
        </w:rPr>
        <w:t xml:space="preserve"> </w:t>
      </w:r>
      <w:r>
        <w:rPr>
          <w:rFonts w:ascii="Times New Roman" w:hAnsi="Times New Roman"/>
          <w:color w:val="C00000"/>
        </w:rPr>
        <w:t xml:space="preserve">“ophthalmic topical”</w:t>
      </w:r>
      <w:r>
        <w:rPr>
          <w:rFonts w:ascii="Times New Roman" w:hAnsi="Times New Roman"/>
          <w:color w:val="C00000"/>
        </w:rPr>
        <w:t xml:space="preserve"> </w:t>
      </w:r>
      <w:r>
        <w:rPr>
          <w:rFonts w:ascii="Times New Roman" w:hAnsi="Times New Roman"/>
          <w:color w:val="C00000"/>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a second class of assignments — the tiering of non-topical agents — remains future work, and the scenario analysis deposited alongside this manuscript quantifies how the registry-scale figures move under each candidate reassignment.</w:t>
      </w:r>
    </w:p>
    <w:p>
      <w:pPr>
        <w:pStyle w:val="BodyText"/>
        <w:spacing w:line="480" w:lineRule="auto"/>
      </w:pPr>
      <w:r>
        <w:rPr>
          <w:rFonts w:ascii="Times New Roman" w:hAnsi="Times New Roman"/>
          <w:color w:val="C00000"/>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0.320 shows the system can also under-grade relative to an absorption-corrected gold; both directions bound the current clinical utility. At a realistic 1% prevalence of clinically significant ophthalmic–systemic interactions, the audit operating point (sensitivity 0.320, specificity 0.955) would yield a positive predictive value of approximately 6.7%, so the system’s value lies in systematic coverage and traceability rather than in screening yield.</w:t>
      </w:r>
    </w:p>
    <w:p>
      <w:pPr>
        <w:pStyle w:val="BodyText"/>
        <w:spacing w:line="480" w:lineRule="auto"/>
      </w:pPr>
      <w:r>
        <w:rPr>
          <w:rFonts w:ascii="Times New Roman" w:hAnsi="Times New Roman"/>
          <w:color w:val="C00000"/>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4"/>
    <w:bookmarkStart w:id="45"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color w:val="C00000"/>
        </w:rPr>
        <w:t xml:space="preserve">Four directions follow directly, with the first taking precedence.</w:t>
      </w:r>
      <w:r>
        <w:rPr>
          <w:rFonts w:ascii="Times New Roman" w:hAnsi="Times New Roman"/>
          <w:color w:val="C00000"/>
        </w:rPr>
        <w:t xml:space="preserve"> </w:t>
      </w:r>
      <w:r>
        <w:rPr>
          <w:rFonts w:ascii="Times New Roman" w:hAnsi="Times New Roman"/>
          <w:b/>
          <w:bCs/>
          <w:color w:val="C00000"/>
        </w:rPr>
        <w:t xml:space="preserve">Registry correction:</w:t>
      </w:r>
      <w:r>
        <w:rPr>
          <w:rFonts w:ascii="Times New Roman" w:hAnsi="Times New Roman"/>
          <w:color w:val="C00000"/>
        </w:rPr>
        <w:t xml:space="preserve"> </w:t>
      </w:r>
      <w:r>
        <w:rPr>
          <w:rFonts w:ascii="Times New Roman" w:hAnsi="Times New Roman"/>
          <w:color w:val="C00000"/>
        </w:rPr>
        <w:t xml:space="preserve">flurbiprofen has been corrected in this revision; the remaining work is to re-assign the tiers with a documented source and threshold for every agent and to reclassify or exclude the nine non-topical agents, then re-run the registry-scale analysis of Section 3.4. The tier table deposited with this work (Supplementary Table S5) and the scenario analysis in the deposit (audits/tier_alternative_scenarios.json) are the starting points. The same item covers the rule-layer question raised in Section 4.2: whether nsaid_antihypertensive_antagonism and the other NSAID rules should be gated on absorption, as the class-matrix upgrades are. We left them ungated because gating reduces agreement with the present gold, but that is a reason to revisit the gold and the calibration jointly rather than a reason to leave the design as it stands.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5"/>
    <w:bookmarkEnd w:id="46"/>
    <w:bookmarkStart w:id="47"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color w:val="C00000"/>
        </w:rPr>
        <w:t xml:space="preserve">The system construction reported in Section 3.1 yields a cascade whose agreement with the literature-derived gold is quantified in Section 3.3. 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75.3% of all 1,933 registry-matched pairs lower, with 80.5%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0.907 of 118 cases (kappa 0.857), with complete output traceability, outperformed three LLM baselines on exact accuracy, and on a semi-independent audit set reached 0.674 exact accuracy — falling to 0.548 on the subset free of its own absorption assumption — but the lowest high-risk sensitivity of the four methods (0.320).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7"/>
    <w:bookmarkStart w:id="48"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8"/>
    <w:bookmarkStart w:id="57" w:name="declarations"/>
    <w:p>
      <w:pPr>
        <w:pStyle w:val="Heading2"/>
        <w:spacing w:line="480" w:lineRule="auto"/>
      </w:pPr>
      <w:r>
        <w:rPr>
          <w:rFonts w:ascii="Times New Roman" w:hAnsi="Times New Roman"/>
          <w:b/>
        </w:rPr>
        <w:t xml:space="preserve">Declarations</w:t>
      </w:r>
    </w:p>
    <w:bookmarkStart w:id="49"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color w:val="C00000"/>
        </w:rPr>
        <w:t xml:space="preserve">This study used only publicly available secondary data: the DDInter severity tables, published drug labels, DrugBank records and the peer-reviewed literature. No human participants, patient-level data, human tissue, biological specimens or clinical interventions were involved, and no identifiable information was collected. Under the Declaration of Helsinki and the Chinese Measures for Ethical Review of Life Science and Medical Research Involving Humans, secondary analysis of published data does not constitute human-subjects research requiring ethics committee review, and the study was therefore exempt from ethics approval for the retrospective data-analysis and software-development components.</w:t>
      </w:r>
    </w:p>
    <w:p>
      <w:pPr>
        <w:pStyle w:val="BodyText"/>
        <w:spacing w:line="480" w:lineRule="auto"/>
      </w:pPr>
      <w:r>
        <w:rPr>
          <w:rFonts w:ascii="Times New Roman" w:hAnsi="Times New Roman"/>
          <w:color w:val="C00000"/>
        </w:rPr>
        <w:t xml:space="preserve">The only human involvement was a professional-opinion exercise: two ophthalmologists, both clinicians from the Department of Ophthalmology of the First Affiliated Hospital of Xinjiang Medical University, independently rated 12 hypothetical drug-pair vignettes constructed by the study team. The vignettes contained no patient data and no identifiable information; the experts provided their ratings as professional opinion and consented to their anonymised ratings being used in research and publication. One of the experts was a member of the research team of a separately approved study at the same department (ethics approval K202509-29,</w:t>
      </w:r>
      <w:r>
        <w:rPr>
          <w:rFonts w:ascii="Times New Roman" w:hAnsi="Times New Roman"/>
          <w:color w:val="C00000"/>
        </w:rPr>
        <w:t xml:space="preserve"> </w:t>
      </w:r>
      <w:r>
        <w:rPr>
          <w:rFonts w:ascii="Times New Roman" w:hAnsi="Times New Roman"/>
          <w:color w:val="C00000"/>
        </w:rPr>
        <w:t xml:space="preserve">“Preliminary study of a mobile-device-based method for refractive error detection”</w:t>
      </w:r>
      <w:r>
        <w:rPr>
          <w:rFonts w:ascii="Times New Roman" w:hAnsi="Times New Roman"/>
          <w:color w:val="C00000"/>
        </w:rPr>
        <w:t xml:space="preserve">), which is the source of the institutional link between that approval and the present work; K202509-29 does not itself cover this study. The document is included in the supplementary material only to evidence that relationship, and we ask the editor to treat this study as exempt rather than as covered by that approval.</w:t>
      </w:r>
    </w:p>
    <w:p>
      <w:pPr>
        <w:pStyle w:val="BodyText"/>
        <w:spacing w:line="480" w:lineRule="auto"/>
      </w:pPr>
      <w:r>
        <w:rPr>
          <w:rFonts w:ascii="Times New Roman" w:hAnsi="Times New Roman"/>
          <w:color w:val="C00000"/>
        </w:rPr>
        <w:t xml:space="preserve">The system is a research decision-support tool and is not intended to replace clinical judgment (Section 2.6).</w:t>
      </w:r>
    </w:p>
    <w:bookmarkEnd w:id="49"/>
    <w:bookmarkStart w:id="50"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50"/>
    <w:bookmarkStart w:id="51"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color w:val="C00000"/>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color w:val="C00000"/>
        </w:rPr>
        <w:t xml:space="preserve">Repository.</w:t>
      </w:r>
      <w:r>
        <w:rPr>
          <w:rFonts w:ascii="Times New Roman" w:hAnsi="Times New Roman"/>
          <w:color w:val="C00000"/>
        </w:rPr>
        <w:t xml:space="preserve"> </w:t>
      </w:r>
      <w:r>
        <w:rPr>
          <w:rFonts w:ascii="Times New Roman" w:hAnsi="Times New Roman"/>
          <w:color w:val="C00000"/>
        </w:rPr>
        <w:t xml:space="preserve">https://github.com/wangguoqing932/ophddi-cds (release tag</w:t>
      </w:r>
      <w:r>
        <w:rPr>
          <w:rFonts w:ascii="Times New Roman" w:hAnsi="Times New Roman"/>
          <w:color w:val="C00000"/>
        </w:rPr>
        <w:t xml:space="preserve"> </w:t>
      </w:r>
      <w:r>
        <w:rPr>
          <w:rStyle w:val="VerbatimChar"/>
          <w:rFonts w:ascii="Times New Roman" w:hAnsi="Times New Roman"/>
          <w:color w:val="C00000"/>
        </w:rPr>
        <w:t xml:space="preserve">v1.1-revision3</w:t>
      </w:r>
      <w:r>
        <w:rPr>
          <w:rFonts w:ascii="Times New Roman" w:hAnsi="Times New Roman"/>
          <w:color w:val="C00000"/>
        </w:rPr>
        <w:t xml:space="preserve">, archived at DOI {DOI};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color w:val="C00000"/>
        </w:rPr>
        <w:t xml:space="preserve">Software.</w:t>
      </w:r>
      <w:r>
        <w:rPr>
          <w:rFonts w:ascii="Times New Roman" w:hAnsi="Times New Roman"/>
          <w:color w:val="C00000"/>
        </w:rPr>
        <w:t xml:space="preserve"> </w:t>
      </w:r>
      <w:r>
        <w:rPr>
          <w:rFonts w:ascii="Times New Roman" w:hAnsi="Times New Roman"/>
          <w:color w:val="C00000"/>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color w:val="C00000"/>
        </w:rPr>
        <w:t xml:space="preserve"> </w:t>
      </w:r>
      <w:r>
        <w:rPr>
          <w:rStyle w:val="VerbatimChar"/>
          <w:rFonts w:ascii="Times New Roman" w:hAnsi="Times New Roman"/>
          <w:color w:val="C00000"/>
        </w:rPr>
        <w:t xml:space="preserve">v1.1-revision3</w:t>
      </w:r>
      <w:r>
        <w:rPr>
          <w:rFonts w:ascii="Times New Roman" w:hAnsi="Times New Roman"/>
          <w:color w:val="C00000"/>
        </w:rPr>
        <w:t xml:space="preserve"> </w:t>
      </w:r>
      <w:r>
        <w:rPr>
          <w:rFonts w:ascii="Times New Roman" w:hAnsi="Times New Roman"/>
          <w:color w:val="C00000"/>
        </w:rPr>
        <w:t xml:space="preserve">and is archived at DOI {DOI} (Zenodo). The archive contains the full source, configurations, gold sets, 9,600 prediction rows, the 3,150 reasoning-model responses, the statistics module and every audit output, so the reported figures can be regenerated without network access. Operating system(s): platform independent. Programming language: Python 3.11. Other requirements: Python 3.10 or later, with dependencies pinned in</w:t>
      </w:r>
      <w:r>
        <w:rPr>
          <w:rFonts w:ascii="Times New Roman" w:hAnsi="Times New Roman"/>
          <w:color w:val="C00000"/>
        </w:rPr>
        <w:t xml:space="preserve"> </w:t>
      </w:r>
      <w:r>
        <w:rPr>
          <w:rStyle w:val="VerbatimChar"/>
          <w:rFonts w:ascii="Times New Roman" w:hAnsi="Times New Roman"/>
          <w:color w:val="C00000"/>
        </w:rPr>
        <w:t xml:space="preserve">pyproject.toml</w:t>
      </w:r>
      <w:r>
        <w:rPr>
          <w:rFonts w:ascii="Times New Roman" w:hAnsi="Times New Roman"/>
          <w:color w:val="C00000"/>
        </w:rPr>
        <w:t xml:space="preserve">. Licence: Apache-2.0 (code) and CC BY 4.0 (original data). The bundled DDInter severity tables are third-party data and remain under DDInter’s CC BY-NC-SA 4.0 terms; they are included for research reproducibility only, and reuse is subject to those terms (see the component-licensing section of the repository LICENSE).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1"/>
    <w:bookmarkStart w:id="52"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2"/>
    <w:bookmarkStart w:id="53"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color w:val="C00000"/>
        </w:rPr>
        <w:t xml:space="preserve">This study was supported by the Natural Science Foundation of Xinjiang Uygur Autonomous Region, China (Key Project No. 2022D01D68).</w:t>
      </w:r>
    </w:p>
    <w:bookmarkEnd w:id="53"/>
    <w:bookmarkStart w:id="54"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color w:val="C00000"/>
        </w:rPr>
        <w:t xml:space="preserve">Wang G: Conceptualization, Methodology, Software, Formal analysis, Data curation, Visualization, Writing - original draft. Hu L: Clinical input, Data interpretation, Writing - review &amp; editing. Wang S: Clinical input, Data interpretation, Writing - review &amp; editing. Yi X: Conceptualization, Supervision, Project administration, Funding acquisition, Resources, Writing - review &amp; editing. All authors contributed to the article and approved the submitted version.</w:t>
      </w:r>
    </w:p>
    <w:bookmarkEnd w:id="54"/>
    <w:bookmarkStart w:id="55"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5"/>
    <w:bookmarkStart w:id="56"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color w:val="C00000"/>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 For clarity about the</w:t>
      </w:r>
      <w:r>
        <w:rPr>
          <w:rFonts w:ascii="Times New Roman" w:hAnsi="Times New Roman"/>
          <w:color w:val="C00000"/>
        </w:rPr>
        <w:t xml:space="preserve"> </w:t>
      </w:r>
      <w:r>
        <w:rPr>
          <w:rFonts w:ascii="Times New Roman" w:hAnsi="Times New Roman"/>
          <w:color w:val="C00000"/>
        </w:rPr>
        <w:t xml:space="preserve">“T1 expert”</w:t>
      </w:r>
      <w:r>
        <w:rPr>
          <w:rFonts w:ascii="Times New Roman" w:hAnsi="Times New Roman"/>
          <w:color w:val="C00000"/>
        </w:rPr>
        <w:t xml:space="preserve"> </w:t>
      </w:r>
      <w:r>
        <w:rPr>
          <w:rFonts w:ascii="Times New Roman" w:hAnsi="Times New Roman"/>
          <w:color w:val="C00000"/>
        </w:rPr>
        <w:t xml:space="preserve">referred to in the deposited design files: that label denotes the clinical opinion recorded in an earlier, separately conducted exercise by a member of the research team of the approved study cited in the Ethics statement, used only to phrase the questionnaire vignettes and to cross-check mechanism plausibility for R02 and R12. No human expert assigned any gold label in this study; every gold label is the study team’s own annotation from published sources, and the T1 comparison is reported in the deposit as provenance for how the vignettes were written, not as a source of gold.</w:t>
      </w:r>
    </w:p>
    <w:bookmarkEnd w:id="56"/>
    <w:bookmarkEnd w:id="57"/>
    <w:bookmarkStart w:id="58"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40"/>
        <w:gridCol w:w="1040"/>
        <w:gridCol w:w="1040"/>
        <w:gridCol w:w="1040"/>
        <w:gridCol w:w="1040"/>
        <w:gridCol w:w="1040"/>
        <w:gridCol w:w="1040"/>
        <w:gridCol w:w="1040"/>
        <w:gridCol w:w="1040"/>
      </w:tblGrid>
      <w:tr>
        <w:tc>
          <w:tcPr>
            <w:tcW w:type="dxa" w:w="1040"/>
          </w:tcPr>
          <w:p>
            <w:pPr>
              <w:spacing w:line="240" w:lineRule="auto"/>
            </w:pPr>
            <w:r>
              <w:rPr>
                <w:rFonts w:ascii="Times New Roman" w:hAnsi="Times New Roman"/>
                <w:b/>
                <w:color w:val="C00000"/>
                <w:sz w:val="18"/>
              </w:rPr>
              <w:t>dataset_id</w:t>
            </w:r>
          </w:p>
        </w:tc>
        <w:tc>
          <w:tcPr>
            <w:tcW w:type="dxa" w:w="1040"/>
          </w:tcPr>
          <w:p>
            <w:pPr>
              <w:spacing w:line="240" w:lineRule="auto"/>
            </w:pPr>
            <w:r>
              <w:rPr>
                <w:rFonts w:ascii="Times New Roman" w:hAnsi="Times New Roman"/>
                <w:b/>
                <w:color w:val="C00000"/>
                <w:sz w:val="18"/>
              </w:rPr>
              <w:t>setting</w:t>
            </w:r>
          </w:p>
        </w:tc>
        <w:tc>
          <w:tcPr>
            <w:tcW w:type="dxa" w:w="1040"/>
          </w:tcPr>
          <w:p>
            <w:pPr>
              <w:spacing w:line="240" w:lineRule="auto"/>
            </w:pPr>
            <w:r>
              <w:rPr>
                <w:rFonts w:ascii="Times New Roman" w:hAnsi="Times New Roman"/>
                <w:b/>
                <w:color w:val="C00000"/>
                <w:sz w:val="18"/>
              </w:rPr>
              <w:t>method</w:t>
            </w:r>
          </w:p>
        </w:tc>
        <w:tc>
          <w:tcPr>
            <w:tcW w:type="dxa" w:w="1040"/>
          </w:tcPr>
          <w:p>
            <w:pPr>
              <w:spacing w:line="240" w:lineRule="auto"/>
            </w:pPr>
            <w:r>
              <w:rPr>
                <w:rFonts w:ascii="Times New Roman" w:hAnsi="Times New Roman"/>
                <w:b/>
                <w:color w:val="C00000"/>
                <w:sz w:val="18"/>
              </w:rPr>
              <w:t>n</w:t>
            </w:r>
          </w:p>
        </w:tc>
        <w:tc>
          <w:tcPr>
            <w:tcW w:type="dxa" w:w="1040"/>
          </w:tcPr>
          <w:p>
            <w:pPr>
              <w:spacing w:line="240" w:lineRule="auto"/>
            </w:pPr>
            <w:r>
              <w:rPr>
                <w:rFonts w:ascii="Times New Roman" w:hAnsi="Times New Roman"/>
                <w:b/>
                <w:color w:val="C00000"/>
                <w:sz w:val="18"/>
              </w:rPr>
              <w:t>sensitivity_high</w:t>
            </w:r>
          </w:p>
        </w:tc>
        <w:tc>
          <w:tcPr>
            <w:tcW w:type="dxa" w:w="1040"/>
          </w:tcPr>
          <w:p>
            <w:pPr>
              <w:spacing w:line="240" w:lineRule="auto"/>
            </w:pPr>
            <w:r>
              <w:rPr>
                <w:rFonts w:ascii="Times New Roman" w:hAnsi="Times New Roman"/>
                <w:b/>
                <w:color w:val="C00000"/>
                <w:sz w:val="18"/>
              </w:rPr>
              <w:t>specificity_high</w:t>
            </w:r>
          </w:p>
        </w:tc>
        <w:tc>
          <w:tcPr>
            <w:tcW w:type="dxa" w:w="1040"/>
          </w:tcPr>
          <w:p>
            <w:pPr>
              <w:spacing w:line="240" w:lineRule="auto"/>
            </w:pPr>
            <w:r>
              <w:rPr>
                <w:rFonts w:ascii="Times New Roman" w:hAnsi="Times New Roman"/>
                <w:b/>
                <w:color w:val="C00000"/>
                <w:sz w:val="18"/>
              </w:rPr>
              <w:t>f1_high</w:t>
            </w:r>
          </w:p>
        </w:tc>
        <w:tc>
          <w:tcPr>
            <w:tcW w:type="dxa" w:w="1040"/>
          </w:tcPr>
          <w:p>
            <w:pPr>
              <w:spacing w:line="240" w:lineRule="auto"/>
            </w:pPr>
            <w:r>
              <w:rPr>
                <w:rFonts w:ascii="Times New Roman" w:hAnsi="Times New Roman"/>
                <w:b/>
                <w:color w:val="C00000"/>
                <w:sz w:val="18"/>
              </w:rPr>
              <w:t>accuracy_3level</w:t>
            </w:r>
          </w:p>
        </w:tc>
        <w:tc>
          <w:tcPr>
            <w:tcW w:type="dxa" w:w="1040"/>
          </w:tcPr>
          <w:p>
            <w:pPr>
              <w:spacing w:line="240" w:lineRule="auto"/>
            </w:pPr>
            <w:r>
              <w:rPr>
                <w:rFonts w:ascii="Times New Roman" w:hAnsi="Times New Roman"/>
                <w:b/>
                <w:color w:val="C00000"/>
                <w:sz w:val="18"/>
              </w:rPr>
              <w:t>cohens_kappa</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0.771</w:t>
            </w:r>
          </w:p>
        </w:tc>
        <w:tc>
          <w:tcPr>
            <w:tcW w:type="dxa" w:w="1040"/>
          </w:tcPr>
          <w:p>
            <w:pPr>
              <w:spacing w:line="240" w:lineRule="auto"/>
            </w:pPr>
            <w:r>
              <w:rPr>
                <w:rFonts w:ascii="Times New Roman" w:hAnsi="Times New Roman"/>
                <w:sz w:val="18"/>
              </w:rPr>
              <w:t>0.542</w:t>
            </w:r>
          </w:p>
        </w:tc>
        <w:tc>
          <w:tcPr>
            <w:tcW w:type="dxa" w:w="1040"/>
          </w:tcPr>
          <w:p>
            <w:pPr>
              <w:spacing w:line="240" w:lineRule="auto"/>
            </w:pPr>
            <w:r>
              <w:rPr>
                <w:rFonts w:ascii="Times New Roman" w:hAnsi="Times New Roman"/>
                <w:sz w:val="18"/>
              </w:rPr>
              <w:t>0.476</w:t>
            </w:r>
          </w:p>
        </w:tc>
        <w:tc>
          <w:tcPr>
            <w:tcW w:type="dxa" w:w="1040"/>
          </w:tcPr>
          <w:p>
            <w:pPr>
              <w:spacing w:line="240" w:lineRule="auto"/>
            </w:pPr>
            <w:r>
              <w:rPr>
                <w:rFonts w:ascii="Times New Roman" w:hAnsi="Times New Roman"/>
                <w:sz w:val="18"/>
              </w:rPr>
              <w:t>0.475</w:t>
            </w:r>
          </w:p>
        </w:tc>
        <w:tc>
          <w:tcPr>
            <w:tcW w:type="dxa" w:w="1040"/>
          </w:tcPr>
          <w:p>
            <w:pPr>
              <w:spacing w:line="240" w:lineRule="auto"/>
            </w:pPr>
            <w:r>
              <w:rPr>
                <w:rFonts w:ascii="Times New Roman" w:hAnsi="Times New Roman"/>
                <w:sz w:val="18"/>
              </w:rPr>
              <w:t>0.256</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0.757</w:t>
            </w:r>
          </w:p>
        </w:tc>
        <w:tc>
          <w:tcPr>
            <w:tcW w:type="dxa" w:w="1040"/>
          </w:tcPr>
          <w:p>
            <w:pPr>
              <w:spacing w:line="240" w:lineRule="auto"/>
            </w:pPr>
            <w:r>
              <w:rPr>
                <w:rFonts w:ascii="Times New Roman" w:hAnsi="Times New Roman"/>
                <w:sz w:val="18"/>
              </w:rPr>
              <w:t>0.462</w:t>
            </w:r>
          </w:p>
        </w:tc>
        <w:tc>
          <w:tcPr>
            <w:tcW w:type="dxa" w:w="1040"/>
          </w:tcPr>
          <w:p>
            <w:pPr>
              <w:spacing w:line="240" w:lineRule="auto"/>
            </w:pPr>
            <w:r>
              <w:rPr>
                <w:rFonts w:ascii="Times New Roman" w:hAnsi="Times New Roman"/>
                <w:sz w:val="18"/>
              </w:rPr>
              <w:t>0.434</w:t>
            </w:r>
          </w:p>
        </w:tc>
        <w:tc>
          <w:tcPr>
            <w:tcW w:type="dxa" w:w="1040"/>
          </w:tcPr>
          <w:p>
            <w:pPr>
              <w:spacing w:line="240" w:lineRule="auto"/>
            </w:pPr>
            <w:r>
              <w:rPr>
                <w:rFonts w:ascii="Times New Roman" w:hAnsi="Times New Roman"/>
                <w:sz w:val="18"/>
              </w:rPr>
              <w:t>0.415</w:t>
            </w:r>
          </w:p>
        </w:tc>
        <w:tc>
          <w:tcPr>
            <w:tcW w:type="dxa" w:w="1040"/>
          </w:tcPr>
          <w:p>
            <w:pPr>
              <w:spacing w:line="240" w:lineRule="auto"/>
            </w:pPr>
            <w:r>
              <w:rPr>
                <w:rFonts w:ascii="Times New Roman" w:hAnsi="Times New Roman"/>
                <w:sz w:val="18"/>
              </w:rPr>
              <w:t>0.182</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0.779</w:t>
            </w:r>
          </w:p>
        </w:tc>
        <w:tc>
          <w:tcPr>
            <w:tcW w:type="dxa" w:w="1040"/>
          </w:tcPr>
          <w:p>
            <w:pPr>
              <w:spacing w:line="240" w:lineRule="auto"/>
            </w:pPr>
            <w:r>
              <w:rPr>
                <w:rFonts w:ascii="Times New Roman" w:hAnsi="Times New Roman"/>
                <w:color w:val="C00000"/>
                <w:sz w:val="18"/>
              </w:rPr>
              <w:t>0.936</w:t>
            </w:r>
          </w:p>
        </w:tc>
        <w:tc>
          <w:tcPr>
            <w:tcW w:type="dxa" w:w="1040"/>
          </w:tcPr>
          <w:p>
            <w:pPr>
              <w:spacing w:line="240" w:lineRule="auto"/>
            </w:pPr>
            <w:r>
              <w:rPr>
                <w:rFonts w:ascii="Times New Roman" w:hAnsi="Times New Roman"/>
                <w:color w:val="C00000"/>
                <w:sz w:val="18"/>
              </w:rPr>
              <w:t>0.785</w:t>
            </w:r>
          </w:p>
        </w:tc>
        <w:tc>
          <w:tcPr>
            <w:tcW w:type="dxa" w:w="1040"/>
          </w:tcPr>
          <w:p>
            <w:pPr>
              <w:spacing w:line="240" w:lineRule="auto"/>
            </w:pPr>
            <w:r>
              <w:rPr>
                <w:rFonts w:ascii="Times New Roman" w:hAnsi="Times New Roman"/>
                <w:color w:val="C00000"/>
                <w:sz w:val="18"/>
              </w:rPr>
              <w:t>0.737</w:t>
            </w:r>
          </w:p>
        </w:tc>
        <w:tc>
          <w:tcPr>
            <w:tcW w:type="dxa" w:w="1040"/>
          </w:tcPr>
          <w:p>
            <w:pPr>
              <w:spacing w:line="240" w:lineRule="auto"/>
            </w:pPr>
            <w:r>
              <w:rPr>
                <w:rFonts w:ascii="Times New Roman" w:hAnsi="Times New Roman"/>
                <w:color w:val="C00000"/>
                <w:sz w:val="18"/>
              </w:rPr>
              <w:t>0.603</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full_system</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0.964</w:t>
            </w:r>
          </w:p>
        </w:tc>
        <w:tc>
          <w:tcPr>
            <w:tcW w:type="dxa" w:w="1040"/>
          </w:tcPr>
          <w:p>
            <w:pPr>
              <w:spacing w:line="240" w:lineRule="auto"/>
            </w:pPr>
            <w:r>
              <w:rPr>
                <w:rFonts w:ascii="Times New Roman" w:hAnsi="Times New Roman"/>
                <w:color w:val="C00000"/>
                <w:sz w:val="18"/>
              </w:rPr>
              <w:t>0.989</w:t>
            </w:r>
          </w:p>
        </w:tc>
        <w:tc>
          <w:tcPr>
            <w:tcW w:type="dxa" w:w="1040"/>
          </w:tcPr>
          <w:p>
            <w:pPr>
              <w:spacing w:line="240" w:lineRule="auto"/>
            </w:pPr>
            <w:r>
              <w:rPr>
                <w:rFonts w:ascii="Times New Roman" w:hAnsi="Times New Roman"/>
                <w:color w:val="C00000"/>
                <w:sz w:val="18"/>
              </w:rPr>
              <w:t>0.964</w:t>
            </w:r>
          </w:p>
        </w:tc>
        <w:tc>
          <w:tcPr>
            <w:tcW w:type="dxa" w:w="1040"/>
          </w:tcPr>
          <w:p>
            <w:pPr>
              <w:spacing w:line="240" w:lineRule="auto"/>
            </w:pPr>
            <w:r>
              <w:rPr>
                <w:rFonts w:ascii="Times New Roman" w:hAnsi="Times New Roman"/>
                <w:color w:val="C00000"/>
                <w:sz w:val="18"/>
              </w:rPr>
              <w:t>0.907</w:t>
            </w:r>
          </w:p>
        </w:tc>
        <w:tc>
          <w:tcPr>
            <w:tcW w:type="dxa" w:w="1040"/>
          </w:tcPr>
          <w:p>
            <w:pPr>
              <w:spacing w:line="240" w:lineRule="auto"/>
            </w:pPr>
            <w:r>
              <w:rPr>
                <w:rFonts w:ascii="Times New Roman" w:hAnsi="Times New Roman"/>
                <w:color w:val="C00000"/>
                <w:sz w:val="18"/>
              </w:rPr>
              <w:t>0.857</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pure_llm</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0.250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0.400</w:t>
            </w:r>
          </w:p>
        </w:tc>
        <w:tc>
          <w:tcPr>
            <w:tcW w:type="dxa" w:w="1040"/>
          </w:tcPr>
          <w:p>
            <w:pPr>
              <w:spacing w:line="240" w:lineRule="auto"/>
            </w:pPr>
            <w:r>
              <w:rPr>
                <w:rFonts w:ascii="Times New Roman" w:hAnsi="Times New Roman"/>
                <w:color w:val="C00000"/>
                <w:sz w:val="18"/>
              </w:rPr>
              <w:t>0.576</w:t>
            </w:r>
          </w:p>
        </w:tc>
        <w:tc>
          <w:tcPr>
            <w:tcW w:type="dxa" w:w="1040"/>
          </w:tcPr>
          <w:p>
            <w:pPr>
              <w:spacing w:line="240" w:lineRule="auto"/>
            </w:pPr>
            <w:r>
              <w:rPr>
                <w:rFonts w:ascii="Times New Roman" w:hAnsi="Times New Roman"/>
                <w:color w:val="C00000"/>
                <w:sz w:val="18"/>
              </w:rPr>
              <w:t>0.333</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naive_rag</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0.214</w:t>
            </w:r>
          </w:p>
        </w:tc>
        <w:tc>
          <w:tcPr>
            <w:tcW w:type="dxa" w:w="1040"/>
          </w:tcPr>
          <w:p>
            <w:pPr>
              <w:spacing w:line="240" w:lineRule="auto"/>
            </w:pPr>
            <w:r>
              <w:rPr>
                <w:rFonts w:ascii="Times New Roman" w:hAnsi="Times New Roman"/>
                <w:color w:val="C00000"/>
                <w:sz w:val="18"/>
              </w:rPr>
              <w:t>0.989</w:t>
            </w:r>
          </w:p>
        </w:tc>
        <w:tc>
          <w:tcPr>
            <w:tcW w:type="dxa" w:w="1040"/>
          </w:tcPr>
          <w:p>
            <w:pPr>
              <w:spacing w:line="240" w:lineRule="auto"/>
            </w:pPr>
            <w:r>
              <w:rPr>
                <w:rFonts w:ascii="Times New Roman" w:hAnsi="Times New Roman"/>
                <w:color w:val="C00000"/>
                <w:sz w:val="18"/>
              </w:rPr>
              <w:t>0.343</w:t>
            </w:r>
          </w:p>
        </w:tc>
        <w:tc>
          <w:tcPr>
            <w:tcW w:type="dxa" w:w="1040"/>
          </w:tcPr>
          <w:p>
            <w:pPr>
              <w:spacing w:line="240" w:lineRule="auto"/>
            </w:pPr>
            <w:r>
              <w:rPr>
                <w:rFonts w:ascii="Times New Roman" w:hAnsi="Times New Roman"/>
                <w:color w:val="C00000"/>
                <w:sz w:val="18"/>
              </w:rPr>
              <w:t>0.585</w:t>
            </w:r>
          </w:p>
        </w:tc>
        <w:tc>
          <w:tcPr>
            <w:tcW w:type="dxa" w:w="1040"/>
          </w:tcPr>
          <w:p>
            <w:pPr>
              <w:spacing w:line="240" w:lineRule="auto"/>
            </w:pPr>
            <w:r>
              <w:rPr>
                <w:rFonts w:ascii="Times New Roman" w:hAnsi="Times New Roman"/>
                <w:color w:val="C00000"/>
                <w:sz w:val="18"/>
              </w:rPr>
              <w:t>0.341</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0.536</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0.698</w:t>
            </w:r>
          </w:p>
        </w:tc>
        <w:tc>
          <w:tcPr>
            <w:tcW w:type="dxa" w:w="1040"/>
          </w:tcPr>
          <w:p>
            <w:pPr>
              <w:spacing w:line="240" w:lineRule="auto"/>
            </w:pPr>
            <w:r>
              <w:rPr>
                <w:rFonts w:ascii="Times New Roman" w:hAnsi="Times New Roman"/>
                <w:color w:val="C00000"/>
                <w:sz w:val="18"/>
              </w:rPr>
              <w:t>0.737</w:t>
            </w:r>
          </w:p>
        </w:tc>
        <w:tc>
          <w:tcPr>
            <w:tcW w:type="dxa" w:w="1040"/>
          </w:tcPr>
          <w:p>
            <w:pPr>
              <w:spacing w:line="240" w:lineRule="auto"/>
            </w:pPr>
            <w:r>
              <w:rPr>
                <w:rFonts w:ascii="Times New Roman" w:hAnsi="Times New Roman"/>
                <w:color w:val="C00000"/>
                <w:sz w:val="18"/>
              </w:rPr>
              <w:t>0.587</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pure_llm</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0.848</w:t>
            </w:r>
          </w:p>
        </w:tc>
        <w:tc>
          <w:tcPr>
            <w:tcW w:type="dxa" w:w="1040"/>
          </w:tcPr>
          <w:p>
            <w:pPr>
              <w:spacing w:line="240" w:lineRule="auto"/>
            </w:pPr>
            <w:r>
              <w:rPr>
                <w:rFonts w:ascii="Times New Roman" w:hAnsi="Times New Roman"/>
                <w:color w:val="C00000"/>
                <w:sz w:val="18"/>
              </w:rPr>
              <w:t>0.704</w:t>
            </w:r>
          </w:p>
        </w:tc>
        <w:tc>
          <w:tcPr>
            <w:tcW w:type="dxa" w:w="1040"/>
          </w:tcPr>
          <w:p>
            <w:pPr>
              <w:spacing w:line="240" w:lineRule="auto"/>
            </w:pPr>
            <w:r>
              <w:rPr>
                <w:rFonts w:ascii="Times New Roman" w:hAnsi="Times New Roman"/>
                <w:color w:val="C00000"/>
                <w:sz w:val="18"/>
              </w:rPr>
              <w:t>0.642</w:t>
            </w:r>
          </w:p>
        </w:tc>
        <w:tc>
          <w:tcPr>
            <w:tcW w:type="dxa" w:w="1040"/>
          </w:tcPr>
          <w:p>
            <w:pPr>
              <w:spacing w:line="240" w:lineRule="auto"/>
            </w:pPr>
            <w:r>
              <w:rPr>
                <w:rFonts w:ascii="Times New Roman" w:hAnsi="Times New Roman"/>
                <w:color w:val="C00000"/>
                <w:sz w:val="18"/>
              </w:rPr>
              <w:t>0.630</w:t>
            </w:r>
          </w:p>
        </w:tc>
        <w:tc>
          <w:tcPr>
            <w:tcW w:type="dxa" w:w="1040"/>
          </w:tcPr>
          <w:p>
            <w:pPr>
              <w:spacing w:line="240" w:lineRule="auto"/>
            </w:pPr>
            <w:r>
              <w:rPr>
                <w:rFonts w:ascii="Times New Roman" w:hAnsi="Times New Roman"/>
                <w:color w:val="C00000"/>
                <w:sz w:val="18"/>
              </w:rPr>
              <w:t>0.396</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0.579</w:t>
            </w:r>
          </w:p>
        </w:tc>
        <w:tc>
          <w:tcPr>
            <w:tcW w:type="dxa" w:w="1040"/>
          </w:tcPr>
          <w:p>
            <w:pPr>
              <w:spacing w:line="240" w:lineRule="auto"/>
            </w:pPr>
            <w:r>
              <w:rPr>
                <w:rFonts w:ascii="Times New Roman" w:hAnsi="Times New Roman"/>
                <w:sz w:val="18"/>
              </w:rPr>
              <w:t>0.570</w:t>
            </w:r>
          </w:p>
        </w:tc>
        <w:tc>
          <w:tcPr>
            <w:tcW w:type="dxa" w:w="1040"/>
          </w:tcPr>
          <w:p>
            <w:pPr>
              <w:spacing w:line="240" w:lineRule="auto"/>
            </w:pPr>
            <w:r>
              <w:rPr>
                <w:rFonts w:ascii="Times New Roman" w:hAnsi="Times New Roman"/>
                <w:sz w:val="18"/>
              </w:rPr>
              <w:t>0.535</w:t>
            </w:r>
          </w:p>
        </w:tc>
        <w:tc>
          <w:tcPr>
            <w:tcW w:type="dxa" w:w="1040"/>
          </w:tcPr>
          <w:p>
            <w:pPr>
              <w:spacing w:line="240" w:lineRule="auto"/>
            </w:pPr>
            <w:r>
              <w:rPr>
                <w:rFonts w:ascii="Times New Roman" w:hAnsi="Times New Roman"/>
                <w:sz w:val="18"/>
              </w:rPr>
              <w:t>0.290</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0.264</w:t>
            </w:r>
          </w:p>
        </w:tc>
        <w:tc>
          <w:tcPr>
            <w:tcW w:type="dxa" w:w="1040"/>
          </w:tcPr>
          <w:p>
            <w:pPr>
              <w:spacing w:line="240" w:lineRule="auto"/>
            </w:pPr>
            <w:r>
              <w:rPr>
                <w:rFonts w:ascii="Times New Roman" w:hAnsi="Times New Roman"/>
                <w:color w:val="C00000"/>
                <w:sz w:val="18"/>
              </w:rPr>
              <w:t>0.949</w:t>
            </w:r>
          </w:p>
        </w:tc>
        <w:tc>
          <w:tcPr>
            <w:tcW w:type="dxa" w:w="1040"/>
          </w:tcPr>
          <w:p>
            <w:pPr>
              <w:spacing w:line="240" w:lineRule="auto"/>
            </w:pPr>
            <w:r>
              <w:rPr>
                <w:rFonts w:ascii="Times New Roman" w:hAnsi="Times New Roman"/>
                <w:color w:val="C00000"/>
                <w:sz w:val="18"/>
              </w:rPr>
              <w:t>0.377</w:t>
            </w:r>
          </w:p>
        </w:tc>
        <w:tc>
          <w:tcPr>
            <w:tcW w:type="dxa" w:w="1040"/>
          </w:tcPr>
          <w:p>
            <w:pPr>
              <w:spacing w:line="240" w:lineRule="auto"/>
            </w:pPr>
            <w:r>
              <w:rPr>
                <w:rFonts w:ascii="Times New Roman" w:hAnsi="Times New Roman"/>
                <w:color w:val="C00000"/>
                <w:sz w:val="18"/>
              </w:rPr>
              <w:t>0.591</w:t>
            </w:r>
          </w:p>
        </w:tc>
        <w:tc>
          <w:tcPr>
            <w:tcW w:type="dxa" w:w="1040"/>
          </w:tcPr>
          <w:p>
            <w:pPr>
              <w:spacing w:line="240" w:lineRule="auto"/>
            </w:pPr>
            <w:r>
              <w:rPr>
                <w:rFonts w:ascii="Times New Roman" w:hAnsi="Times New Roman"/>
                <w:color w:val="C00000"/>
                <w:sz w:val="18"/>
              </w:rPr>
              <w:t>0.220</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full_system</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0.320</w:t>
            </w:r>
          </w:p>
        </w:tc>
        <w:tc>
          <w:tcPr>
            <w:tcW w:type="dxa" w:w="1040"/>
          </w:tcPr>
          <w:p>
            <w:pPr>
              <w:spacing w:line="240" w:lineRule="auto"/>
            </w:pPr>
            <w:r>
              <w:rPr>
                <w:rFonts w:ascii="Times New Roman" w:hAnsi="Times New Roman"/>
                <w:color w:val="C00000"/>
                <w:sz w:val="18"/>
              </w:rPr>
              <w:t>0.955</w:t>
            </w:r>
          </w:p>
        </w:tc>
        <w:tc>
          <w:tcPr>
            <w:tcW w:type="dxa" w:w="1040"/>
          </w:tcPr>
          <w:p>
            <w:pPr>
              <w:spacing w:line="240" w:lineRule="auto"/>
            </w:pPr>
            <w:r>
              <w:rPr>
                <w:rFonts w:ascii="Times New Roman" w:hAnsi="Times New Roman"/>
                <w:color w:val="C00000"/>
                <w:sz w:val="18"/>
              </w:rPr>
              <w:t>0.444</w:t>
            </w:r>
          </w:p>
        </w:tc>
        <w:tc>
          <w:tcPr>
            <w:tcW w:type="dxa" w:w="1040"/>
          </w:tcPr>
          <w:p>
            <w:pPr>
              <w:spacing w:line="240" w:lineRule="auto"/>
            </w:pPr>
            <w:r>
              <w:rPr>
                <w:rFonts w:ascii="Times New Roman" w:hAnsi="Times New Roman"/>
                <w:color w:val="C00000"/>
                <w:sz w:val="18"/>
              </w:rPr>
              <w:t>0.674</w:t>
            </w:r>
          </w:p>
        </w:tc>
        <w:tc>
          <w:tcPr>
            <w:tcW w:type="dxa" w:w="1040"/>
          </w:tcPr>
          <w:p>
            <w:pPr>
              <w:spacing w:line="240" w:lineRule="auto"/>
            </w:pPr>
            <w:r>
              <w:rPr>
                <w:rFonts w:ascii="Times New Roman" w:hAnsi="Times New Roman"/>
                <w:color w:val="C00000"/>
                <w:sz w:val="18"/>
              </w:rPr>
              <w:t>0.428</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pure_llm</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0.080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0.148</w:t>
            </w:r>
          </w:p>
        </w:tc>
        <w:tc>
          <w:tcPr>
            <w:tcW w:type="dxa" w:w="1040"/>
          </w:tcPr>
          <w:p>
            <w:pPr>
              <w:spacing w:line="240" w:lineRule="auto"/>
            </w:pPr>
            <w:r>
              <w:rPr>
                <w:rFonts w:ascii="Times New Roman" w:hAnsi="Times New Roman"/>
                <w:color w:val="C00000"/>
                <w:sz w:val="18"/>
              </w:rPr>
              <w:t>0.609</w:t>
            </w:r>
          </w:p>
        </w:tc>
        <w:tc>
          <w:tcPr>
            <w:tcW w:type="dxa" w:w="1040"/>
          </w:tcPr>
          <w:p>
            <w:pPr>
              <w:spacing w:line="240" w:lineRule="auto"/>
            </w:pPr>
            <w:r>
              <w:rPr>
                <w:rFonts w:ascii="Times New Roman" w:hAnsi="Times New Roman"/>
                <w:color w:val="C00000"/>
                <w:sz w:val="18"/>
              </w:rPr>
              <w:t>0.317</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naive_rag</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0.400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0.571</w:t>
            </w:r>
          </w:p>
        </w:tc>
        <w:tc>
          <w:tcPr>
            <w:tcW w:type="dxa" w:w="1040"/>
          </w:tcPr>
          <w:p>
            <w:pPr>
              <w:spacing w:line="240" w:lineRule="auto"/>
            </w:pPr>
            <w:r>
              <w:rPr>
                <w:rFonts w:ascii="Times New Roman" w:hAnsi="Times New Roman"/>
                <w:color w:val="C00000"/>
                <w:sz w:val="18"/>
              </w:rPr>
              <w:t>0.728</w:t>
            </w:r>
          </w:p>
        </w:tc>
        <w:tc>
          <w:tcPr>
            <w:tcW w:type="dxa" w:w="1040"/>
          </w:tcPr>
          <w:p>
            <w:pPr>
              <w:spacing w:line="240" w:lineRule="auto"/>
            </w:pPr>
            <w:r>
              <w:rPr>
                <w:rFonts w:ascii="Times New Roman" w:hAnsi="Times New Roman"/>
                <w:color w:val="C00000"/>
                <w:sz w:val="18"/>
              </w:rPr>
              <w:t>0.553</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0.240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0.387</w:t>
            </w:r>
          </w:p>
        </w:tc>
        <w:tc>
          <w:tcPr>
            <w:tcW w:type="dxa" w:w="1040"/>
          </w:tcPr>
          <w:p>
            <w:pPr>
              <w:spacing w:line="240" w:lineRule="auto"/>
            </w:pPr>
            <w:r>
              <w:rPr>
                <w:rFonts w:ascii="Times New Roman" w:hAnsi="Times New Roman"/>
                <w:color w:val="C00000"/>
                <w:sz w:val="18"/>
              </w:rPr>
              <w:t>0.674</w:t>
            </w:r>
          </w:p>
        </w:tc>
        <w:tc>
          <w:tcPr>
            <w:tcW w:type="dxa" w:w="1040"/>
          </w:tcPr>
          <w:p>
            <w:pPr>
              <w:spacing w:line="240" w:lineRule="auto"/>
            </w:pPr>
            <w:r>
              <w:rPr>
                <w:rFonts w:ascii="Times New Roman" w:hAnsi="Times New Roman"/>
                <w:color w:val="C00000"/>
                <w:sz w:val="18"/>
              </w:rPr>
              <w:t>0.428</w:t>
            </w:r>
          </w:p>
        </w:tc>
      </w:tr>
    </w:tbl>
    <w:p>
      <w:r>
        <w:rPr>
          <w:rFonts w:ascii="Times New Roman" w:hAnsi="Times New Roman"/>
          <w:b w:val="0"/>
          <w:sz w:val="18"/>
        </w:rPr>
        <w:t>Note: exact accuracy is on the three-level scale; 10-token denotes the primary comparison (non-reasoning model, 10-token cap, one call per case); 3000-token denotes the re-run (reasoning model glm-5.3-flash, 3000-token budget, temperature 0.0, majority vote over five repeated samples). full_system is deterministic and therefore identical under both settings (SD = 0). Sensitivities are computed against each dataset's gold; the 3000-token baselines assign high risk far more rarely, which raises specificity to ~1.000 while depressing sensitivity.</w:t>
      </w:r>
    </w:p>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color w:val="C00000"/>
                <w:sz w:val="18"/>
              </w:rPr>
              <w:t>All 92 (vs absorption-corrected gold)</w:t>
            </w:r>
          </w:p>
        </w:tc>
        <w:tc>
          <w:tcPr>
            <w:tcW w:type="dxa" w:w="3120"/>
          </w:tcPr>
          <w:p>
            <w:pPr>
              <w:spacing w:line="240" w:lineRule="auto"/>
            </w:pPr>
            <w:r>
              <w:rPr>
                <w:rFonts w:ascii="Times New Roman" w:hAnsi="Times New Roman"/>
                <w:color w:val="C00000"/>
                <w:sz w:val="18"/>
              </w:rPr>
              <w:t>92</w:t>
            </w:r>
          </w:p>
        </w:tc>
        <w:tc>
          <w:tcPr>
            <w:tcW w:type="dxa" w:w="3120"/>
          </w:tcPr>
          <w:p>
            <w:pPr>
              <w:spacing w:line="240" w:lineRule="auto"/>
            </w:pPr>
            <w:r>
              <w:rPr>
                <w:rFonts w:ascii="Times New Roman" w:hAnsi="Times New Roman"/>
                <w:color w:val="C00000"/>
                <w:sz w:val="18"/>
              </w:rPr>
              <w:t>62 (0.674)</w:t>
            </w:r>
          </w:p>
        </w:tc>
      </w:tr>
      <w:tr>
        <w:tc>
          <w:tcPr>
            <w:tcW w:type="dxa" w:w="3120"/>
          </w:tcPr>
          <w:p>
            <w:pPr>
              <w:spacing w:line="240" w:lineRule="auto"/>
            </w:pPr>
            <w:r>
              <w:rPr>
                <w:rFonts w:ascii="Times New Roman" w:hAnsi="Times New Roman"/>
                <w:color w:val="C00000"/>
                <w:sz w:val="18"/>
              </w:rPr>
              <w:t>All 92 (vs uncorrected DDInter severity)</w:t>
            </w:r>
          </w:p>
        </w:tc>
        <w:tc>
          <w:tcPr>
            <w:tcW w:type="dxa" w:w="3120"/>
          </w:tcPr>
          <w:p>
            <w:pPr>
              <w:spacing w:line="240" w:lineRule="auto"/>
            </w:pPr>
            <w:r>
              <w:rPr>
                <w:rFonts w:ascii="Times New Roman" w:hAnsi="Times New Roman"/>
                <w:color w:val="C00000"/>
                <w:sz w:val="18"/>
              </w:rPr>
              <w:t>92</w:t>
            </w:r>
          </w:p>
        </w:tc>
        <w:tc>
          <w:tcPr>
            <w:tcW w:type="dxa" w:w="3120"/>
          </w:tcPr>
          <w:p>
            <w:pPr>
              <w:spacing w:line="240" w:lineRule="auto"/>
            </w:pPr>
            <w:r>
              <w:rPr>
                <w:rFonts w:ascii="Times New Roman" w:hAnsi="Times New Roman"/>
                <w:color w:val="C00000"/>
                <w:sz w:val="18"/>
              </w:rPr>
              <w:t>34 (0.370)</w:t>
            </w:r>
          </w:p>
        </w:tc>
      </w:tr>
      <w:tr>
        <w:tc>
          <w:tcPr>
            <w:tcW w:type="dxa" w:w="3120"/>
          </w:tcPr>
          <w:p>
            <w:pPr>
              <w:spacing w:line="240" w:lineRule="auto"/>
            </w:pPr>
            <w:r>
              <w:rPr>
                <w:rFonts w:ascii="Times New Roman" w:hAnsi="Times New Roman"/>
                <w:color w:val="C00000"/>
                <w:sz w:val="18"/>
              </w:rPr>
              <w:t>Absorption-corrected cases (gold set to low)</w:t>
            </w:r>
          </w:p>
        </w:tc>
        <w:tc>
          <w:tcPr>
            <w:tcW w:type="dxa" w:w="3120"/>
          </w:tcPr>
          <w:p>
            <w:pPr>
              <w:spacing w:line="240" w:lineRule="auto"/>
            </w:pPr>
            <w:r>
              <w:rPr>
                <w:rFonts w:ascii="Times New Roman" w:hAnsi="Times New Roman"/>
                <w:color w:val="C00000"/>
                <w:sz w:val="18"/>
              </w:rPr>
              <w:t>30</w:t>
            </w:r>
          </w:p>
        </w:tc>
        <w:tc>
          <w:tcPr>
            <w:tcW w:type="dxa" w:w="3120"/>
          </w:tcPr>
          <w:p>
            <w:pPr>
              <w:spacing w:line="240" w:lineRule="auto"/>
            </w:pPr>
            <w:r>
              <w:rPr>
                <w:rFonts w:ascii="Times New Roman" w:hAnsi="Times New Roman"/>
                <w:color w:val="C00000"/>
                <w:sz w:val="18"/>
              </w:rPr>
              <w:t>28 (0.933)</w:t>
            </w:r>
          </w:p>
        </w:tc>
      </w:tr>
      <w:tr>
        <w:tc>
          <w:tcPr>
            <w:tcW w:type="dxa" w:w="3120"/>
          </w:tcPr>
          <w:p>
            <w:pPr>
              <w:spacing w:line="240" w:lineRule="auto"/>
            </w:pPr>
            <w:r>
              <w:rPr>
                <w:rFonts w:ascii="Times New Roman" w:hAnsi="Times New Roman"/>
                <w:color w:val="C00000"/>
                <w:sz w:val="18"/>
              </w:rPr>
              <w:t>Kept cases (third-party severity, gold = DDInter)</w:t>
            </w:r>
          </w:p>
        </w:tc>
        <w:tc>
          <w:tcPr>
            <w:tcW w:type="dxa" w:w="3120"/>
          </w:tcPr>
          <w:p>
            <w:pPr>
              <w:spacing w:line="240" w:lineRule="auto"/>
            </w:pPr>
            <w:r>
              <w:rPr>
                <w:rFonts w:ascii="Times New Roman" w:hAnsi="Times New Roman"/>
                <w:color w:val="C00000"/>
                <w:sz w:val="18"/>
              </w:rPr>
              <w:t>62</w:t>
            </w:r>
          </w:p>
        </w:tc>
        <w:tc>
          <w:tcPr>
            <w:tcW w:type="dxa" w:w="3120"/>
          </w:tcPr>
          <w:p>
            <w:pPr>
              <w:spacing w:line="240" w:lineRule="auto"/>
            </w:pPr>
            <w:r>
              <w:rPr>
                <w:rFonts w:ascii="Times New Roman" w:hAnsi="Times New Roman"/>
                <w:color w:val="C00000"/>
                <w:sz w:val="18"/>
              </w:rPr>
              <w:t>34 (0.548)</w:t>
            </w:r>
          </w:p>
        </w:tc>
      </w:tr>
    </w:tbl>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4680"/>
          </w:tcPr>
          <w:p>
            <w:pPr>
              <w:spacing w:line="240" w:lineRule="auto"/>
            </w:pPr>
            <w:r>
              <w:rPr>
                <w:rFonts w:ascii="Times New Roman" w:hAnsi="Times New Roman"/>
                <w:b/>
                <w:color w:val="C00000"/>
                <w:sz w:val="18"/>
              </w:rPr>
              <w:t>disagreement direction (vs corrected gold)</w:t>
            </w:r>
          </w:p>
        </w:tc>
        <w:tc>
          <w:tcPr>
            <w:tcW w:type="dxa" w:w="4680"/>
          </w:tcPr>
          <w:p>
            <w:pPr>
              <w:spacing w:line="240" w:lineRule="auto"/>
            </w:pPr>
            <w:r>
              <w:rPr>
                <w:rFonts w:ascii="Times New Roman" w:hAnsi="Times New Roman"/>
                <w:b/>
                <w:color w:val="C00000"/>
                <w:sz w:val="18"/>
              </w:rPr>
              <w:t>n</w:t>
            </w:r>
          </w:p>
        </w:tc>
      </w:tr>
      <w:tr>
        <w:tc>
          <w:tcPr>
            <w:tcW w:type="dxa" w:w="4680"/>
          </w:tcPr>
          <w:p>
            <w:pPr>
              <w:spacing w:line="240" w:lineRule="auto"/>
            </w:pPr>
            <w:r>
              <w:rPr>
                <w:rFonts w:ascii="Times New Roman" w:hAnsi="Times New Roman"/>
                <w:color w:val="C00000"/>
                <w:sz w:val="18"/>
              </w:rPr>
              <w:t>high-&gt;low</w:t>
            </w:r>
          </w:p>
        </w:tc>
        <w:tc>
          <w:tcPr>
            <w:tcW w:type="dxa" w:w="4680"/>
          </w:tcPr>
          <w:p>
            <w:pPr>
              <w:spacing w:line="240" w:lineRule="auto"/>
            </w:pPr>
            <w:r>
              <w:rPr>
                <w:rFonts w:ascii="Times New Roman" w:hAnsi="Times New Roman"/>
                <w:color w:val="C00000"/>
                <w:sz w:val="18"/>
              </w:rPr>
              <w:t>8</w:t>
            </w:r>
          </w:p>
        </w:tc>
      </w:tr>
      <w:tr>
        <w:tc>
          <w:tcPr>
            <w:tcW w:type="dxa" w:w="4680"/>
          </w:tcPr>
          <w:p>
            <w:pPr>
              <w:spacing w:line="240" w:lineRule="auto"/>
            </w:pPr>
            <w:r>
              <w:rPr>
                <w:rFonts w:ascii="Times New Roman" w:hAnsi="Times New Roman"/>
                <w:color w:val="C00000"/>
                <w:sz w:val="18"/>
              </w:rPr>
              <w:t>high-&gt;medium</w:t>
            </w:r>
          </w:p>
        </w:tc>
        <w:tc>
          <w:tcPr>
            <w:tcW w:type="dxa" w:w="4680"/>
          </w:tcPr>
          <w:p>
            <w:pPr>
              <w:spacing w:line="240" w:lineRule="auto"/>
            </w:pPr>
            <w:r>
              <w:rPr>
                <w:rFonts w:ascii="Times New Roman" w:hAnsi="Times New Roman"/>
                <w:color w:val="C00000"/>
                <w:sz w:val="18"/>
              </w:rPr>
              <w:t>9</w:t>
            </w:r>
          </w:p>
        </w:tc>
      </w:tr>
      <w:tr>
        <w:tc>
          <w:tcPr>
            <w:tcW w:type="dxa" w:w="4680"/>
          </w:tcPr>
          <w:p>
            <w:pPr>
              <w:spacing w:line="240" w:lineRule="auto"/>
            </w:pPr>
            <w:r>
              <w:rPr>
                <w:rFonts w:ascii="Times New Roman" w:hAnsi="Times New Roman"/>
                <w:sz w:val="18"/>
              </w:rPr>
              <w:t>medium-&gt;low</w:t>
            </w:r>
          </w:p>
        </w:tc>
        <w:tc>
          <w:tcPr>
            <w:tcW w:type="dxa" w:w="4680"/>
          </w:tcPr>
          <w:p>
            <w:pPr>
              <w:spacing w:line="240" w:lineRule="auto"/>
            </w:pPr>
            <w:r>
              <w:rPr>
                <w:rFonts w:ascii="Times New Roman" w:hAnsi="Times New Roman"/>
                <w:sz w:val="18"/>
              </w:rPr>
              <w:t>9</w:t>
            </w:r>
          </w:p>
        </w:tc>
      </w:tr>
      <w:tr>
        <w:tc>
          <w:tcPr>
            <w:tcW w:type="dxa" w:w="4680"/>
          </w:tcPr>
          <w:p>
            <w:pPr>
              <w:spacing w:line="240" w:lineRule="auto"/>
            </w:pPr>
            <w:r>
              <w:rPr>
                <w:rFonts w:ascii="Times New Roman" w:hAnsi="Times New Roman"/>
                <w:sz w:val="18"/>
              </w:rPr>
              <w:t>medium-&gt;high</w:t>
            </w:r>
          </w:p>
        </w:tc>
        <w:tc>
          <w:tcPr>
            <w:tcW w:type="dxa" w:w="4680"/>
          </w:tcPr>
          <w:p>
            <w:pPr>
              <w:spacing w:line="240" w:lineRule="auto"/>
            </w:pPr>
            <w:r>
              <w:rPr>
                <w:rFonts w:ascii="Times New Roman" w:hAnsi="Times New Roman"/>
                <w:sz w:val="18"/>
              </w:rPr>
              <w:t>2</w:t>
            </w:r>
          </w:p>
        </w:tc>
      </w:tr>
      <w:tr>
        <w:tc>
          <w:tcPr>
            <w:tcW w:type="dxa" w:w="4680"/>
          </w:tcPr>
          <w:p>
            <w:pPr>
              <w:spacing w:line="240" w:lineRule="auto"/>
            </w:pPr>
            <w:r>
              <w:rPr>
                <w:rFonts w:ascii="Times New Roman" w:hAnsi="Times New Roman"/>
                <w:sz w:val="18"/>
              </w:rPr>
              <w:t>low-&gt;medium</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sz w:val="18"/>
              </w:rPr>
              <w:t>low-&gt;high</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color w:val="C00000"/>
                <w:sz w:val="18"/>
              </w:rPr>
              <w:t>total disagreements</w:t>
            </w:r>
          </w:p>
        </w:tc>
        <w:tc>
          <w:tcPr>
            <w:tcW w:type="dxa" w:w="4680"/>
          </w:tcPr>
          <w:p>
            <w:pPr>
              <w:spacing w:line="240" w:lineRule="auto"/>
            </w:pPr>
            <w:r>
              <w:rPr>
                <w:rFonts w:ascii="Times New Roman" w:hAnsi="Times New Roman"/>
                <w:color w:val="C00000"/>
                <w:sz w:val="18"/>
              </w:rPr>
              <w:t>30</w:t>
            </w:r>
          </w:p>
        </w:tc>
      </w:tr>
    </w:tbl>
    <w:p>
      <w:r>
        <w:rPr>
          <w:rFonts w:ascii="Times New Roman" w:hAnsi="Times New Roman"/>
          <w:b w:val="0"/>
          <w:sz w:val="18"/>
        </w:rPr>
        <w:t>Note: values reflect the corrected flurbiprofen absorption tier. The four over-alerts (system grade above gold) are apraclonidine x midazolam, apraclonidine x loperamide, tacrolimus x ibuprofen and bromfenac x enalapril. The 62-case "kept" stratum is the subset whose gold is the third-party DDInter severity, so it is the only stratum free of the system's own absorption assumption; the 0.548 figure there should be read as the audit-set headline rather than 0.674. Of those 62 cases, the deposited BM25 retrieval returns the pair's own DDInter statement within the top-3 passages for 19, so the baseline figures on this stratum are partly confounded (see scripts/naive_rag_leakage_audit.py).</w:t>
      </w:r>
    </w:p>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color w:val="C00000"/>
                <w:sz w:val="18"/>
              </w:rPr>
              <w:t>case</w:t>
            </w:r>
          </w:p>
        </w:tc>
        <w:tc>
          <w:tcPr>
            <w:tcW w:type="dxa" w:w="1337"/>
          </w:tcPr>
          <w:p>
            <w:pPr>
              <w:spacing w:line="240" w:lineRule="auto"/>
            </w:pPr>
            <w:r>
              <w:rPr>
                <w:rFonts w:ascii="Times New Roman" w:hAnsi="Times New Roman"/>
                <w:b/>
                <w:color w:val="C00000"/>
                <w:sz w:val="18"/>
              </w:rPr>
              <w:t>ophthalmic</w:t>
            </w:r>
          </w:p>
        </w:tc>
        <w:tc>
          <w:tcPr>
            <w:tcW w:type="dxa" w:w="1337"/>
          </w:tcPr>
          <w:p>
            <w:pPr>
              <w:spacing w:line="240" w:lineRule="auto"/>
            </w:pPr>
            <w:r>
              <w:rPr>
                <w:rFonts w:ascii="Times New Roman" w:hAnsi="Times New Roman"/>
                <w:b/>
                <w:color w:val="C00000"/>
                <w:sz w:val="18"/>
              </w:rPr>
              <w:t>systemic</w:t>
            </w:r>
          </w:p>
        </w:tc>
        <w:tc>
          <w:tcPr>
            <w:tcW w:type="dxa" w:w="1337"/>
          </w:tcPr>
          <w:p>
            <w:pPr>
              <w:spacing w:line="240" w:lineRule="auto"/>
            </w:pPr>
            <w:r>
              <w:rPr>
                <w:rFonts w:ascii="Times New Roman" w:hAnsi="Times New Roman"/>
                <w:b/>
                <w:color w:val="C00000"/>
                <w:sz w:val="18"/>
              </w:rPr>
              <w:t>gold shown</w:t>
            </w:r>
          </w:p>
        </w:tc>
        <w:tc>
          <w:tcPr>
            <w:tcW w:type="dxa" w:w="1337"/>
          </w:tcPr>
          <w:p>
            <w:pPr>
              <w:spacing w:line="240" w:lineRule="auto"/>
            </w:pPr>
            <w:r>
              <w:rPr>
                <w:rFonts w:ascii="Times New Roman" w:hAnsi="Times New Roman"/>
                <w:b/>
                <w:color w:val="C00000"/>
                <w:sz w:val="18"/>
              </w:rPr>
              <w:t>system shown</w:t>
            </w:r>
          </w:p>
        </w:tc>
        <w:tc>
          <w:tcPr>
            <w:tcW w:type="dxa" w:w="1337"/>
          </w:tcPr>
          <w:p>
            <w:pPr>
              <w:spacing w:line="240" w:lineRule="auto"/>
            </w:pPr>
            <w:r>
              <w:rPr>
                <w:rFonts w:ascii="Times New Roman" w:hAnsi="Times New Roman"/>
                <w:b/>
                <w:color w:val="C00000"/>
                <w:sz w:val="18"/>
              </w:rPr>
              <w:t>expert1</w:t>
            </w:r>
          </w:p>
        </w:tc>
        <w:tc>
          <w:tcPr>
            <w:tcW w:type="dxa" w:w="1337"/>
          </w:tcPr>
          <w:p>
            <w:pPr>
              <w:spacing w:line="240" w:lineRule="auto"/>
            </w:pPr>
            <w:r>
              <w:rPr>
                <w:rFonts w:ascii="Times New Roman" w:hAnsi="Times New Roman"/>
                <w:b/>
                <w:color w:val="C00000"/>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color w:val="C00000"/>
                <w:sz w:val="18"/>
              </w:rPr>
              <w:t>R03</w:t>
            </w:r>
          </w:p>
        </w:tc>
        <w:tc>
          <w:tcPr>
            <w:tcW w:type="dxa" w:w="1337"/>
          </w:tcPr>
          <w:p>
            <w:pPr>
              <w:spacing w:line="240" w:lineRule="auto"/>
            </w:pPr>
            <w:r>
              <w:rPr>
                <w:rFonts w:ascii="Times New Roman" w:hAnsi="Times New Roman"/>
                <w:color w:val="C00000"/>
                <w:sz w:val="18"/>
              </w:rPr>
              <w:t>Dexamethasone</w:t>
            </w:r>
          </w:p>
        </w:tc>
        <w:tc>
          <w:tcPr>
            <w:tcW w:type="dxa" w:w="1337"/>
          </w:tcPr>
          <w:p>
            <w:pPr>
              <w:spacing w:line="240" w:lineRule="auto"/>
            </w:pPr>
            <w:r>
              <w:rPr>
                <w:rFonts w:ascii="Times New Roman" w:hAnsi="Times New Roman"/>
                <w:color w:val="C00000"/>
                <w:sz w:val="18"/>
              </w:rPr>
              <w:t>Rifampicin</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low</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color w:val="C00000"/>
                <w:sz w:val="18"/>
              </w:rPr>
              <w:t>R10</w:t>
            </w:r>
          </w:p>
        </w:tc>
        <w:tc>
          <w:tcPr>
            <w:tcW w:type="dxa" w:w="1337"/>
          </w:tcPr>
          <w:p>
            <w:pPr>
              <w:spacing w:line="240" w:lineRule="auto"/>
            </w:pPr>
            <w:r>
              <w:rPr>
                <w:rFonts w:ascii="Times New Roman" w:hAnsi="Times New Roman"/>
                <w:color w:val="C00000"/>
                <w:sz w:val="18"/>
              </w:rPr>
              <w:t>Fluorometholone</w:t>
            </w:r>
          </w:p>
        </w:tc>
        <w:tc>
          <w:tcPr>
            <w:tcW w:type="dxa" w:w="1337"/>
          </w:tcPr>
          <w:p>
            <w:pPr>
              <w:spacing w:line="240" w:lineRule="auto"/>
            </w:pPr>
            <w:r>
              <w:rPr>
                <w:rFonts w:ascii="Times New Roman" w:hAnsi="Times New Roman"/>
                <w:color w:val="C00000"/>
                <w:sz w:val="18"/>
              </w:rPr>
              <w:t>Prednisone</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low</w:t>
            </w:r>
          </w:p>
        </w:tc>
      </w:tr>
      <w:tr>
        <w:tc>
          <w:tcPr>
            <w:tcW w:type="dxa" w:w="1337"/>
          </w:tcPr>
          <w:p>
            <w:pPr>
              <w:spacing w:line="240" w:lineRule="auto"/>
            </w:pPr>
            <w:r>
              <w:rPr>
                <w:rFonts w:ascii="Times New Roman" w:hAnsi="Times New Roman"/>
                <w:color w:val="C00000"/>
                <w:sz w:val="18"/>
              </w:rPr>
              <w:t>R11</w:t>
            </w:r>
          </w:p>
        </w:tc>
        <w:tc>
          <w:tcPr>
            <w:tcW w:type="dxa" w:w="1337"/>
          </w:tcPr>
          <w:p>
            <w:pPr>
              <w:spacing w:line="240" w:lineRule="auto"/>
            </w:pPr>
            <w:r>
              <w:rPr>
                <w:rFonts w:ascii="Times New Roman" w:hAnsi="Times New Roman"/>
                <w:color w:val="C00000"/>
                <w:sz w:val="18"/>
              </w:rPr>
              <w:t>Fluorometholone</w:t>
            </w:r>
          </w:p>
        </w:tc>
        <w:tc>
          <w:tcPr>
            <w:tcW w:type="dxa" w:w="1337"/>
          </w:tcPr>
          <w:p>
            <w:pPr>
              <w:spacing w:line="240" w:lineRule="auto"/>
            </w:pPr>
            <w:r>
              <w:rPr>
                <w:rFonts w:ascii="Times New Roman" w:hAnsi="Times New Roman"/>
                <w:color w:val="C00000"/>
                <w:sz w:val="18"/>
              </w:rPr>
              <w:t>Glimepiride</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r>
        <w:rPr>
          <w:rFonts w:ascii="Times New Roman" w:hAnsi="Times New Roman"/>
          <w:b w:val="0"/>
          <w:sz w:val="18"/>
        </w:rPr>
        <w:t>Note: system shown is the system grade displayed on the questionnaire the experts graded, which is the correct comparator for expert-system agreement. It is the value the engine returned at the time for R01-R09 and R12; for R10 and R11 the engine has since been changed (the displayed grade was medium, the current engine returns low). Expert values are transcribed from the returned questionnaires: expert 1's form is deposited as a scan, expert 2's responses were returned in text. R03 is recorded here as low/low; an earlier version of this table listed medium/medium in error, and the kappa values reported in the manuscript are computed from the values in this table.</w:t>
      </w:r>
    </w:p>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2648197"/>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2648197"/>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color w:val="C00000"/>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color w:val="C00000"/>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color w:val="C00000"/>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color w:val="C00000"/>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p>
      <w:pPr>
        <w:pStyle w:val="BodyText"/>
        <w:spacing w:line="480" w:lineRule="auto"/>
      </w:pPr>
      <w:r>
        <w:rPr>
          <w:rFonts w:ascii="Times New Roman" w:hAnsi="Times New Roman"/>
          <w:color w:val="C00000"/>
        </w:rPr>
        <w:t xml:space="preserve">[N1] Korte JM, Kaila T, Saari KM. Systemic bioavailability and cardiopulmonary effects of 0.25%, 0.5%, and 1% timolol eyedrops. Graefes Arch Clin Exp Ophthalmol. 2002;240(6):430-435. doi: 10.1007/s00417-002-0462-2</w:t>
      </w:r>
      <w:r>
        <w:rPr>
          <w:rFonts w:ascii="Times New Roman" w:hAnsi="Times New Roman"/>
          <w:color w:val="C00000"/>
        </w:rPr>
        <w:t xml:space="preserve"> </w:t>
      </w:r>
      <w:r>
        <w:rPr>
          <w:rFonts w:ascii="Times New Roman" w:hAnsi="Times New Roman"/>
          <w:color w:val="C00000"/>
        </w:rPr>
        <w:t xml:space="preserve">[N2] Tian S, Wang N, Yang Z, Li Y, Xiong G, Wang L, et al. DDInter 2.0: an enhanced drug-drug interaction database for precision medicine. Nucleic Acids Res. 2025. doi: 10.1093/nar/gkae726</w:t>
      </w:r>
    </w:p>
    <w:bookmarkEnd w:id="58"/>
    <w:bookmarkEnd w:id="59"/>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2026-10-04T18:16:22Z</dcterms:created>
  <dcterms:modified xsi:type="dcterms:W3CDTF">2026-10-04T18:16:22Z</dcterms:modified>
</cp:coreProperties>
</file>

<file path=docProps/custom.xml><?xml version="1.0" encoding="utf-8"?>
<Properties xmlns="http://schemas.openxmlformats.org/officeDocument/2006/custom-properties" xmlns:vt="http://schemas.openxmlformats.org/officeDocument/2006/docPropsVTypes"/>
</file>