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color w:val="C00000"/>
        </w:rPr>
        <w:t>Wang Guoqing, M.D.¹; Hu Lumei, M.D.¹; Wang Shaocheng, M.D.³; Yi Xianglong, M.D., Ph.D.¹²*</w:t>
      </w:r>
    </w:p>
    <w:p>
      <w:pPr>
        <w:spacing w:line="480" w:lineRule="auto"/>
      </w:pPr>
    </w:p>
    <w:p>
      <w:pPr>
        <w:spacing w:line="480" w:lineRule="auto"/>
      </w:pPr>
      <w:r>
        <w:rPr>
          <w:rFonts w:ascii="Times New Roman" w:hAnsi="Times New Roman"/>
          <w:color w:val="C00000"/>
        </w:rPr>
        <w:t>¹ Department of Ophthalmology, The First Affiliated Hospital of Xinjiang Medical University, Urumqi, Xinjiang, China</w:t>
      </w:r>
    </w:p>
    <w:p>
      <w:pPr>
        <w:spacing w:line="480" w:lineRule="auto"/>
      </w:pPr>
      <w:r>
        <w:rPr>
          <w:rFonts w:ascii="Times New Roman" w:hAnsi="Times New Roman"/>
          <w:color w:val="C00000"/>
        </w:rPr>
        <w:t>² Xinjiang Medical University, Urumqi, Xinjiang, China</w:t>
      </w:r>
    </w:p>
    <w:p>
      <w:pPr>
        <w:spacing w:line="480" w:lineRule="auto"/>
      </w:pPr>
      <w:r>
        <w:rPr>
          <w:rFonts w:ascii="Times New Roman" w:hAnsi="Times New Roman"/>
          <w:color w:val="C00000"/>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color w:val="C00000"/>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color w:val="C00000"/>
        </w:rPr>
        <w:t>E-mail: yixianglong1010@163.com</w:t>
      </w:r>
    </w:p>
    <w:p>
      <w:pPr>
        <w:spacing w:line="480" w:lineRule="auto"/>
      </w:pPr>
      <w:r>
        <w:rPr>
          <w:rFonts w:ascii="Times New Roman" w:hAnsi="Times New Roman"/>
          <w:color w:val="C00000"/>
        </w:rPr>
        <w:t>Wang Guoqing, M.D., Resident Physician; E-mail: 17690924120@163.com</w:t>
      </w:r>
    </w:p>
    <w:p>
      <w:pPr>
        <w:spacing w:line="480" w:lineRule="auto"/>
      </w:pPr>
      <w:r>
        <w:rPr>
          <w:rFonts w:ascii="Times New Roman" w:hAnsi="Times New Roman"/>
          <w:color w:val="C00000"/>
        </w:rPr>
        <w:t>Hu Lumei, M.D., Department of Ophthalmology, The First Affiliated Hospital of Xinjiang Medical University; E-mail: 1301161825@qq.com</w:t>
      </w:r>
    </w:p>
    <w:p>
      <w:pPr>
        <w:spacing w:line="480" w:lineRule="auto"/>
      </w:pPr>
      <w:r>
        <w:rPr>
          <w:rFonts w:ascii="Times New Roman" w:hAnsi="Times New Roman"/>
          <w:color w:val="C00000"/>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color w:val="C00000"/>
        </w:rPr>
        <w:t xml:space="preserve">Background.</w:t>
      </w:r>
      <w:r>
        <w:rPr>
          <w:rFonts w:ascii="Times New Roman" w:hAnsi="Times New Roman"/>
          <w:color w:val="C00000"/>
        </w:rPr>
        <w:t xml:space="preserve"> </w:t>
      </w:r>
      <w:r>
        <w:rPr>
          <w:rFonts w:ascii="Times New Roman" w:hAnsi="Times New Roman"/>
          <w:color w:val="C00000"/>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color w:val="C00000"/>
        </w:rPr>
        <w:t xml:space="preserve">Results.</w:t>
      </w:r>
      <w:r>
        <w:rPr>
          <w:rFonts w:ascii="Times New Roman" w:hAnsi="Times New Roman"/>
          <w:color w:val="C00000"/>
        </w:rPr>
        <w:t xml:space="preserve"> </w:t>
      </w:r>
      <w:r>
        <w:rPr>
          <w:rFonts w:ascii="Times New Roman" w:hAnsi="Times New Roman"/>
          <w:color w:val="C00000"/>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with each other (kappa 0.840) yet did not endorse the assigned grades, rating 10 of 12 cases one tier lower; because the questionnaire displayed both grades and the system reproduced its gold, this exercise is not an independent validation and is reported as such.</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color w:val="C00000"/>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Alvan et al. measured plasma concentrations after ocular administration [1], and Rait notes that systemic absorption occurs in relatively small amounts but is clinically consequential in susceptible patients [2]. (An earlier version cited these two references for an</w:t>
      </w:r>
      <w:r>
        <w:rPr>
          <w:rFonts w:ascii="Times New Roman" w:hAnsi="Times New Roman"/>
          <w:color w:val="C00000"/>
        </w:rPr>
        <w:t xml:space="preserve"> </w:t>
      </w:r>
      <w:r>
        <w:rPr>
          <w:rFonts w:ascii="Times New Roman" w:hAnsi="Times New Roman"/>
          <w:color w:val="C00000"/>
        </w:rPr>
        <w:t xml:space="preserve">“approximately 80%”</w:t>
      </w:r>
      <w:r>
        <w:rPr>
          <w:rFonts w:ascii="Times New Roman" w:hAnsi="Times New Roman"/>
          <w:color w:val="C00000"/>
        </w:rPr>
        <w:t xml:space="preserve"> </w:t>
      </w:r>
      <w:r>
        <w:rPr>
          <w:rFonts w:ascii="Times New Roman" w:hAnsi="Times New Roman"/>
          <w:color w:val="C00000"/>
        </w:rPr>
        <w:t xml:space="preserve">bioavailability figure; neither reports it. That order of magnitude is supported by Korte et al. [N1], cited below.)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color w:val="C00000"/>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source-traceable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on the 12-case expert review the experts disagreed with the assigned grades about one tier lower on 10 of 12 cases, and the same near-zero agreement appears against both the system and its gold because the system reproduced that gold. Fourth, we report the evaluation in a form that can be audited and re-run: a four-phase protocol (rule consistency, development-phase validation, a semi-independent external audit, and a clinical grade review (not an independent validation; see Section 4.4))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color w:val="C00000"/>
        </w:rPr>
        <w:t xml:space="preserve">Evidence and gold labels were derived from multiple sources. DDInter 2.0, a curated database of 302,516 DDI records [N2].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color w:val="C00000"/>
        </w:rPr>
        <w:t xml:space="preserve">L2 class matrix.</w:t>
      </w:r>
      <w:r>
        <w:rPr>
          <w:rFonts w:ascii="Times New Roman" w:hAnsi="Times New Roman"/>
          <w:color w:val="C00000"/>
        </w:rPr>
        <w:t xml:space="preserve"> </w:t>
      </w:r>
      <w:r>
        <w:rPr>
          <w:rFonts w:ascii="Times New Roman" w:hAnsi="Times New Roman"/>
          <w:color w:val="C00000"/>
        </w:rPr>
        <w:t xml:space="preserve">A drug-class matrix relates ophthalmic drug classes to systemic drug classes. The released configuration declares 21 ophthalmic row keys and 40 systemic column keys, of which 34 columns are used, and assigns a level to 104 cells, of which 83 carry an actionable grade (high/medium/low) and 21 are explicitly marked</w:t>
      </w:r>
      <w:r>
        <w:rPr>
          <w:rFonts w:ascii="Times New Roman" w:hAnsi="Times New Roman"/>
          <w:color w:val="C00000"/>
        </w:rPr>
        <w:t xml:space="preserve"> </w:t>
      </w:r>
      <w:r>
        <w:rPr>
          <w:rFonts w:ascii="Times New Roman" w:hAnsi="Times New Roman"/>
          <w:color w:val="C00000"/>
        </w:rPr>
        <w:t xml:space="preserve">“none”</w:t>
      </w:r>
      <w:r>
        <w:rPr>
          <w:rFonts w:ascii="Times New Roman" w:hAnsi="Times New Roman"/>
          <w:color w:val="C00000"/>
        </w:rPr>
        <w:t xml:space="preserve"> </w:t>
      </w:r>
      <w:r>
        <w:rPr>
          <w:rFonts w:ascii="Times New Roman" w:hAnsi="Times New Roman"/>
          <w:color w:val="C00000"/>
        </w:rPr>
        <w:t xml:space="preserve">and ignored by the engine;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color w:val="C00000"/>
        </w:rPr>
        <w:t xml:space="preserve"> </w:t>
      </w:r>
      <w:r>
        <w:rPr>
          <w:rFonts w:ascii="Times New Roman" w:hAnsi="Times New Roman"/>
          <w:b/>
          <w:bCs/>
          <w:color w:val="C00000"/>
        </w:rPr>
        <w:t xml:space="preserve">not empirically validated</w:t>
      </w:r>
      <w:r>
        <w:rPr>
          <w:rFonts w:ascii="Times New Roman" w:hAnsi="Times New Roman"/>
          <w:color w:val="C00000"/>
        </w:rPr>
        <w:t xml:space="preserve"> </w:t>
      </w:r>
      <w:r>
        <w:rPr>
          <w:rFonts w:ascii="Times New Roman" w:hAnsi="Times New Roman"/>
          <w:color w:val="C00000"/>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83 graded class pairs for which a mechanism or an absorption-based expectation exists (21 further cells are marked</w:t>
      </w:r>
      <w:r>
        <w:rPr>
          <w:rFonts w:ascii="Times New Roman" w:hAnsi="Times New Roman"/>
          <w:color w:val="C00000"/>
        </w:rPr>
        <w:t xml:space="preserve"> </w:t>
      </w:r>
      <w:r>
        <w:rPr>
          <w:rFonts w:ascii="Times New Roman" w:hAnsi="Times New Roman"/>
          <w:color w:val="C00000"/>
        </w:rPr>
        <w:t xml:space="preserve">“none”</w:t>
      </w:r>
      <w:r>
        <w:rPr>
          <w:rFonts w:ascii="Times New Roman" w:hAnsi="Times New Roman"/>
          <w:color w:val="C00000"/>
        </w:rPr>
        <w:t xml:space="preserve"> </w:t>
      </w:r>
      <w:r>
        <w:rPr>
          <w:rFonts w:ascii="Times New Roman" w:hAnsi="Times New Roman"/>
          <w:color w:val="C00000"/>
        </w:rPr>
        <w:t xml:space="preserve">to record that the pair was reviewed and needs no action), and any pair that reaches neither a rule nor a defined cell falls through to the L3 default-low path rather than receiving an interpolated grade.</w:t>
      </w:r>
      <w:r>
        <w:rPr>
          <w:rFonts w:ascii="Times New Roman" w:hAnsi="Times New Roman"/>
          <w:color w:val="C00000"/>
        </w:rPr>
        <w:t xml:space="preserve"> </w:t>
      </w:r>
      <w:r>
        <w:rPr>
          <w:rFonts w:ascii="Times New Roman" w:hAnsi="Times New Roman"/>
          <w:b/>
          <w:bCs/>
          <w:color w:val="C00000"/>
        </w:rPr>
        <w:t xml:space="preserve">Layer scope of the class mapping:</w:t>
      </w:r>
      <w:r>
        <w:rPr>
          <w:rFonts w:ascii="Times New Roman" w:hAnsi="Times New Roman"/>
          <w:color w:val="C00000"/>
        </w:rPr>
        <w:t xml:space="preserve"> </w:t>
      </w:r>
      <w:r>
        <w:rPr>
          <w:rFonts w:ascii="Times New Roman" w:hAnsi="Times New Roman"/>
          <w:color w:val="C00000"/>
        </w:rPr>
        <w:t xml:space="preserve">the drug-to-class mapping (113 ophthalmic agents, 232 systemic agents;</w:t>
      </w:r>
      <w:r>
        <w:rPr>
          <w:rFonts w:ascii="Times New Roman" w:hAnsi="Times New Roman"/>
          <w:color w:val="C00000"/>
        </w:rPr>
        <w:t xml:space="preserve"> </w:t>
      </w:r>
      <w:r>
        <w:rPr>
          <w:rStyle w:val="VerbatimChar"/>
          <w:rFonts w:ascii="Times New Roman" w:hAnsi="Times New Roman"/>
          <w:color w:val="C00000"/>
        </w:rPr>
        <w:t xml:space="preserve">configs/drug_classes.yaml</w:t>
      </w:r>
      <w:r>
        <w:rPr>
          <w:rFonts w:ascii="Times New Roman" w:hAnsi="Times New Roman"/>
          <w:color w:val="C00000"/>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color w:val="C00000"/>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color w:val="C00000"/>
        </w:rPr>
        <w:t xml:space="preserve"> </w:t>
      </w:r>
      <w:r>
        <w:rPr>
          <w:rFonts w:ascii="Times New Roman" w:hAnsi="Times New Roman"/>
          <w:b/>
          <w:bCs/>
          <w:color w:val="C00000"/>
        </w:rPr>
        <w:t xml:space="preserve">Absorption tiers and their definition.</w:t>
      </w:r>
      <w:r>
        <w:rPr>
          <w:rFonts w:ascii="Times New Roman" w:hAnsi="Times New Roman"/>
          <w:color w:val="C00000"/>
        </w:rPr>
        <w:t xml:space="preserve"> </w:t>
      </w:r>
      <w:r>
        <w:rPr>
          <w:rFonts w:ascii="Times New Roman" w:hAnsi="Times New Roman"/>
          <w:color w:val="C00000"/>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color w:val="C00000"/>
        </w:rPr>
        <w:t xml:space="preserve"> </w:t>
      </w:r>
      <w:r>
        <w:rPr>
          <w:rFonts w:ascii="Times New Roman" w:hAnsi="Times New Roman"/>
          <w:b/>
          <w:bCs/>
          <w:color w:val="C00000"/>
        </w:rPr>
        <w:t xml:space="preserve">six</w:t>
      </w:r>
      <w:r>
        <w:rPr>
          <w:rFonts w:ascii="Times New Roman" w:hAnsi="Times New Roman"/>
          <w:color w:val="C00000"/>
        </w:rPr>
        <w:t xml:space="preserve"> </w:t>
      </w:r>
      <w:r>
        <w:rPr>
          <w:rFonts w:ascii="Times New Roman" w:hAnsi="Times New Roman"/>
          <w:color w:val="C00000"/>
        </w:rPr>
        <w:t xml:space="preserve">tier values, not the four used in earlier descriptions of this work:</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systemic_absorption_medium</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minimal_systemic_absorption</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systemic_absorption_none</w:t>
      </w:r>
      <w:r>
        <w:rPr>
          <w:rFonts w:ascii="Times New Roman" w:hAnsi="Times New Roman"/>
          <w:color w:val="C00000"/>
        </w:rPr>
        <w:t xml:space="preserve"> </w:t>
      </w:r>
      <w:r>
        <w:rPr>
          <w:rFonts w:ascii="Times New Roman" w:hAnsi="Times New Roman"/>
          <w:color w:val="C00000"/>
        </w:rPr>
        <w:t xml:space="preserve">(113 agents: 15 high, 17 medium, 61 low, 9 very-low, 7 minimal, 4 none). The L3 hard constraint fires on two of these values,</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 as implemented in</w:t>
      </w:r>
      <w:r>
        <w:rPr>
          <w:rFonts w:ascii="Times New Roman" w:hAnsi="Times New Roman"/>
          <w:color w:val="C00000"/>
        </w:rPr>
        <w:t xml:space="preserve"> </w:t>
      </w:r>
      <w:r>
        <w:rPr>
          <w:rStyle w:val="VerbatimChar"/>
          <w:rFonts w:ascii="Times New Roman" w:hAnsi="Times New Roman"/>
          <w:color w:val="C00000"/>
        </w:rPr>
        <w:t xml:space="preserve">kg_layer.py</w:t>
      </w:r>
      <w:r>
        <w:rPr>
          <w:rFonts w:ascii="Times New Roman" w:hAnsi="Times New Roman"/>
          <w:color w:val="C00000"/>
        </w:rPr>
        <w:t xml:space="preserve">; the remaining four values preserve the assigned level. (Section 2.2 and Section 4.2 of the previous revision stated that four tiers were tested; the code tests two. The final grades are unaffected because the other low-exposure values are already mapped to low risk within the matrix layer.) The tier is a</w:t>
      </w:r>
      <w:r>
        <w:rPr>
          <w:rFonts w:ascii="Times New Roman" w:hAnsi="Times New Roman"/>
          <w:color w:val="C00000"/>
        </w:rPr>
        <w:t xml:space="preserve"> </w:t>
      </w:r>
      <w:r>
        <w:rPr>
          <w:rFonts w:ascii="Times New Roman" w:hAnsi="Times New Roman"/>
          <w:b/>
          <w:bCs/>
          <w:color w:val="C00000"/>
        </w:rPr>
        <w:t xml:space="preserve">categorical assignment, not a measured quantity</w:t>
      </w:r>
      <w:r>
        <w:rPr>
          <w:rFonts w:ascii="Times New Roman" w:hAnsi="Times New Roman"/>
          <w:color w:val="C00000"/>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that has now been corrected (flurbiprofen was tiered high in the registry while the curation file recorded low for the same evidence sources; it is tiered low as of this revision),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is Supplementary Table S5.</w:t>
      </w:r>
      <w:r>
        <w:rPr>
          <w:rFonts w:ascii="Times New Roman" w:hAnsi="Times New Roman"/>
          <w:color w:val="C00000"/>
        </w:rPr>
        <w:t xml:space="preserve"> </w:t>
      </w:r>
      <w:r>
        <w:rPr>
          <w:rFonts w:ascii="Times New Roman" w:hAnsi="Times New Roman"/>
          <w:b/>
          <w:bCs/>
          <w:color w:val="C00000"/>
        </w:rPr>
        <w:t xml:space="preserve">The table’s source column does not evidence the tiers individually:</w:t>
      </w:r>
      <w:r>
        <w:rPr>
          <w:rFonts w:ascii="Times New Roman" w:hAnsi="Times New Roman"/>
          <w:color w:val="C00000"/>
        </w:rPr>
        <w:t xml:space="preserve"> </w:t>
      </w:r>
      <w:r>
        <w:rPr>
          <w:rFonts w:ascii="Times New Roman" w:hAnsi="Times New Roman"/>
          <w:color w:val="C00000"/>
        </w:rPr>
        <w:t xml:space="preserve">all 113 rows record the same string (</w:t>
      </w:r>
      <w:r>
        <w:rPr>
          <w:rStyle w:val="VerbatimChar"/>
          <w:rFonts w:ascii="Times New Roman" w:hAnsi="Times New Roman"/>
          <w:color w:val="C00000"/>
        </w:rPr>
        <w:t xml:space="preserve">DrugBank DBxxxxx|PubMed</w:t>
      </w:r>
      <w:r>
        <w:rPr>
          <w:rFonts w:ascii="Times New Roman" w:hAnsi="Times New Roman"/>
          <w:color w:val="C00000"/>
        </w:rPr>
        <w:t xml:space="preserve">, with PubMed as a bare word and no identifier), and individual source records are named in this section for timolol [1,27] and for atropine and dexamethasone [29] only. The remaining tiers are the study team’s curation assignment; Table S5 marks this explicitly so the support behind each row is not overstated.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color w:val="C00000"/>
        </w:rPr>
        <w:t xml:space="preserve">L1 literature-derived gold (118 cases). Gold labels were constructed by the study team from authoritative sources, without reference to system outputs, following the data-selection principle set out in Section 2.1.</w:t>
      </w:r>
      <w:r>
        <w:rPr>
          <w:rFonts w:ascii="Times New Roman" w:hAnsi="Times New Roman"/>
          <w:color w:val="C00000"/>
        </w:rPr>
        <w:t xml:space="preserve"> </w:t>
      </w:r>
      <w:r>
        <w:rPr>
          <w:rFonts w:ascii="Times New Roman" w:hAnsi="Times New Roman"/>
          <w:b/>
          <w:bCs/>
          <w:color w:val="C00000"/>
        </w:rPr>
        <w:t xml:space="preserve">Selection criteria.</w:t>
      </w:r>
      <w:r>
        <w:rPr>
          <w:rFonts w:ascii="Times New Roman" w:hAnsi="Times New Roman"/>
          <w:color w:val="C00000"/>
        </w:rPr>
        <w:t xml:space="preserve"> </w:t>
      </w:r>
      <w:r>
        <w:rPr>
          <w:rFonts w:ascii="Times New Roman" w:hAnsi="Times New Roman"/>
          <w:color w:val="C00000"/>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color w:val="C00000"/>
        </w:rPr>
        <w:t xml:space="preserve"> </w:t>
      </w:r>
      <w:r>
        <w:rPr>
          <w:rFonts w:ascii="Times New Roman" w:hAnsi="Times New Roman"/>
          <w:b/>
          <w:bCs/>
          <w:color w:val="C00000"/>
        </w:rPr>
        <w:t xml:space="preserve">To be explicit about who constructed the gold:</w:t>
      </w:r>
      <w:r>
        <w:rPr>
          <w:rFonts w:ascii="Times New Roman" w:hAnsi="Times New Roman"/>
          <w:color w:val="C00000"/>
        </w:rPr>
        <w:t xml:space="preserve"> </w:t>
      </w:r>
      <w:r>
        <w:rPr>
          <w:rFonts w:ascii="Times New Roman" w:hAnsi="Times New Roman"/>
          <w:color w:val="C00000"/>
        </w:rPr>
        <w:t xml:space="preserve">the gold was constructed by the two authors of the original submission (GW and YX), who performed the curation and annotation. The two authors added during revision (HL and WS) contributed clinical input and interpretation of the results and reviewed the manuscript, but did not construct the gold and did not take part in the expert grade review.</w:t>
      </w:r>
      <w:r>
        <w:rPr>
          <w:rFonts w:ascii="Times New Roman" w:hAnsi="Times New Roman"/>
          <w:color w:val="C00000"/>
        </w:rPr>
        <w:t xml:space="preserve"> </w:t>
      </w:r>
      <w:r>
        <w:rPr>
          <w:rFonts w:ascii="Times New Roman" w:hAnsi="Times New Roman"/>
          <w:color w:val="C00000"/>
        </w:rPr>
        <w:t xml:space="preserve">“No human expert participated in gold construction”</w:t>
      </w:r>
      <w:r>
        <w:rPr>
          <w:rFonts w:ascii="Times New Roman" w:hAnsi="Times New Roman"/>
          <w:color w:val="C00000"/>
        </w:rPr>
        <w:t xml:space="preserve"> </w:t>
      </w:r>
      <w:r>
        <w:rPr>
          <w:rFonts w:ascii="Times New Roman" w:hAnsi="Times New Roman"/>
          <w:color w:val="C00000"/>
        </w:rPr>
        <w:t xml:space="preserve">therefore means that no</w:t>
      </w:r>
      <w:r>
        <w:rPr>
          <w:rFonts w:ascii="Times New Roman" w:hAnsi="Times New Roman"/>
          <w:color w:val="C00000"/>
        </w:rPr>
        <w:t xml:space="preserve"> </w:t>
      </w:r>
      <w:r>
        <w:rPr>
          <w:rFonts w:ascii="Times New Roman" w:hAnsi="Times New Roman"/>
          <w:i/>
          <w:iCs/>
          <w:color w:val="C00000"/>
        </w:rPr>
        <w:t xml:space="preserve">independent</w:t>
      </w:r>
      <w:r>
        <w:rPr>
          <w:rFonts w:ascii="Times New Roman" w:hAnsi="Times New Roman"/>
          <w:color w:val="C00000"/>
        </w:rPr>
        <w:t xml:space="preserve"> </w:t>
      </w:r>
      <w:r>
        <w:rPr>
          <w:rFonts w:ascii="Times New Roman" w:hAnsi="Times New Roman"/>
          <w:color w:val="C00000"/>
        </w:rPr>
        <w:t xml:space="preserve">expert was involved; none of the expert opinion used here was blinded to the system.</w:t>
      </w:r>
      <w:r>
        <w:rPr>
          <w:rFonts w:ascii="Times New Roman" w:hAnsi="Times New Roman"/>
          <w:color w:val="C00000"/>
        </w:rPr>
        <w:t xml:space="preserve"> </w:t>
      </w:r>
      <w:r>
        <w:rPr>
          <w:rFonts w:ascii="Times New Roman" w:hAnsi="Times New Roman"/>
          <w:b/>
          <w:bCs/>
          <w:color w:val="C00000"/>
        </w:rPr>
        <w:t xml:space="preserve">How the gold shares sources with the rules:</w:t>
      </w:r>
      <w:r>
        <w:rPr>
          <w:rFonts w:ascii="Times New Roman" w:hAnsi="Times New Roman"/>
          <w:color w:val="C00000"/>
        </w:rPr>
        <w:t xml:space="preserve"> </w:t>
      </w:r>
      <w:r>
        <w:rPr>
          <w:rFonts w:ascii="Times New Roman" w:hAnsi="Times New Roman"/>
          <w:color w:val="C00000"/>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color w:val="C00000"/>
        </w:rPr>
        <w:t xml:space="preserve"> </w:t>
      </w:r>
      <w:r>
        <w:rPr>
          <w:rFonts w:ascii="Times New Roman" w:hAnsi="Times New Roman"/>
          <w:b/>
          <w:bCs/>
          <w:color w:val="C00000"/>
        </w:rPr>
        <w:t xml:space="preserve">Contradictory evidence:</w:t>
      </w:r>
      <w:r>
        <w:rPr>
          <w:rFonts w:ascii="Times New Roman" w:hAnsi="Times New Roman"/>
          <w:color w:val="C00000"/>
        </w:rPr>
        <w:t xml:space="preserve"> </w:t>
      </w:r>
      <w:r>
        <w:rPr>
          <w:rFonts w:ascii="Times New Roman" w:hAnsi="Times New Roman"/>
          <w:color w:val="C00000"/>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 all four datasets as Supplementary Table S8).</w:t>
      </w:r>
    </w:p>
    <w:p>
      <w:pPr>
        <w:pStyle w:val="BodyText"/>
        <w:spacing w:line="480" w:lineRule="auto"/>
      </w:pPr>
      <w:r>
        <w:rPr>
          <w:rFonts w:ascii="Times New Roman" w:hAnsi="Times New Roman"/>
          <w:color w:val="C00000"/>
        </w:rPr>
        <w:t xml:space="preserve">DDInter audit set (92 cases). A stratified random sample by absorption tier and DDInter severity.</w:t>
      </w:r>
      <w:r>
        <w:rPr>
          <w:rFonts w:ascii="Times New Roman" w:hAnsi="Times New Roman"/>
          <w:color w:val="C00000"/>
        </w:rPr>
        <w:t xml:space="preserve"> </w:t>
      </w:r>
      <w:r>
        <w:rPr>
          <w:rFonts w:ascii="Times New Roman" w:hAnsi="Times New Roman"/>
          <w:b/>
          <w:bCs/>
          <w:color w:val="C00000"/>
        </w:rPr>
        <w:t xml:space="preserve">Correction rule.</w:t>
      </w:r>
      <w:r>
        <w:rPr>
          <w:rFonts w:ascii="Times New Roman" w:hAnsi="Times New Roman"/>
          <w:color w:val="C00000"/>
        </w:rPr>
        <w:t xml:space="preserve"> </w:t>
      </w:r>
      <w:r>
        <w:rPr>
          <w:rFonts w:ascii="Times New Roman" w:hAnsi="Times New Roman"/>
          <w:color w:val="C00000"/>
        </w:rPr>
        <w:t xml:space="preserve">A case was corrected from the DDInter severity to low when the ophthalmic agent’s registry absorption tier is low, very low, minimal or none, no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color w:val="C00000"/>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color w:val="C00000"/>
        </w:rPr>
        <w:t xml:space="preserve"> </w:t>
      </w:r>
      <w:r>
        <w:rPr>
          <w:rFonts w:ascii="Times New Roman" w:hAnsi="Times New Roman"/>
          <w:b/>
          <w:bCs/>
          <w:color w:val="C00000"/>
        </w:rPr>
        <w:t xml:space="preserve">Retrieval protocols, in full.</w:t>
      </w:r>
      <w:r>
        <w:rPr>
          <w:rFonts w:ascii="Times New Roman" w:hAnsi="Times New Roman"/>
          <w:color w:val="C00000"/>
        </w:rPr>
        <w:t xml:space="preserve"> </w:t>
      </w:r>
      <w:r>
        <w:rPr>
          <w:rStyle w:val="VerbatimChar"/>
          <w:rFonts w:ascii="Times New Roman" w:hAnsi="Times New Roman"/>
          <w:color w:val="C00000"/>
        </w:rPr>
        <w:t xml:space="preserve">naive_rag</w:t>
      </w:r>
      <w:r>
        <w:rPr>
          <w:rFonts w:ascii="Times New Roman" w:hAnsi="Times New Roman"/>
          <w:color w:val="C00000"/>
        </w:rPr>
        <w:t xml:space="preserve"> </w:t>
      </w:r>
      <w:r>
        <w:rPr>
          <w:rFonts w:ascii="Times New Roman" w:hAnsi="Times New Roman"/>
          <w:color w:val="C00000"/>
        </w:rPr>
        <w:t xml:space="preserve">performs BM25 retrieval with</w:t>
      </w:r>
      <w:r>
        <w:rPr>
          <w:rFonts w:ascii="Times New Roman" w:hAnsi="Times New Roman"/>
          <w:color w:val="C00000"/>
        </w:rPr>
        <w:t xml:space="preserve"> </w:t>
      </w:r>
      <w:r>
        <w:rPr>
          <w:rStyle w:val="VerbatimChar"/>
          <w:rFonts w:ascii="Times New Roman" w:hAnsi="Times New Roman"/>
          <w:color w:val="C00000"/>
        </w:rPr>
        <w:t xml:space="preserve">rank_bm25.BM25Okapi</w:t>
      </w:r>
      <w:r>
        <w:rPr>
          <w:rFonts w:ascii="Times New Roman" w:hAnsi="Times New Roman"/>
          <w:color w:val="C00000"/>
        </w:rPr>
        <w:t xml:space="preserve"> </w:t>
      </w:r>
      <w:r>
        <w:rPr>
          <w:rFonts w:ascii="Times New Roman" w:hAnsi="Times New Roman"/>
          <w:color w:val="C00000"/>
        </w:rPr>
        <w:t xml:space="preserve">(k1 = 1.5, b = 0.75) over the same 1,307 evidence chunks that populate the index, lowercased and whitespace-tokenised on both sides; the query is the string</w:t>
      </w:r>
      <w:r>
        <w:rPr>
          <w:rFonts w:ascii="Times New Roman" w:hAnsi="Times New Roman"/>
          <w:color w:val="C00000"/>
        </w:rPr>
        <w:t xml:space="preserve"> </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color w:val="C00000"/>
        </w:rPr>
        <w:t xml:space="preserve"> </w:t>
      </w:r>
      <w:r>
        <w:rPr>
          <w:rFonts w:ascii="Times New Roman" w:hAnsi="Times New Roman"/>
          <w:color w:val="C00000"/>
        </w:rPr>
        <w:t xml:space="preserve">ophthalmic interaction”</w:t>
      </w:r>
      <w:r>
        <w:rPr>
          <w:rFonts w:ascii="Times New Roman" w:hAnsi="Times New Roman"/>
          <w:color w:val="C00000"/>
        </w:rPr>
        <w:t xml:space="preserve">, i.e. the drug names are included, the top 3 passages are retained, each truncated to 400 characters, and they are prepended to the case as an</w:t>
      </w:r>
      <w:r>
        <w:rPr>
          <w:rFonts w:ascii="Times New Roman" w:hAnsi="Times New Roman"/>
          <w:color w:val="C00000"/>
        </w:rPr>
        <w:t xml:space="preserve"> </w:t>
      </w:r>
      <w:r>
        <w:rPr>
          <w:rStyle w:val="VerbatimChar"/>
          <w:rFonts w:ascii="Times New Roman" w:hAnsi="Times New Roman"/>
          <w:color w:val="C00000"/>
        </w:rPr>
        <w:t xml:space="preserve">Evidence:</w:t>
      </w:r>
      <w:r>
        <w:rPr>
          <w:rFonts w:ascii="Times New Roman" w:hAnsi="Times New Roman"/>
          <w:color w:val="C00000"/>
        </w:rPr>
        <w:t xml:space="preserve"> </w:t>
      </w:r>
      <w:r>
        <w:rPr>
          <w:rFonts w:ascii="Times New Roman" w:hAnsi="Times New Roman"/>
          <w:color w:val="C00000"/>
        </w:rPr>
        <w:t xml:space="preserve">block.</w:t>
      </w:r>
      <w:r>
        <w:rPr>
          <w:rFonts w:ascii="Times New Roman" w:hAnsi="Times New Roman"/>
          <w:color w:val="C00000"/>
        </w:rPr>
        <w:t xml:space="preserve"> </w:t>
      </w:r>
      <w:r>
        <w:rPr>
          <w:rStyle w:val="VerbatimChar"/>
          <w:rFonts w:ascii="Times New Roman" w:hAnsi="Times New Roman"/>
          <w:color w:val="C00000"/>
        </w:rPr>
        <w:t xml:space="preserve">lightrag</w:t>
      </w:r>
      <w:r>
        <w:rPr>
          <w:rFonts w:ascii="Times New Roman" w:hAnsi="Times New Roman"/>
          <w:color w:val="C00000"/>
        </w:rPr>
        <w:t xml:space="preserve"> </w:t>
      </w:r>
      <w:r>
        <w:rPr>
          <w:rFonts w:ascii="Times New Roman" w:hAnsi="Times New Roman"/>
          <w:color w:val="C00000"/>
        </w:rPr>
        <w:t xml:space="preserve">instead prepends a</w:t>
      </w:r>
      <w:r>
        <w:rPr>
          <w:rFonts w:ascii="Times New Roman" w:hAnsi="Times New Roman"/>
          <w:color w:val="C00000"/>
        </w:rPr>
        <w:t xml:space="preserve"> </w:t>
      </w:r>
      <w:r>
        <w:rPr>
          <w:rStyle w:val="VerbatimChar"/>
          <w:rFonts w:ascii="Times New Roman" w:hAnsi="Times New Roman"/>
          <w:color w:val="C00000"/>
        </w:rPr>
        <w:t xml:space="preserve">Drug profiles:</w:t>
      </w:r>
      <w:r>
        <w:rPr>
          <w:rFonts w:ascii="Times New Roman" w:hAnsi="Times New Roman"/>
          <w:color w:val="C00000"/>
        </w:rPr>
        <w:t xml:space="preserve"> </w:t>
      </w:r>
      <w:r>
        <w:rPr>
          <w:rFonts w:ascii="Times New Roman" w:hAnsi="Times New Roman"/>
          <w:color w:val="C00000"/>
        </w:rPr>
        <w:t xml:space="preserve">block containing the knowledge-graph profiles of both agents, rendered by the curated</w:t>
      </w:r>
      <w:r>
        <w:rPr>
          <w:rFonts w:ascii="Times New Roman" w:hAnsi="Times New Roman"/>
          <w:color w:val="C00000"/>
        </w:rPr>
        <w:t xml:space="preserve"> </w:t>
      </w:r>
      <w:r>
        <w:rPr>
          <w:rStyle w:val="VerbatimChar"/>
          <w:rFonts w:ascii="Times New Roman" w:hAnsi="Times New Roman"/>
          <w:color w:val="C00000"/>
        </w:rPr>
        <w:t xml:space="preserve">PreciseKG.full_kg_context()</w:t>
      </w:r>
      <w:r>
        <w:rPr>
          <w:rFonts w:ascii="Times New Roman" w:hAnsi="Times New Roman"/>
          <w:color w:val="C00000"/>
        </w:rPr>
        <w:t xml:space="preserve"> </w:t>
      </w:r>
      <w:r>
        <w:rPr>
          <w:rFonts w:ascii="Times New Roman" w:hAnsi="Times New Roman"/>
          <w:color w:val="C00000"/>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color w:val="C00000"/>
        </w:rPr>
        <w:t xml:space="preserve"> </w:t>
      </w:r>
      <w:r>
        <w:rPr>
          <w:rFonts w:ascii="Times New Roman" w:hAnsi="Times New Roman"/>
          <w:b/>
          <w:bCs/>
          <w:color w:val="C00000"/>
        </w:rPr>
        <w:t xml:space="preserve">Supplementary Text S3</w:t>
      </w:r>
      <w:r>
        <w:rPr>
          <w:rFonts w:ascii="Times New Roman" w:hAnsi="Times New Roman"/>
          <w:color w:val="C00000"/>
        </w:rPr>
        <w:t xml:space="preserve"> </w:t>
      </w:r>
      <w:r>
        <w:rPr>
          <w:rFonts w:ascii="Times New Roman" w:hAnsi="Times New Roman"/>
          <w:color w:val="C00000"/>
        </w:rPr>
        <w:t xml:space="preserve">and in the deposit file</w:t>
      </w:r>
      <w:r>
        <w:rPr>
          <w:rFonts w:ascii="Times New Roman" w:hAnsi="Times New Roman"/>
          <w:color w:val="C00000"/>
        </w:rPr>
        <w:t xml:space="preserve"> </w:t>
      </w:r>
      <w:r>
        <w:rPr>
          <w:rStyle w:val="VerbatimChar"/>
          <w:rFonts w:ascii="Times New Roman" w:hAnsi="Times New Roman"/>
          <w:color w:val="C00000"/>
        </w:rPr>
        <w:t xml:space="preserve">configs/prompts.yaml</w:t>
      </w:r>
      <w:r>
        <w:rPr>
          <w:rFonts w:ascii="Times New Roman" w:hAnsi="Times New Roman"/>
          <w:color w:val="C00000"/>
        </w:rPr>
        <w:t xml:space="preserve">. LLM baselines used the DeepSeek API model identifier</w:t>
      </w:r>
      <w:r>
        <w:rPr>
          <w:rFonts w:ascii="Times New Roman" w:hAnsi="Times New Roman"/>
          <w:color w:val="C00000"/>
        </w:rPr>
        <w:t xml:space="preserve"> </w:t>
      </w:r>
      <w:r>
        <w:rPr>
          <w:rStyle w:val="VerbatimChar"/>
          <w:rFonts w:ascii="Times New Roman" w:hAnsi="Times New Roman"/>
          <w:color w:val="C00000"/>
        </w:rPr>
        <w:t xml:space="preserve">deepseek-chat</w:t>
      </w:r>
      <w:r>
        <w:rPr>
          <w:rFonts w:ascii="Times New Roman" w:hAnsi="Times New Roman"/>
          <w:color w:val="C00000"/>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color w:val="C00000"/>
        </w:rPr>
        <w:t xml:space="preserve"> </w:t>
      </w:r>
      <w:r>
        <w:rPr>
          <w:rFonts w:ascii="Times New Roman" w:hAnsi="Times New Roman"/>
          <w:b/>
          <w:bCs/>
          <w:color w:val="C00000"/>
        </w:rPr>
        <w:t xml:space="preserve">Input language was English throughout</w:t>
      </w:r>
      <w:r>
        <w:rPr>
          <w:rFonts w:ascii="Times New Roman" w:hAnsi="Times New Roman"/>
          <w:color w:val="C00000"/>
        </w:rPr>
        <w:t xml:space="preserve">, for both the system prompt and every case, in the form</w:t>
      </w:r>
      <w:r>
        <w:rPr>
          <w:rFonts w:ascii="Times New Roman" w:hAnsi="Times New Roman"/>
          <w:color w:val="C00000"/>
        </w:rPr>
        <w:t xml:space="preserve"> </w:t>
      </w:r>
      <w:r>
        <w:rPr>
          <w:rStyle w:val="VerbatimChar"/>
          <w:rFonts w:ascii="Times New Roman" w:hAnsi="Times New Roman"/>
          <w:color w:val="C00000"/>
        </w:rPr>
        <w:t xml:space="preserve">Drug pair: ophthalmic X (eye drops) + systemic Y (oral/IV)</w:t>
      </w:r>
      <w:r>
        <w:rPr>
          <w:rFonts w:ascii="Times New Roman" w:hAnsi="Times New Roman"/>
          <w:color w:val="C00000"/>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 Supplementary Text S5 records the run configuration and the file-level fingerprints needed to verify that the deposited predictions reproduce these figures.</w:t>
      </w:r>
      <w:r>
        <w:rPr>
          <w:rFonts w:ascii="Times New Roman" w:hAnsi="Times New Roman"/>
          <w:color w:val="C00000"/>
        </w:rPr>
        <w:t xml:space="preserve"> </w:t>
      </w:r>
      <w:r>
        <w:rPr>
          <w:rFonts w:ascii="Times New Roman" w:hAnsi="Times New Roman"/>
          <w:b/>
          <w:bCs/>
          <w:color w:val="C00000"/>
        </w:rPr>
        <w:t xml:space="preserve">Reasoning-model re-run (reported in Section 3.6 and Table 3).</w:t>
      </w:r>
      <w:r>
        <w:rPr>
          <w:rFonts w:ascii="Times New Roman" w:hAnsi="Times New Roman"/>
          <w:color w:val="C00000"/>
        </w:rPr>
        <w:t xml:space="preserve"> </w:t>
      </w:r>
      <w:r>
        <w:rPr>
          <w:rFonts w:ascii="Times New Roman" w:hAnsi="Times New Roman"/>
          <w:color w:val="C00000"/>
        </w:rPr>
        <w:t xml:space="preserve">The three LLM baselines were additionally re-run under an adequate output budget with a reasoning model. Setup, stated in full: provider Zhipu (Zhipu AI, China) through the coding-plan endpoint</w:t>
      </w:r>
      <w:r>
        <w:rPr>
          <w:rFonts w:ascii="Times New Roman" w:hAnsi="Times New Roman"/>
          <w:color w:val="C00000"/>
        </w:rPr>
        <w:t xml:space="preserve"> </w:t>
      </w:r>
      <w:r>
        <w:rPr>
          <w:rStyle w:val="VerbatimChar"/>
          <w:rFonts w:ascii="Times New Roman" w:hAnsi="Times New Roman"/>
          <w:color w:val="C00000"/>
        </w:rPr>
        <w:t xml:space="preserve">https://open.bigmodel.cn/api/coding/paas/v4</w:t>
      </w:r>
      <w:r>
        <w:rPr>
          <w:rFonts w:ascii="Times New Roman" w:hAnsi="Times New Roman"/>
          <w:color w:val="C00000"/>
        </w:rPr>
        <w:t xml:space="preserve">, model identifier</w:t>
      </w:r>
      <w:r>
        <w:rPr>
          <w:rFonts w:ascii="Times New Roman" w:hAnsi="Times New Roman"/>
          <w:color w:val="C00000"/>
        </w:rPr>
        <w:t xml:space="preserve"> </w:t>
      </w:r>
      <w:r>
        <w:rPr>
          <w:rStyle w:val="VerbatimChar"/>
          <w:rFonts w:ascii="Times New Roman" w:hAnsi="Times New Roman"/>
          <w:color w:val="C00000"/>
        </w:rPr>
        <w:t xml:space="preserve">glm-5.3-flash</w:t>
      </w:r>
      <w:r>
        <w:rPr>
          <w:rFonts w:ascii="Times New Roman" w:hAnsi="Times New Roman"/>
          <w:color w:val="C00000"/>
        </w:rPr>
        <w:t xml:space="preserve">, temperature 0.0,</w:t>
      </w:r>
      <w:r>
        <w:rPr>
          <w:rFonts w:ascii="Times New Roman" w:hAnsi="Times New Roman"/>
          <w:color w:val="C00000"/>
        </w:rPr>
        <w:t xml:space="preserve"> </w:t>
      </w:r>
      <w:r>
        <w:rPr>
          <w:rStyle w:val="VerbatimChar"/>
          <w:rFonts w:ascii="Times New Roman" w:hAnsi="Times New Roman"/>
          <w:color w:val="C00000"/>
        </w:rPr>
        <w:t xml:space="preserve">max_tokens</w:t>
      </w:r>
      <w:r>
        <w:rPr>
          <w:rFonts w:ascii="Times New Roman" w:hAnsi="Times New Roman"/>
          <w:color w:val="C00000"/>
        </w:rPr>
        <w:t xml:space="preserve"> </w:t>
      </w:r>
      <w:r>
        <w:rPr>
          <w:rFonts w:ascii="Times New Roman" w:hAnsi="Times New Roman"/>
          <w:color w:val="C00000"/>
        </w:rPr>
        <w:t xml:space="preserve">3000, five repeated samples per case, temperature held fixed so the repetition captures sampling variance rather than a temperature schedule.</w:t>
      </w:r>
      <w:r>
        <w:rPr>
          <w:rFonts w:ascii="Times New Roman" w:hAnsi="Times New Roman"/>
          <w:color w:val="C00000"/>
        </w:rPr>
        <w:t xml:space="preserve"> </w:t>
      </w:r>
      <w:r>
        <w:rPr>
          <w:rFonts w:ascii="Times New Roman" w:hAnsi="Times New Roman"/>
          <w:b/>
          <w:bCs/>
          <w:color w:val="C00000"/>
        </w:rPr>
        <w:t xml:space="preserve">Reasoning tokens count against the 3000-token budget</w:t>
      </w:r>
      <w:r>
        <w:rPr>
          <w:rFonts w:ascii="Times New Roman" w:hAnsi="Times New Roman"/>
          <w:color w:val="C00000"/>
        </w:rPr>
        <w:t xml:space="preserve">: the model emits</w:t>
      </w:r>
      <w:r>
        <w:rPr>
          <w:rFonts w:ascii="Times New Roman" w:hAnsi="Times New Roman"/>
          <w:color w:val="C00000"/>
        </w:rPr>
        <w:t xml:space="preserve"> </w:t>
      </w:r>
      <w:r>
        <w:rPr>
          <w:rStyle w:val="VerbatimChar"/>
          <w:rFonts w:ascii="Times New Roman" w:hAnsi="Times New Roman"/>
          <w:color w:val="C00000"/>
        </w:rPr>
        <w:t xml:space="preserve">reasoning_content</w:t>
      </w:r>
      <w:r>
        <w:rPr>
          <w:rFonts w:ascii="Times New Roman" w:hAnsi="Times New Roman"/>
          <w:color w:val="C00000"/>
        </w:rPr>
        <w:t xml:space="preserve"> </w:t>
      </w:r>
      <w:r>
        <w:rPr>
          <w:rFonts w:ascii="Times New Roman" w:hAnsi="Times New Roman"/>
          <w:color w:val="C00000"/>
        </w:rPr>
        <w:t xml:space="preserve">before</w:t>
      </w:r>
      <w:r>
        <w:rPr>
          <w:rFonts w:ascii="Times New Roman" w:hAnsi="Times New Roman"/>
          <w:color w:val="C00000"/>
        </w:rPr>
        <w:t xml:space="preserve"> </w:t>
      </w:r>
      <w:r>
        <w:rPr>
          <w:rStyle w:val="VerbatimChar"/>
          <w:rFonts w:ascii="Times New Roman" w:hAnsi="Times New Roman"/>
          <w:color w:val="C00000"/>
        </w:rPr>
        <w:t xml:space="preserve">content</w:t>
      </w:r>
      <w:r>
        <w:rPr>
          <w:rFonts w:ascii="Times New Roman" w:hAnsi="Times New Roman"/>
          <w:color w:val="C00000"/>
        </w:rPr>
        <w:t xml:space="preserve">, so the budget covers both.</w:t>
      </w:r>
      <w:r>
        <w:rPr>
          <w:rFonts w:ascii="Times New Roman" w:hAnsi="Times New Roman"/>
          <w:color w:val="C00000"/>
        </w:rPr>
        <w:t xml:space="preserve"> </w:t>
      </w:r>
      <w:r>
        <w:rPr>
          <w:rFonts w:ascii="Times New Roman" w:hAnsi="Times New Roman"/>
          <w:b/>
          <w:bCs/>
          <w:color w:val="C00000"/>
        </w:rPr>
        <w:t xml:space="preserve">Zero responses were truncated</w:t>
      </w:r>
      <w:r>
        <w:rPr>
          <w:rFonts w:ascii="Times New Roman" w:hAnsi="Times New Roman"/>
          <w:color w:val="C00000"/>
        </w:rPr>
        <w:t xml:space="preserve"> </w:t>
      </w:r>
      <w:r>
        <w:rPr>
          <w:rFonts w:ascii="Times New Roman" w:hAnsi="Times New Roman"/>
          <w:color w:val="C00000"/>
        </w:rPr>
        <w:t xml:space="preserve">at this budget (completion_tokens never reached max_tokens across all 3,150 calls). Split votes were resolved by majority over the five samples; the deposited parse rule is applied to each sample first (exact match, then substring</w:t>
      </w:r>
      <w:r>
        <w:rPr>
          <w:rFonts w:ascii="Times New Roman" w:hAnsi="Times New Roman"/>
          <w:color w:val="C00000"/>
        </w:rPr>
        <w:t xml:space="preserve"> </w:t>
      </w:r>
      <w:r>
        <w:rPr>
          <w:rStyle w:val="VerbatimChar"/>
          <w:rFonts w:ascii="Times New Roman" w:hAnsi="Times New Roman"/>
          <w:color w:val="C00000"/>
        </w:rPr>
        <w:t xml:space="preserve">high</w:t>
      </w:r>
      <w:r>
        <w:rPr>
          <w:rFonts w:ascii="Times New Roman" w:hAnsi="Times New Roman"/>
          <w:color w:val="C00000"/>
        </w:rPr>
        <w:t xml:space="preserve"> </w:t>
      </w:r>
      <w:r>
        <w:rPr>
          <w:rFonts w:ascii="Times New Roman" w:hAnsi="Times New Roman"/>
          <w:color w:val="C00000"/>
        </w:rPr>
        <w:t xml:space="preserve">&gt;</w:t>
      </w:r>
      <w:r>
        <w:rPr>
          <w:rFonts w:ascii="Times New Roman" w:hAnsi="Times New Roman"/>
          <w:color w:val="C00000"/>
        </w:rPr>
        <w:t xml:space="preserve"> </w:t>
      </w:r>
      <w:r>
        <w:rPr>
          <w:rStyle w:val="VerbatimChar"/>
          <w:rFonts w:ascii="Times New Roman" w:hAnsi="Times New Roman"/>
          <w:color w:val="C00000"/>
        </w:rPr>
        <w:t xml:space="preserve">medium</w:t>
      </w:r>
      <w:r>
        <w:rPr>
          <w:rFonts w:ascii="Times New Roman" w:hAnsi="Times New Roman"/>
          <w:color w:val="C00000"/>
        </w:rPr>
        <w:t xml:space="preserve">/</w:t>
      </w:r>
      <w:r>
        <w:rPr>
          <w:rStyle w:val="VerbatimChar"/>
          <w:rFonts w:ascii="Times New Roman" w:hAnsi="Times New Roman"/>
          <w:color w:val="C00000"/>
        </w:rPr>
        <w:t xml:space="preserve">moderate</w:t>
      </w:r>
      <w:r>
        <w:rPr>
          <w:rFonts w:ascii="Times New Roman" w:hAnsi="Times New Roman"/>
          <w:color w:val="C00000"/>
        </w:rPr>
        <w:t xml:space="preserve"> </w:t>
      </w:r>
      <w:r>
        <w:rPr>
          <w:rFonts w:ascii="Times New Roman" w:hAnsi="Times New Roman"/>
          <w:color w:val="C00000"/>
        </w:rPr>
        <w:t xml:space="preserve">&gt;</w:t>
      </w:r>
      <w:r>
        <w:rPr>
          <w:rFonts w:ascii="Times New Roman" w:hAnsi="Times New Roman"/>
          <w:color w:val="C00000"/>
        </w:rPr>
        <w:t xml:space="preserve"> </w:t>
      </w:r>
      <w:r>
        <w:rPr>
          <w:rStyle w:val="VerbatimChar"/>
          <w:rFonts w:ascii="Times New Roman" w:hAnsi="Times New Roman"/>
          <w:color w:val="C00000"/>
        </w:rPr>
        <w:t xml:space="preserve">low</w:t>
      </w:r>
      <w:r>
        <w:rPr>
          <w:rFonts w:ascii="Times New Roman" w:hAnsi="Times New Roman"/>
          <w:color w:val="C00000"/>
        </w:rPr>
        <w:t xml:space="preserve">, else</w:t>
      </w:r>
      <w:r>
        <w:rPr>
          <w:rFonts w:ascii="Times New Roman" w:hAnsi="Times New Roman"/>
          <w:color w:val="C00000"/>
        </w:rPr>
        <w:t xml:space="preserve"> </w:t>
      </w:r>
      <w:r>
        <w:rPr>
          <w:rStyle w:val="VerbatimChar"/>
          <w:rFonts w:ascii="Times New Roman" w:hAnsi="Times New Roman"/>
          <w:color w:val="C00000"/>
        </w:rPr>
        <w:t xml:space="preserve">unknown</w:t>
      </w:r>
      <w:r>
        <w:rPr>
          <w:rFonts w:ascii="Times New Roman" w:hAnsi="Times New Roman"/>
          <w:color w:val="C00000"/>
        </w:rPr>
        <w:t xml:space="preserve">), and no sample returned</w:t>
      </w:r>
      <w:r>
        <w:rPr>
          <w:rFonts w:ascii="Times New Roman" w:hAnsi="Times New Roman"/>
          <w:color w:val="C00000"/>
        </w:rPr>
        <w:t xml:space="preserve"> </w:t>
      </w:r>
      <w:r>
        <w:rPr>
          <w:rStyle w:val="VerbatimChar"/>
          <w:rFonts w:ascii="Times New Roman" w:hAnsi="Times New Roman"/>
          <w:color w:val="C00000"/>
        </w:rPr>
        <w:t xml:space="preserve">unknown</w:t>
      </w:r>
      <w:r>
        <w:rPr>
          <w:rFonts w:ascii="Times New Roman" w:hAnsi="Times New Roman"/>
          <w:color w:val="C00000"/>
        </w:rPr>
        <w:t xml:space="preserve">. The run was executed on 23–24 September 2026 and produced 3,150 raw responses, deposited in full at</w:t>
      </w:r>
      <w:r>
        <w:rPr>
          <w:rFonts w:ascii="Times New Roman" w:hAnsi="Times New Roman"/>
          <w:color w:val="C00000"/>
        </w:rPr>
        <w:t xml:space="preserve"> </w:t>
      </w:r>
      <w:r>
        <w:rPr>
          <w:rStyle w:val="VerbatimChar"/>
          <w:rFonts w:ascii="Times New Roman" w:hAnsi="Times New Roman"/>
          <w:color w:val="C00000"/>
        </w:rPr>
        <w:t xml:space="preserve">data/predictions/glm53_baselines/</w:t>
      </w:r>
      <w:r>
        <w:rPr>
          <w:rFonts w:ascii="Times New Roman" w:hAnsi="Times New Roman"/>
          <w:color w:val="C00000"/>
        </w:rPr>
        <w:t xml:space="preserve"> </w:t>
      </w:r>
      <w:r>
        <w:rPr>
          <w:rFonts w:ascii="Times New Roman" w:hAnsi="Times New Roman"/>
          <w:color w:val="C00000"/>
        </w:rPr>
        <w:t xml:space="preserve">with the run script</w:t>
      </w:r>
      <w:r>
        <w:rPr>
          <w:rFonts w:ascii="Times New Roman" w:hAnsi="Times New Roman"/>
          <w:color w:val="C00000"/>
        </w:rPr>
        <w:t xml:space="preserve"> </w:t>
      </w:r>
      <w:r>
        <w:rPr>
          <w:rStyle w:val="VerbatimChar"/>
          <w:rFonts w:ascii="Times New Roman" w:hAnsi="Times New Roman"/>
          <w:color w:val="C00000"/>
        </w:rPr>
        <w:t xml:space="preserve">scripts/rerun_glm53_baselines.py</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b/>
          <w:bCs/>
          <w:color w:val="C00000"/>
        </w:rPr>
        <w:t xml:space="preserve">Single-model caveat:</w:t>
      </w:r>
      <w:r>
        <w:rPr>
          <w:rFonts w:ascii="Times New Roman" w:hAnsi="Times New Roman"/>
          <w:color w:val="C00000"/>
        </w:rPr>
        <w:t xml:space="preserve"> </w:t>
      </w:r>
      <w:r>
        <w:rPr>
          <w:rFonts w:ascii="Times New Roman" w:hAnsi="Times New Roman"/>
          <w:color w:val="C00000"/>
        </w:rPr>
        <w:t xml:space="preserve">this comparison uses one commercial reasoning model at one endpoint; the endpoint does not expose checkpoint revision, so the finding that reasoning models adopt a conservative rarely-high-risk policy is a property of this model family at this budget, not a claim about reasoning models in general. The deterministic cascade requires no model call and is unchanged between the two settings.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color w:val="C00000"/>
        </w:rPr>
        <w:t xml:space="preserve">The knowledge base comprises 113 ophthalmic topical agents and 232 systemic medications (Table 1; machine-readable form as Supplementary Table S4), 1,307 approved evidence chunks (A = 53, B = 191, C = 215, D = 584, E = 264; composition detailed in Supplementary Text S1), and a LightRAG index over 1,307 documents. The rule engine comprises 40 mechanism rules plus 3 patient-factor policies (43 policy entries), each carrying at least one source record, with zero policy errors (Table 2; full inventory as Supplementary Table S6); the coverage of those records, and its limits, are stated in Section 2.2. The class-matrix layer defines 104 cells across 21 ophthalmic row keys and 40 systemic column keys (34 columns in use)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color w:val="C00000"/>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Under the evaluation protocol of Section 2.3,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color w:val="C00000"/>
        </w:rPr>
        <w:t xml:space="preserve">On this set the gold and the rules draw on the same literature (Section 3.9),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and Supplementary Table S7 gives the same figures dataset by dataset and budget by budget.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color w:val="C00000"/>
        </w:rPr>
        <w:t xml:space="preserve">The deterministic system (full_system) achieved 0.907 exact accuracy (107/118; Wilson 95% CI 0.841–0.947), 0.964 high-risk sensitivity (27 of 28; CI 0.823–0.994), 0.989 specificity, and Cohen’s kappa 0.857 (bootstrap CI 0.772–0.934),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2 against; p = 4.4 × 10⁻¹⁴), versus naive_rag (60 versus 4; p = 7.4 × 10⁻¹⁴), and versus lightrag (20 versus 1; p = 2.1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color w:val="C00000"/>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0.370 (34/92).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0.174)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r>
        <w:rPr>
          <w:rFonts w:ascii="Times New Roman" w:hAnsi="Times New Roman"/>
          <w:color w:val="C00000"/>
        </w:rPr>
        <w:t xml:space="preserve"> </w:t>
      </w:r>
      <w:r>
        <w:rPr>
          <w:rFonts w:ascii="Times New Roman" w:hAnsi="Times New Roman"/>
          <w:b/>
          <w:bCs/>
          <w:color w:val="C00000"/>
        </w:rPr>
        <w:t xml:space="preserve">That comparison is partly confounded, and we quantify the confound rather than leave it implicit.</w:t>
      </w:r>
      <w:r>
        <w:rPr>
          <w:rFonts w:ascii="Times New Roman" w:hAnsi="Times New Roman"/>
          <w:color w:val="C00000"/>
        </w:rPr>
        <w:t xml:space="preserve"> </w:t>
      </w:r>
      <w:r>
        <w:rPr>
          <w:rFonts w:ascii="Times New Roman" w:hAnsi="Times New Roman"/>
          <w:color w:val="C00000"/>
        </w:rPr>
        <w:t xml:space="preserve">Of the 1,307 evidence chunks, 500 are DDInter 2.0 severity statements, and the audit gold for the 62 third-party-graded cases is the DDInter value itself. Running the deposited BM25 retrieval with the deposited parameters, the top-3 passages contain the pair’s own DDInter statement for 19 of those 62 cases (</w:t>
      </w:r>
      <w:r>
        <w:rPr>
          <w:rStyle w:val="VerbatimChar"/>
          <w:rFonts w:ascii="Times New Roman" w:hAnsi="Times New Roman"/>
          <w:color w:val="C00000"/>
        </w:rPr>
        <w:t xml:space="preserve">scripts/naive_rag_leakage_audit.py</w:t>
      </w:r>
      <w:r>
        <w:rPr>
          <w:rFonts w:ascii="Times New Roman" w:hAnsi="Times New Roman"/>
          <w:color w:val="C00000"/>
        </w:rPr>
        <w:t xml:space="preserve">); for those cases naive_rag retrieves the gold label. Its exact accuracy on that subset therefore cannot be read as independent evidence, and the same applies in weaker form to lightrag, whose knowledge-graph profiles are built from the same curated corpus. The deterministic cascade does not query that corpus at inference time. We report the baseline comparison because it was pre-specified, and the leakage audit so that its weight can be judged correctly.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rPr>
        <w:t xml:space="preserve">3.6 Reasoning-model baselines under an adequate output budget</w:t>
      </w:r>
    </w:p>
    <w:p>
      <w:pPr>
        <w:pStyle w:val="FirstParagraph"/>
        <w:spacing w:line="480" w:lineRule="auto"/>
      </w:pPr>
      <w:r>
        <w:rPr>
          <w:rFonts w:ascii="Times New Roman" w:hAnsi="Times New Roman"/>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rPr>
        <w:t xml:space="preserve">Accurate label agreement improved. On the 118-case set, pure_llm rose from 0.475 to 0.576 and naive_rag from 0.415 to 0.585; lightrag was unchanged at 0.737.</w:t>
      </w:r>
      <w:r>
        <w:rPr>
          <w:rFonts w:ascii="Times New Roman" w:hAnsi="Times New Roman"/>
        </w:rPr>
        <w:t xml:space="preserve"> </w:t>
      </w:r>
      <w:r>
        <w:rPr>
          <w:rFonts w:ascii="Times New Roman" w:hAnsi="Times New Roman"/>
          <w:b/>
          <w:bCs/>
        </w:rPr>
        <w:t xml:space="preserve">High-risk sensitivity, however, fell sharply</w:t>
      </w:r>
      <w:r>
        <w:rPr>
          <w:rFonts w:ascii="Times New Roman" w:hAnsi="Times New Roman"/>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Acc3 (10-token)</w:t>
            </w:r>
          </w:p>
        </w:tc>
        <w:tc>
          <w:tcPr/>
          <w:p>
            <w:pPr>
              <w:pStyle w:val="Compact"/>
            </w:pPr>
            <w:r>
              <w:t xml:space="preserve">Acc3 (3000-token)</w:t>
            </w:r>
          </w:p>
        </w:tc>
        <w:tc>
          <w:tcPr/>
          <w:p>
            <w:pPr>
              <w:pStyle w:val="Compact"/>
            </w:pPr>
            <w:r>
              <w:t xml:space="preserve">sens (10-token)</w:t>
            </w:r>
          </w:p>
        </w:tc>
        <w:tc>
          <w:tcPr/>
          <w:p>
            <w:pPr>
              <w:pStyle w:val="Compact"/>
            </w:pPr>
            <w:r>
              <w:t xml:space="preserve">sens (3000-token)</w:t>
            </w:r>
          </w:p>
        </w:tc>
        <w:tc>
          <w:tcPr/>
          <w:p>
            <w:pPr>
              <w:pStyle w:val="Compact"/>
            </w:pPr>
            <w:r>
              <w:t xml:space="preserve">spec (3000-token)</w:t>
            </w:r>
          </w:p>
        </w:tc>
      </w:tr>
      <w:tr>
        <w:tc>
          <w:tcPr/>
          <w:p>
            <w:pPr>
              <w:pStyle w:val="Compact"/>
            </w:pPr>
            <w:r>
              <w:t xml:space="preserve">pure_llm</w:t>
            </w:r>
          </w:p>
        </w:tc>
        <w:tc>
          <w:tcPr/>
          <w:p>
            <w:pPr>
              <w:pStyle w:val="Compact"/>
            </w:pPr>
            <w:r>
              <w:t xml:space="preserve">0.475</w:t>
            </w:r>
          </w:p>
        </w:tc>
        <w:tc>
          <w:tcPr/>
          <w:p>
            <w:pPr>
              <w:pStyle w:val="Compact"/>
            </w:pPr>
            <w:r>
              <w:t xml:space="preserve">0.576</w:t>
            </w:r>
          </w:p>
        </w:tc>
        <w:tc>
          <w:tcPr/>
          <w:p>
            <w:pPr>
              <w:pStyle w:val="Compact"/>
            </w:pPr>
            <w:r>
              <w:t xml:space="preserve">0.771</w:t>
            </w:r>
          </w:p>
        </w:tc>
        <w:tc>
          <w:tcPr/>
          <w:p>
            <w:pPr>
              <w:pStyle w:val="Compact"/>
            </w:pPr>
            <w:r>
              <w:t xml:space="preserve">0.250</w:t>
            </w:r>
          </w:p>
        </w:tc>
        <w:tc>
          <w:tcPr/>
          <w:p>
            <w:pPr>
              <w:pStyle w:val="Compact"/>
            </w:pPr>
            <w:r>
              <w:t xml:space="preserve">1.000</w:t>
            </w:r>
          </w:p>
        </w:tc>
      </w:tr>
      <w:tr>
        <w:tc>
          <w:tcPr/>
          <w:p>
            <w:pPr>
              <w:pStyle w:val="Compact"/>
            </w:pPr>
            <w:r>
              <w:t xml:space="preserve">naive_rag</w:t>
            </w:r>
          </w:p>
        </w:tc>
        <w:tc>
          <w:tcPr/>
          <w:p>
            <w:pPr>
              <w:pStyle w:val="Compact"/>
            </w:pPr>
            <w:r>
              <w:t xml:space="preserve">0.415</w:t>
            </w:r>
          </w:p>
        </w:tc>
        <w:tc>
          <w:tcPr/>
          <w:p>
            <w:pPr>
              <w:pStyle w:val="Compact"/>
            </w:pPr>
            <w:r>
              <w:t xml:space="preserve">0.585</w:t>
            </w:r>
          </w:p>
        </w:tc>
        <w:tc>
          <w:tcPr/>
          <w:p>
            <w:pPr>
              <w:pStyle w:val="Compact"/>
            </w:pPr>
            <w:r>
              <w:t xml:space="preserve">0.757</w:t>
            </w:r>
          </w:p>
        </w:tc>
        <w:tc>
          <w:tcPr/>
          <w:p>
            <w:pPr>
              <w:pStyle w:val="Compact"/>
            </w:pPr>
            <w:r>
              <w:t xml:space="preserve">0.214</w:t>
            </w:r>
          </w:p>
        </w:tc>
        <w:tc>
          <w:tcPr/>
          <w:p>
            <w:pPr>
              <w:pStyle w:val="Compact"/>
            </w:pPr>
            <w:r>
              <w:t xml:space="preserve">0.989</w:t>
            </w:r>
          </w:p>
        </w:tc>
      </w:tr>
      <w:tr>
        <w:tc>
          <w:tcPr/>
          <w:p>
            <w:pPr>
              <w:pStyle w:val="Compact"/>
            </w:pPr>
            <w:r>
              <w:t xml:space="preserve">lightrag</w:t>
            </w:r>
          </w:p>
        </w:tc>
        <w:tc>
          <w:tcPr/>
          <w:p>
            <w:pPr>
              <w:pStyle w:val="Compact"/>
            </w:pPr>
            <w:r>
              <w:t xml:space="preserve">0.737</w:t>
            </w:r>
          </w:p>
        </w:tc>
        <w:tc>
          <w:tcPr/>
          <w:p>
            <w:pPr>
              <w:pStyle w:val="Compact"/>
            </w:pPr>
            <w:r>
              <w:t xml:space="preserve">0.737</w:t>
            </w:r>
          </w:p>
        </w:tc>
        <w:tc>
          <w:tcPr/>
          <w:p>
            <w:pPr>
              <w:pStyle w:val="Compact"/>
            </w:pPr>
            <w:r>
              <w:t xml:space="preserve">0.779</w:t>
            </w:r>
          </w:p>
        </w:tc>
        <w:tc>
          <w:tcPr/>
          <w:p>
            <w:pPr>
              <w:pStyle w:val="Compact"/>
            </w:pPr>
            <w:r>
              <w:t xml:space="preserve">0.536</w:t>
            </w:r>
          </w:p>
        </w:tc>
        <w:tc>
          <w:tcPr/>
          <w:p>
            <w:pPr>
              <w:pStyle w:val="Compact"/>
            </w:pPr>
            <w:r>
              <w:t xml:space="preserve">1.000</w:t>
            </w:r>
          </w:p>
        </w:tc>
      </w:tr>
      <w:tr>
        <w:tc>
          <w:tcPr/>
          <w:p>
            <w:pPr>
              <w:pStyle w:val="Compact"/>
            </w:pPr>
            <w:r>
              <w:t xml:space="preserve">full_system</w:t>
            </w:r>
          </w:p>
        </w:tc>
        <w:tc>
          <w:tcPr/>
          <w:p>
            <w:pPr>
              <w:pStyle w:val="Compact"/>
            </w:pPr>
            <w:r>
              <w:t xml:space="preserve">0.907</w:t>
            </w:r>
          </w:p>
        </w:tc>
        <w:tc>
          <w:tcPr/>
          <w:p>
            <w:pPr>
              <w:pStyle w:val="Compact"/>
            </w:pPr>
            <w:r>
              <w:t xml:space="preserve">0.907</w:t>
            </w:r>
          </w:p>
        </w:tc>
        <w:tc>
          <w:tcPr/>
          <w:p>
            <w:pPr>
              <w:pStyle w:val="Compact"/>
            </w:pPr>
            <w:r>
              <w:t xml:space="preserve">0.964</w:t>
            </w:r>
          </w:p>
        </w:tc>
        <w:tc>
          <w:tcPr/>
          <w:p>
            <w:pPr>
              <w:pStyle w:val="Compact"/>
            </w:pPr>
            <w:r>
              <w:t xml:space="preserve">0.964</w:t>
            </w:r>
          </w:p>
        </w:tc>
        <w:tc>
          <w:tcPr/>
          <w:p>
            <w:pPr>
              <w:pStyle w:val="Compact"/>
            </w:pPr>
            <w:r>
              <w:t xml:space="preserve">0.989</w:t>
            </w:r>
          </w:p>
        </w:tc>
      </w:tr>
    </w:tbl>
    <w:p>
      <w:pPr>
        <w:pStyle w:val="BodyText"/>
        <w:spacing w:line="480" w:lineRule="auto"/>
      </w:pPr>
      <w:r>
        <w:rPr>
          <w:rFonts w:ascii="Times New Roman" w:hAnsi="Times New Roman"/>
          <w:color w:val="C00000"/>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27 of them).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rPr>
        <w:t xml:space="preserve">3.7 Determinism and temperature sensitivity</w:t>
      </w:r>
    </w:p>
    <w:p>
      <w:pPr>
        <w:pStyle w:val="FirstParagraph"/>
        <w:spacing w:line="480" w:lineRule="auto"/>
      </w:pPr>
      <w:r>
        <w:rPr>
          <w:rFonts w:ascii="Times New Roman" w:hAnsi="Times New Roman"/>
          <w:color w:val="C00000"/>
        </w:rPr>
        <w:t xml:space="preserve">Full_system is deterministic: all five temperature conditions returned identical predictions (SD = 0.000 for every metric), a determinism check rather than a robustness claim. Figure 5 shows the per-layer latency trace for the worked example, in which the whole cascade completes in under 2 ms with no model call.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 The deterministic path exercised here is the one distributed in the release described in Section 2.7.</w:t>
      </w:r>
    </w:p>
    <w:bookmarkEnd w:id="37"/>
    <w:bookmarkStart w:id="38" w:name="X914a3bd05d2c0ce9c9f6dde65cc59a344f8ad46"/>
    <w:p>
      <w:pPr>
        <w:pStyle w:val="Heading3"/>
        <w:spacing w:line="480" w:lineRule="auto"/>
      </w:pPr>
      <w:r>
        <w:rPr>
          <w:rFonts w:ascii="Times New Roman" w:hAnsi="Times New Roman"/>
          <w:b/>
        </w:rPr>
        <w:t xml:space="preserve">3.8 Expert grade review (two ophthalmologists, 12 cases)</w:t>
      </w:r>
    </w:p>
    <w:p>
      <w:pPr>
        <w:pStyle w:val="FirstParagraph"/>
        <w:spacing w:line="480" w:lineRule="auto"/>
      </w:pPr>
      <w:r>
        <w:rPr>
          <w:rFonts w:ascii="Times New Roman" w:hAnsi="Times New Roman"/>
          <w:color w:val="C00000"/>
        </w:rPr>
        <w:t xml:space="preserve">Two ophthalmology experts reviewed 12 cases under the grade-review protocol of Section 2.5, with the proposed gold and the system grade both visible (Table 6; Supplementary Table S3). Inter-rater agreement was 91.7% (11 of 12; kappa 0.840, 95% bootstrap CI 0.526–1.000; Figure 3). Expert–system agreement, computed against the grades the experts were shown, was 16.7% for expert 1 (2 of 12; kappa −0.176) and 8.3% for expert 2 (1 of 12; kappa −0.257). The disagreement was systematic and one-directional: expert 1 rated 10 of 12 cases one tier lower than the grade shown and none higher; expert 2 rated 10 lower and 1 higher. Neither expert rated any of the four system-high cases as high (0 of 4). One case was fully concordant between both experts, the grade shown and the gold (R07 levofloxacin × sotalol). The sole inter-expert disagreement was R08 (betaxolol × verapamil), graded medium by expert 1 and high by expert 2. The maximum achievable unweighted kappa given the marginal distributions is 0.294 for expert 1 and 0.314 for expert 2, so the low observed kappas partly reflect margin incompatibility; the quadratic-weighted kappas (−0.630 and −0.793) place the divergence at roughly one tier.</w:t>
      </w:r>
    </w:p>
    <w:p>
      <w:pPr>
        <w:pStyle w:val="BodyText"/>
        <w:spacing w:line="480" w:lineRule="auto"/>
      </w:pPr>
      <w:r>
        <w:rPr>
          <w:rFonts w:ascii="Times New Roman" w:hAnsi="Times New Roman"/>
          <w:color w:val="C00000"/>
        </w:rPr>
        <w:t xml:space="preserve">The experts disagreed with the gold labels to the same degree as with the system: expert 1 versus gold kappa 0.020 (agreement 33.3%) and expert 2 versus gold kappa −0.091 (agreement 25.0%). The two comparisons are not independent evidence — the questionnaire showed both the proposed gold and the system grade, and the system reproduced its gold on all 12 cases, so the expert–gold and expert–system comparisons measure the same disagreement twice. What the exercise supports is only that the experts did not endorse the assigned grades, not that the system and its gold were separately validated.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rPr>
        <w:t xml:space="preserve">3.9 Limitations</w:t>
      </w:r>
    </w:p>
    <w:p>
      <w:pPr>
        <w:pStyle w:val="FirstParagraph"/>
        <w:spacing w:line="480" w:lineRule="auto"/>
      </w:pPr>
      <w:r>
        <w:rPr>
          <w:rFonts w:ascii="Times New Roman" w:hAnsi="Times New Roman"/>
          <w:color w:val="C00000"/>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0.370,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color w:val="C00000"/>
        </w:rPr>
        <w:t xml:space="preserve">The grade review in Section 3.8 is the source for the expert comparison discussed here: 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0.840) yet rated 10 of 12 cases one tier lower than the grade they were shown, and their agreement with the assigned grades was near zero for both experts (−0.176 and −0.257); because the questionnaire displayed both the proposed gold and the system grade and the cascade reproduced that gold on all 12 cases, this review is reported as a perspective comparison rather than an independent validation.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color w:val="C00000"/>
        </w:rPr>
        <w:t xml:space="preserve">Against general-purpose DDI databases. Existing resources such as DDInter provide comprehensive pair-level severity ratings derived from systemic administration [16,N2]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two of which the L3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color w:val="C00000"/>
        </w:rPr>
        <w:t xml:space="preserve"> </w:t>
      </w:r>
      <w:r>
        <w:rPr>
          <w:rFonts w:ascii="Times New Roman" w:hAnsi="Times New Roman"/>
          <w:b/>
          <w:bCs/>
          <w:color w:val="C00000"/>
        </w:rPr>
        <w:t xml:space="preserve">That maximum is the honest limitation of the design.</w:t>
      </w:r>
      <w:r>
        <w:rPr>
          <w:rFonts w:ascii="Times New Roman" w:hAnsi="Times New Roman"/>
          <w:color w:val="C00000"/>
        </w:rPr>
        <w:t xml:space="preserve"> </w:t>
      </w:r>
      <w:r>
        <w:rPr>
          <w:rFonts w:ascii="Times New Roman" w:hAnsi="Times New Roman"/>
          <w:color w:val="C00000"/>
        </w:rPr>
        <w:t xml:space="preserve">The determinism that makes this behaviour auditable is reported in Section 3.7. 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color w:val="C00000"/>
        </w:rPr>
        <w:t xml:space="preserve">Two independent ophthalmologists agreed closely with each other (kappa 0.840) but rated 10 of 12 cases one tier lower than both the system and its gold. Because the questionnaire displayed both grades and the system reproduced its gold on all 12 cases, the expert–gold and expert–system comparisons are not independent and neither can be read as validating the other. The exercise establishes a systematic difference between clinical prior and the assigned grades, nothing more.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color w:val="C00000"/>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color w:val="C00000"/>
        </w:rPr>
        <w:t xml:space="preserve"> </w:t>
      </w:r>
      <w:r>
        <w:rPr>
          <w:rFonts w:ascii="Times New Roman" w:hAnsi="Times New Roman"/>
          <w:b/>
          <w:bCs/>
          <w:color w:val="C00000"/>
        </w:rPr>
        <w:t xml:space="preserve">Corrected:</w:t>
      </w:r>
      <w:r>
        <w:rPr>
          <w:rFonts w:ascii="Times New Roman" w:hAnsi="Times New Roman"/>
          <w:color w:val="C00000"/>
        </w:rPr>
        <w:t xml:space="preserve"> </w:t>
      </w:r>
      <w:r>
        <w:rPr>
          <w:rFonts w:ascii="Times New Roman" w:hAnsi="Times New Roman"/>
          <w:color w:val="C00000"/>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color w:val="C00000"/>
        </w:rPr>
        <w:t xml:space="preserve"> </w:t>
      </w:r>
      <w:r>
        <w:rPr>
          <w:rFonts w:ascii="Times New Roman" w:hAnsi="Times New Roman"/>
          <w:b/>
          <w:bCs/>
          <w:color w:val="C00000"/>
        </w:rPr>
        <w:t xml:space="preserve">Disclosed alternative tiers.</w:t>
      </w:r>
      <w:r>
        <w:rPr>
          <w:rFonts w:ascii="Times New Roman" w:hAnsi="Times New Roman"/>
          <w:color w:val="C00000"/>
        </w:rPr>
        <w:t xml:space="preserve"> </w:t>
      </w:r>
      <w:r>
        <w:rPr>
          <w:rFonts w:ascii="Times New Roman" w:hAnsi="Times New Roman"/>
          <w:color w:val="C00000"/>
        </w:rPr>
        <w:t xml:space="preserve">Thirteen further agents show the same registry-versus-curation discrepancy that led us to correct flurbiprofen (dorzolamide, brinzolamide, the timolol fixed combinations, dexamethasone, atropine among them). We adopt the registry (</w:t>
      </w:r>
      <w:r>
        <w:rPr>
          <w:rStyle w:val="VerbatimChar"/>
          <w:rFonts w:ascii="Times New Roman" w:hAnsi="Times New Roman"/>
          <w:color w:val="C00000"/>
        </w:rPr>
        <w:t xml:space="preserve">data/seed/entities_a.csv</w:t>
      </w:r>
      <w:r>
        <w:rPr>
          <w:rFonts w:ascii="Times New Roman" w:hAnsi="Times New Roman"/>
          <w:color w:val="C00000"/>
        </w:rPr>
        <w:t xml:space="preserve">) as authoritative because it is the file the engine loads at inference time; the curation file is an intermediate artefact. To let readers judge how much the registry-scale headline depends on that choice, we re-ran the 1,933-pair audit under the curation-file tiers: the downgrade share moves from 75.27% to 75.69%, and the from-high downgrades stay at 352 (</w:t>
      </w:r>
      <w:r>
        <w:rPr>
          <w:rStyle w:val="VerbatimChar"/>
          <w:rFonts w:ascii="Times New Roman" w:hAnsi="Times New Roman"/>
          <w:color w:val="C00000"/>
        </w:rPr>
        <w:t xml:space="preserve">scripts/audit_ddinter_disagreement.py --tier-override data/curation/entity_a_candidates.yaml</w:t>
      </w:r>
      <w:r>
        <w:rPr>
          <w:rFonts w:ascii="Times New Roman" w:hAnsi="Times New Roman"/>
          <w:color w:val="C00000"/>
        </w:rPr>
        <w:t xml:space="preserve">; result deposited as</w:t>
      </w:r>
      <w:r>
        <w:rPr>
          <w:rFonts w:ascii="Times New Roman" w:hAnsi="Times New Roman"/>
          <w:color w:val="C00000"/>
        </w:rPr>
        <w:t xml:space="preserve"> </w:t>
      </w:r>
      <w:r>
        <w:rPr>
          <w:rStyle w:val="VerbatimChar"/>
          <w:rFonts w:ascii="Times New Roman" w:hAnsi="Times New Roman"/>
          <w:color w:val="C00000"/>
        </w:rPr>
        <w:t xml:space="preserve">audits/tier_override_scenario.json</w:t>
      </w:r>
      <w:r>
        <w:rPr>
          <w:rFonts w:ascii="Times New Roman" w:hAnsi="Times New Roman"/>
          <w:color w:val="C00000"/>
        </w:rPr>
        <w:t xml:space="preserve">). The registry-scale conclusion is therefore robust to which of the two files is treated as authoritative.</w:t>
      </w:r>
      <w:r>
        <w:rPr>
          <w:rFonts w:ascii="Times New Roman" w:hAnsi="Times New Roman"/>
          <w:color w:val="C00000"/>
        </w:rPr>
        <w:t xml:space="preserve"> </w:t>
      </w:r>
      <w:r>
        <w:rPr>
          <w:rFonts w:ascii="Times New Roman" w:hAnsi="Times New Roman"/>
          <w:b/>
          <w:bCs/>
          <w:color w:val="C00000"/>
        </w:rPr>
        <w:t xml:space="preserve">Open:</w:t>
      </w:r>
      <w:r>
        <w:rPr>
          <w:rFonts w:ascii="Times New Roman" w:hAnsi="Times New Roman"/>
          <w:color w:val="C00000"/>
        </w:rPr>
        <w:t xml:space="preserve"> </w:t>
      </w:r>
      <w:r>
        <w:rPr>
          <w:rFonts w:ascii="Times New Roman" w:hAnsi="Times New Roman"/>
          <w:color w:val="C00000"/>
        </w:rPr>
        <w:t xml:space="preserve">nine of the 113 agents in the</w:t>
      </w:r>
      <w:r>
        <w:rPr>
          <w:rFonts w:ascii="Times New Roman" w:hAnsi="Times New Roman"/>
          <w:color w:val="C00000"/>
        </w:rPr>
        <w:t xml:space="preserve"> </w:t>
      </w:r>
      <w:r>
        <w:rPr>
          <w:rFonts w:ascii="Times New Roman" w:hAnsi="Times New Roman"/>
          <w:color w:val="C00000"/>
        </w:rPr>
        <w:t xml:space="preserve">“ophthalmic topical”</w:t>
      </w:r>
      <w:r>
        <w:rPr>
          <w:rFonts w:ascii="Times New Roman" w:hAnsi="Times New Roman"/>
          <w:color w:val="C00000"/>
        </w:rPr>
        <w:t xml:space="preserve"> </w:t>
      </w:r>
      <w:r>
        <w:rPr>
          <w:rFonts w:ascii="Times New Roman" w:hAnsi="Times New Roman"/>
          <w:color w:val="C00000"/>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color w:val="C00000"/>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6.7%,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color w:val="C00000"/>
        </w:rPr>
        <w:t xml:space="preserve">The system construction reported in Section 3.1 yields a cascade whose agreement with the literature-derived gold is quantified in Section 3.3. 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color w:val="C00000"/>
        </w:rPr>
        <w:t xml:space="preserve">This study used only publicly available secondary data: the DDInter severity tables, published drug labels, DrugBank records and the peer-reviewed literature. No human participants, patient-level data, human tissue, biological specimens or clinical interventions were involved, and no identifiable information was collected. Under the Declaration of Helsinki and the Chinese Measures for Ethical Review of Life Science and Medical Research Involving Humans, secondary analysis of published data does not constitute human-subjects research requiring ethics committee review, and the study was therefore exempt from ethics approval for the retrospective data-analysis and software-development components.</w:t>
      </w:r>
    </w:p>
    <w:p>
      <w:pPr>
        <w:pStyle w:val="BodyText"/>
        <w:spacing w:line="480" w:lineRule="auto"/>
      </w:pPr>
      <w:r>
        <w:rPr>
          <w:rFonts w:ascii="Times New Roman" w:hAnsi="Times New Roman"/>
          <w:color w:val="C00000"/>
        </w:rPr>
        <w:t xml:space="preserve">The only human involvement was a professional-opinion exercise: two ophthalmologists, both clinicians from the Department of Ophthalmology of the First Affiliated Hospital of Xinjiang Medical University, independently rated 12 hypothetical drug-pair vignettes constructed by the study team. The vignettes contained no patient data and no identifiable information; the experts provided their ratings as professional opinion and consented to their anonymised ratings being used in research and publication. One of the experts was a member of the research team of a separately approved study at the same department (ethics approval K202509-29,</w:t>
      </w:r>
      <w:r>
        <w:rPr>
          <w:rFonts w:ascii="Times New Roman" w:hAnsi="Times New Roman"/>
          <w:color w:val="C00000"/>
        </w:rPr>
        <w:t xml:space="preserve"> </w:t>
      </w:r>
      <w:r>
        <w:rPr>
          <w:rFonts w:ascii="Times New Roman" w:hAnsi="Times New Roman"/>
          <w:color w:val="C00000"/>
        </w:rPr>
        <w:t xml:space="preserve">“Preliminary study of a mobile-device-based method for refractive error detection”</w:t>
      </w:r>
      <w:r>
        <w:rPr>
          <w:rFonts w:ascii="Times New Roman" w:hAnsi="Times New Roman"/>
          <w:color w:val="C00000"/>
        </w:rPr>
        <w:t xml:space="preserve">), which is the source of the institutional link between that approval and the present work; K202509-29 does not itself cover this study. The document is included in the supplementary material only to evidence that relationship, and we ask the editor to treat this study as exempt rather than as covered by that approval.</w:t>
      </w:r>
    </w:p>
    <w:p>
      <w:pPr>
        <w:pStyle w:val="BodyText"/>
        <w:spacing w:line="480" w:lineRule="auto"/>
      </w:pPr>
      <w:r>
        <w:rPr>
          <w:rFonts w:ascii="Times New Roman" w:hAnsi="Times New Roman"/>
          <w:color w:val="C00000"/>
        </w:rPr>
        <w:t xml:space="preserve">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color w:val="C00000"/>
        </w:rPr>
        <w:t xml:space="preserve">Repository.</w:t>
      </w:r>
      <w:r>
        <w:rPr>
          <w:rFonts w:ascii="Times New Roman" w:hAnsi="Times New Roman"/>
          <w:color w:val="C00000"/>
        </w:rPr>
        <w:t xml:space="preserve"> </w:t>
      </w:r>
      <w:r>
        <w:rPr>
          <w:rFonts w:ascii="Times New Roman" w:hAnsi="Times New Roman"/>
          <w:color w:val="C00000"/>
        </w:rPr>
        <w:t xml:space="preserve">https://github.com/wangguoqing932/ophddi-cds (release tag</w:t>
      </w:r>
      <w:r>
        <w:rPr>
          <w:rFonts w:ascii="Times New Roman" w:hAnsi="Times New Roman"/>
          <w:color w:val="C00000"/>
        </w:rPr>
        <w:t xml:space="preserve"> </w:t>
      </w:r>
      <w:r>
        <w:rPr>
          <w:rStyle w:val="VerbatimChar"/>
          <w:rFonts w:ascii="Times New Roman" w:hAnsi="Times New Roman"/>
          <w:color w:val="C00000"/>
        </w:rPr>
        <w:t xml:space="preserve">v1.1-revision3</w:t>
      </w:r>
      <w:r>
        <w:rPr>
          <w:rFonts w:ascii="Times New Roman" w:hAnsi="Times New Roman"/>
          <w:color w:val="C00000"/>
        </w:rPr>
        <w:t xml:space="preserve">, archived at DOI {DOI};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color w:val="C00000"/>
        </w:rPr>
        <w:t xml:space="preserve">Software.</w:t>
      </w:r>
      <w:r>
        <w:rPr>
          <w:rFonts w:ascii="Times New Roman" w:hAnsi="Times New Roman"/>
          <w:color w:val="C00000"/>
        </w:rPr>
        <w:t xml:space="preserve"> </w:t>
      </w:r>
      <w:r>
        <w:rPr>
          <w:rFonts w:ascii="Times New Roman" w:hAnsi="Times New Roman"/>
          <w:color w:val="C00000"/>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color w:val="C00000"/>
        </w:rPr>
        <w:t xml:space="preserve"> </w:t>
      </w:r>
      <w:r>
        <w:rPr>
          <w:rStyle w:val="VerbatimChar"/>
          <w:rFonts w:ascii="Times New Roman" w:hAnsi="Times New Roman"/>
          <w:color w:val="C00000"/>
        </w:rPr>
        <w:t xml:space="preserve">v1.1-revision3</w:t>
      </w:r>
      <w:r>
        <w:rPr>
          <w:rFonts w:ascii="Times New Roman" w:hAnsi="Times New Roman"/>
          <w:color w:val="C00000"/>
        </w:rPr>
        <w:t xml:space="preserve"> </w:t>
      </w:r>
      <w:r>
        <w:rPr>
          <w:rFonts w:ascii="Times New Roman" w:hAnsi="Times New Roman"/>
          <w:color w:val="C00000"/>
        </w:rPr>
        <w:t xml:space="preserve">and is archived at DOI {DOI} (Zenodo). The archive contains the full source, configurations, gold sets, 9,600 prediction rows, the 3,150 reasoning-model responses, the statistics module and every audit output, so the reported figures can be regenerated without network access. Operating system(s): platform independent. Programming language: Python 3.11. Other requirements: Python 3.10 or later, with dependencies pinned in</w:t>
      </w:r>
      <w:r>
        <w:rPr>
          <w:rFonts w:ascii="Times New Roman" w:hAnsi="Times New Roman"/>
          <w:color w:val="C00000"/>
        </w:rPr>
        <w:t xml:space="preserve"> </w:t>
      </w:r>
      <w:r>
        <w:rPr>
          <w:rStyle w:val="VerbatimChar"/>
          <w:rFonts w:ascii="Times New Roman" w:hAnsi="Times New Roman"/>
          <w:color w:val="C00000"/>
        </w:rPr>
        <w:t xml:space="preserve">pyproject.toml</w:t>
      </w:r>
      <w:r>
        <w:rPr>
          <w:rFonts w:ascii="Times New Roman" w:hAnsi="Times New Roman"/>
          <w:color w:val="C00000"/>
        </w:rPr>
        <w:t xml:space="preserve">. Licence: Apache-2.0 (code) and CC BY 4.0 (original data). The bundled DDInter severity tables are third-party data and remain under DDInter’s CC BY-NC-SA 4.0 terms; they are included for research reproducibility only, and reuse is subject to those terms (see the component-licensing section of the repository LICENSE).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color w:val="C00000"/>
        </w:rPr>
        <w:t xml:space="preserve">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color w:val="C00000"/>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 For clarity about the</w:t>
      </w:r>
      <w:r>
        <w:rPr>
          <w:rFonts w:ascii="Times New Roman" w:hAnsi="Times New Roman"/>
          <w:color w:val="C00000"/>
        </w:rPr>
        <w:t xml:space="preserve"> </w:t>
      </w:r>
      <w:r>
        <w:rPr>
          <w:rFonts w:ascii="Times New Roman" w:hAnsi="Times New Roman"/>
          <w:color w:val="C00000"/>
        </w:rPr>
        <w:t xml:space="preserve">“T1 expert”</w:t>
      </w:r>
      <w:r>
        <w:rPr>
          <w:rFonts w:ascii="Times New Roman" w:hAnsi="Times New Roman"/>
          <w:color w:val="C00000"/>
        </w:rPr>
        <w:t xml:space="preserve"> </w:t>
      </w:r>
      <w:r>
        <w:rPr>
          <w:rFonts w:ascii="Times New Roman" w:hAnsi="Times New Roman"/>
          <w:color w:val="C00000"/>
        </w:rPr>
        <w:t xml:space="preserve">referred to in the deposited design files: that label denotes the clinical opinion recorded in an earlier, separately conducted exercise by a member of the research team of the approved study cited in the Ethics statement, used only to phrase the questionnaire vignettes and to cross-check mechanism plausibility for R02 and R12. No human expert assigned any gold label in this study; every gold label is the study team’s own annotation from published sources, and the T1 comparison is reported in the deposit as provenance for how the vignettes were written, not as a source of gold.</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sz w:val="18"/>
              </w:rPr>
              <w:t>dataset_id</w:t>
            </w:r>
          </w:p>
        </w:tc>
        <w:tc>
          <w:tcPr>
            <w:tcW w:type="dxa" w:w="1040"/>
          </w:tcPr>
          <w:p>
            <w:pPr>
              <w:spacing w:line="240" w:lineRule="auto"/>
            </w:pPr>
            <w:r>
              <w:rPr>
                <w:rFonts w:ascii="Times New Roman" w:hAnsi="Times New Roman"/>
                <w:b/>
                <w:sz w:val="18"/>
              </w:rPr>
              <w:t>setting</w:t>
            </w:r>
          </w:p>
        </w:tc>
        <w:tc>
          <w:tcPr>
            <w:tcW w:type="dxa" w:w="1040"/>
          </w:tcPr>
          <w:p>
            <w:pPr>
              <w:spacing w:line="240" w:lineRule="auto"/>
            </w:pPr>
            <w:r>
              <w:rPr>
                <w:rFonts w:ascii="Times New Roman" w:hAnsi="Times New Roman"/>
                <w:b/>
                <w:sz w:val="18"/>
              </w:rPr>
              <w:t>method</w:t>
            </w:r>
          </w:p>
        </w:tc>
        <w:tc>
          <w:tcPr>
            <w:tcW w:type="dxa" w:w="1040"/>
          </w:tcPr>
          <w:p>
            <w:pPr>
              <w:spacing w:line="240" w:lineRule="auto"/>
            </w:pPr>
            <w:r>
              <w:rPr>
                <w:rFonts w:ascii="Times New Roman" w:hAnsi="Times New Roman"/>
                <w:b/>
                <w:sz w:val="18"/>
              </w:rPr>
              <w:t>n</w:t>
            </w:r>
          </w:p>
        </w:tc>
        <w:tc>
          <w:tcPr>
            <w:tcW w:type="dxa" w:w="1040"/>
          </w:tcPr>
          <w:p>
            <w:pPr>
              <w:spacing w:line="240" w:lineRule="auto"/>
            </w:pPr>
            <w:r>
              <w:rPr>
                <w:rFonts w:ascii="Times New Roman" w:hAnsi="Times New Roman"/>
                <w:b/>
                <w:sz w:val="18"/>
              </w:rPr>
              <w:t>sensitivity_high</w:t>
            </w:r>
          </w:p>
        </w:tc>
        <w:tc>
          <w:tcPr>
            <w:tcW w:type="dxa" w:w="1040"/>
          </w:tcPr>
          <w:p>
            <w:pPr>
              <w:spacing w:line="240" w:lineRule="auto"/>
            </w:pPr>
            <w:r>
              <w:rPr>
                <w:rFonts w:ascii="Times New Roman" w:hAnsi="Times New Roman"/>
                <w:b/>
                <w:sz w:val="18"/>
              </w:rPr>
              <w:t>specificity_high</w:t>
            </w:r>
          </w:p>
        </w:tc>
        <w:tc>
          <w:tcPr>
            <w:tcW w:type="dxa" w:w="1040"/>
          </w:tcPr>
          <w:p>
            <w:pPr>
              <w:spacing w:line="240" w:lineRule="auto"/>
            </w:pPr>
            <w:r>
              <w:rPr>
                <w:rFonts w:ascii="Times New Roman" w:hAnsi="Times New Roman"/>
                <w:b/>
                <w:sz w:val="18"/>
              </w:rPr>
              <w:t>f1_high</w:t>
            </w:r>
          </w:p>
        </w:tc>
        <w:tc>
          <w:tcPr>
            <w:tcW w:type="dxa" w:w="1040"/>
          </w:tcPr>
          <w:p>
            <w:pPr>
              <w:spacing w:line="240" w:lineRule="auto"/>
            </w:pPr>
            <w:r>
              <w:rPr>
                <w:rFonts w:ascii="Times New Roman" w:hAnsi="Times New Roman"/>
                <w:b/>
                <w:sz w:val="18"/>
              </w:rPr>
              <w:t>accuracy_3level</w:t>
            </w:r>
          </w:p>
        </w:tc>
        <w:tc>
          <w:tcPr>
            <w:tcW w:type="dxa" w:w="1040"/>
          </w:tcPr>
          <w:p>
            <w:pPr>
              <w:spacing w:line="240" w:lineRule="auto"/>
            </w:pPr>
            <w:r>
              <w:rPr>
                <w:rFonts w:ascii="Times New Roman" w:hAnsi="Times New Roman"/>
                <w:b/>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0.779</w:t>
            </w:r>
          </w:p>
        </w:tc>
        <w:tc>
          <w:tcPr>
            <w:tcW w:type="dxa" w:w="1040"/>
          </w:tcPr>
          <w:p>
            <w:pPr>
              <w:spacing w:line="240" w:lineRule="auto"/>
            </w:pPr>
            <w:r>
              <w:rPr>
                <w:rFonts w:ascii="Times New Roman" w:hAnsi="Times New Roman"/>
                <w:sz w:val="18"/>
              </w:rPr>
              <w:t>0.936</w:t>
            </w:r>
          </w:p>
        </w:tc>
        <w:tc>
          <w:tcPr>
            <w:tcW w:type="dxa" w:w="1040"/>
          </w:tcPr>
          <w:p>
            <w:pPr>
              <w:spacing w:line="240" w:lineRule="auto"/>
            </w:pPr>
            <w:r>
              <w:rPr>
                <w:rFonts w:ascii="Times New Roman" w:hAnsi="Times New Roman"/>
                <w:sz w:val="18"/>
              </w:rPr>
              <w:t>0.785</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0.603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0.907</w:t>
            </w:r>
          </w:p>
        </w:tc>
        <w:tc>
          <w:tcPr>
            <w:tcW w:type="dxa" w:w="1040"/>
          </w:tcPr>
          <w:p>
            <w:pPr>
              <w:spacing w:line="240" w:lineRule="auto"/>
            </w:pPr>
            <w:r>
              <w:rPr>
                <w:rFonts w:ascii="Times New Roman" w:hAnsi="Times New Roman"/>
                <w:sz w:val="18"/>
              </w:rPr>
              <w:t>0.857</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0.250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0.576</w:t>
            </w:r>
          </w:p>
        </w:tc>
        <w:tc>
          <w:tcPr>
            <w:tcW w:type="dxa" w:w="1040"/>
          </w:tcPr>
          <w:p>
            <w:pPr>
              <w:spacing w:line="240" w:lineRule="auto"/>
            </w:pPr>
            <w:r>
              <w:rPr>
                <w:rFonts w:ascii="Times New Roman" w:hAnsi="Times New Roman"/>
                <w:sz w:val="18"/>
              </w:rPr>
              <w:t>0.333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0.214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0.343</w:t>
            </w:r>
          </w:p>
        </w:tc>
        <w:tc>
          <w:tcPr>
            <w:tcW w:type="dxa" w:w="1040"/>
          </w:tcPr>
          <w:p>
            <w:pPr>
              <w:spacing w:line="240" w:lineRule="auto"/>
            </w:pPr>
            <w:r>
              <w:rPr>
                <w:rFonts w:ascii="Times New Roman" w:hAnsi="Times New Roman"/>
                <w:sz w:val="18"/>
              </w:rPr>
              <w:t>0.585</w:t>
            </w:r>
          </w:p>
        </w:tc>
        <w:tc>
          <w:tcPr>
            <w:tcW w:type="dxa" w:w="1040"/>
          </w:tcPr>
          <w:p>
            <w:pPr>
              <w:spacing w:line="240" w:lineRule="auto"/>
            </w:pPr>
            <w:r>
              <w:rPr>
                <w:rFonts w:ascii="Times New Roman" w:hAnsi="Times New Roman"/>
                <w:sz w:val="18"/>
              </w:rPr>
              <w:t>0.341</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0.536</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0.698</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0.587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0.704</w:t>
            </w:r>
          </w:p>
        </w:tc>
        <w:tc>
          <w:tcPr>
            <w:tcW w:type="dxa" w:w="1040"/>
          </w:tcPr>
          <w:p>
            <w:pPr>
              <w:spacing w:line="240" w:lineRule="auto"/>
            </w:pPr>
            <w:r>
              <w:rPr>
                <w:rFonts w:ascii="Times New Roman" w:hAnsi="Times New Roman"/>
                <w:sz w:val="18"/>
              </w:rPr>
              <w:t>0.642</w:t>
            </w:r>
          </w:p>
        </w:tc>
        <w:tc>
          <w:tcPr>
            <w:tcW w:type="dxa" w:w="1040"/>
          </w:tcPr>
          <w:p>
            <w:pPr>
              <w:spacing w:line="240" w:lineRule="auto"/>
            </w:pPr>
            <w:r>
              <w:rPr>
                <w:rFonts w:ascii="Times New Roman" w:hAnsi="Times New Roman"/>
                <w:sz w:val="18"/>
              </w:rPr>
              <w:t>0.630</w:t>
            </w:r>
          </w:p>
        </w:tc>
        <w:tc>
          <w:tcPr>
            <w:tcW w:type="dxa" w:w="1040"/>
          </w:tcPr>
          <w:p>
            <w:pPr>
              <w:spacing w:line="240" w:lineRule="auto"/>
            </w:pPr>
            <w:r>
              <w:rPr>
                <w:rFonts w:ascii="Times New Roman" w:hAnsi="Times New Roman"/>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0.264</w:t>
            </w:r>
          </w:p>
        </w:tc>
        <w:tc>
          <w:tcPr>
            <w:tcW w:type="dxa" w:w="1040"/>
          </w:tcPr>
          <w:p>
            <w:pPr>
              <w:spacing w:line="240" w:lineRule="auto"/>
            </w:pPr>
            <w:r>
              <w:rPr>
                <w:rFonts w:ascii="Times New Roman" w:hAnsi="Times New Roman"/>
                <w:sz w:val="18"/>
              </w:rPr>
              <w:t>0.949</w:t>
            </w:r>
          </w:p>
        </w:tc>
        <w:tc>
          <w:tcPr>
            <w:tcW w:type="dxa" w:w="1040"/>
          </w:tcPr>
          <w:p>
            <w:pPr>
              <w:spacing w:line="240" w:lineRule="auto"/>
            </w:pPr>
            <w:r>
              <w:rPr>
                <w:rFonts w:ascii="Times New Roman" w:hAnsi="Times New Roman"/>
                <w:sz w:val="18"/>
              </w:rPr>
              <w:t>0.377</w:t>
            </w:r>
          </w:p>
        </w:tc>
        <w:tc>
          <w:tcPr>
            <w:tcW w:type="dxa" w:w="1040"/>
          </w:tcPr>
          <w:p>
            <w:pPr>
              <w:spacing w:line="240" w:lineRule="auto"/>
            </w:pPr>
            <w:r>
              <w:rPr>
                <w:rFonts w:ascii="Times New Roman" w:hAnsi="Times New Roman"/>
                <w:sz w:val="18"/>
              </w:rPr>
              <w:t>0.591</w:t>
            </w:r>
          </w:p>
        </w:tc>
        <w:tc>
          <w:tcPr>
            <w:tcW w:type="dxa" w:w="1040"/>
          </w:tcPr>
          <w:p>
            <w:pPr>
              <w:spacing w:line="240" w:lineRule="auto"/>
            </w:pPr>
            <w:r>
              <w:rPr>
                <w:rFonts w:ascii="Times New Roman" w:hAnsi="Times New Roman"/>
                <w:sz w:val="18"/>
              </w:rPr>
              <w:t>0.220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0.320</w:t>
            </w:r>
          </w:p>
        </w:tc>
        <w:tc>
          <w:tcPr>
            <w:tcW w:type="dxa" w:w="1040"/>
          </w:tcPr>
          <w:p>
            <w:pPr>
              <w:spacing w:line="240" w:lineRule="auto"/>
            </w:pPr>
            <w:r>
              <w:rPr>
                <w:rFonts w:ascii="Times New Roman" w:hAnsi="Times New Roman"/>
                <w:sz w:val="18"/>
              </w:rPr>
              <w:t>0.955</w:t>
            </w:r>
          </w:p>
        </w:tc>
        <w:tc>
          <w:tcPr>
            <w:tcW w:type="dxa" w:w="1040"/>
          </w:tcPr>
          <w:p>
            <w:pPr>
              <w:spacing w:line="240" w:lineRule="auto"/>
            </w:pPr>
            <w:r>
              <w:rPr>
                <w:rFonts w:ascii="Times New Roman" w:hAnsi="Times New Roman"/>
                <w:sz w:val="18"/>
              </w:rPr>
              <w:t>0.444</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0.080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0.148</w:t>
            </w:r>
          </w:p>
        </w:tc>
        <w:tc>
          <w:tcPr>
            <w:tcW w:type="dxa" w:w="1040"/>
          </w:tcPr>
          <w:p>
            <w:pPr>
              <w:spacing w:line="240" w:lineRule="auto"/>
            </w:pPr>
            <w:r>
              <w:rPr>
                <w:rFonts w:ascii="Times New Roman" w:hAnsi="Times New Roman"/>
                <w:sz w:val="18"/>
              </w:rPr>
              <w:t>0.609</w:t>
            </w:r>
          </w:p>
        </w:tc>
        <w:tc>
          <w:tcPr>
            <w:tcW w:type="dxa" w:w="1040"/>
          </w:tcPr>
          <w:p>
            <w:pPr>
              <w:spacing w:line="240" w:lineRule="auto"/>
            </w:pPr>
            <w:r>
              <w:rPr>
                <w:rFonts w:ascii="Times New Roman" w:hAnsi="Times New Roman"/>
                <w:sz w:val="18"/>
              </w:rPr>
              <w:t>0.317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0.571</w:t>
            </w:r>
          </w:p>
        </w:tc>
        <w:tc>
          <w:tcPr>
            <w:tcW w:type="dxa" w:w="1040"/>
          </w:tcPr>
          <w:p>
            <w:pPr>
              <w:spacing w:line="240" w:lineRule="auto"/>
            </w:pPr>
            <w:r>
              <w:rPr>
                <w:rFonts w:ascii="Times New Roman" w:hAnsi="Times New Roman"/>
                <w:sz w:val="18"/>
              </w:rPr>
              <w:t>0.728</w:t>
            </w:r>
          </w:p>
        </w:tc>
        <w:tc>
          <w:tcPr>
            <w:tcW w:type="dxa" w:w="1040"/>
          </w:tcPr>
          <w:p>
            <w:pPr>
              <w:spacing w:line="240" w:lineRule="auto"/>
            </w:pPr>
            <w:r>
              <w:rPr>
                <w:rFonts w:ascii="Times New Roman" w:hAnsi="Times New Roman"/>
                <w:sz w:val="18"/>
              </w:rPr>
              <w:t>0.553</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0.240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0.387</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color w:val="C00000"/>
                <w:sz w:val="18"/>
              </w:rPr>
              <w:t>All 92 (vs absorption-corrected gold)</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62 (0.674)</w:t>
            </w:r>
          </w:p>
        </w:tc>
      </w:tr>
      <w:tr>
        <w:tc>
          <w:tcPr>
            <w:tcW w:type="dxa" w:w="3120"/>
          </w:tcPr>
          <w:p>
            <w:pPr>
              <w:spacing w:line="240" w:lineRule="auto"/>
            </w:pPr>
            <w:r>
              <w:rPr>
                <w:rFonts w:ascii="Times New Roman" w:hAnsi="Times New Roman"/>
                <w:color w:val="C00000"/>
                <w:sz w:val="18"/>
              </w:rPr>
              <w:t>All 92 (vs uncorrected DDInter severity)</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34 (0.370)</w:t>
            </w:r>
          </w:p>
        </w:tc>
      </w:tr>
      <w:tr>
        <w:tc>
          <w:tcPr>
            <w:tcW w:type="dxa" w:w="3120"/>
          </w:tcPr>
          <w:p>
            <w:pPr>
              <w:spacing w:line="240" w:lineRule="auto"/>
            </w:pPr>
            <w:r>
              <w:rPr>
                <w:rFonts w:ascii="Times New Roman" w:hAnsi="Times New Roman"/>
                <w:color w:val="C00000"/>
                <w:sz w:val="18"/>
              </w:rPr>
              <w:t>Absorption-corrected cases (gold set to low)</w:t>
            </w:r>
          </w:p>
        </w:tc>
        <w:tc>
          <w:tcPr>
            <w:tcW w:type="dxa" w:w="3120"/>
          </w:tcPr>
          <w:p>
            <w:pPr>
              <w:spacing w:line="240" w:lineRule="auto"/>
            </w:pPr>
            <w:r>
              <w:rPr>
                <w:rFonts w:ascii="Times New Roman" w:hAnsi="Times New Roman"/>
                <w:color w:val="C00000"/>
                <w:sz w:val="18"/>
              </w:rPr>
              <w:t>30</w:t>
            </w:r>
          </w:p>
        </w:tc>
        <w:tc>
          <w:tcPr>
            <w:tcW w:type="dxa" w:w="3120"/>
          </w:tcPr>
          <w:p>
            <w:pPr>
              <w:spacing w:line="240" w:lineRule="auto"/>
            </w:pPr>
            <w:r>
              <w:rPr>
                <w:rFonts w:ascii="Times New Roman" w:hAnsi="Times New Roman"/>
                <w:color w:val="C00000"/>
                <w:sz w:val="18"/>
              </w:rPr>
              <w:t>28 (0.933)</w:t>
            </w:r>
          </w:p>
        </w:tc>
      </w:tr>
      <w:tr>
        <w:tc>
          <w:tcPr>
            <w:tcW w:type="dxa" w:w="3120"/>
          </w:tcPr>
          <w:p>
            <w:pPr>
              <w:spacing w:line="240" w:lineRule="auto"/>
            </w:pPr>
            <w:r>
              <w:rPr>
                <w:rFonts w:ascii="Times New Roman" w:hAnsi="Times New Roman"/>
                <w:color w:val="C00000"/>
                <w:sz w:val="18"/>
              </w:rPr>
              <w:t>Kept cases (third-party severity, gold = DDInter)</w:t>
            </w:r>
          </w:p>
        </w:tc>
        <w:tc>
          <w:tcPr>
            <w:tcW w:type="dxa" w:w="3120"/>
          </w:tcPr>
          <w:p>
            <w:pPr>
              <w:spacing w:line="240" w:lineRule="auto"/>
            </w:pPr>
            <w:r>
              <w:rPr>
                <w:rFonts w:ascii="Times New Roman" w:hAnsi="Times New Roman"/>
                <w:color w:val="C00000"/>
                <w:sz w:val="18"/>
              </w:rPr>
              <w:t>62</w:t>
            </w:r>
          </w:p>
        </w:tc>
        <w:tc>
          <w:tcPr>
            <w:tcW w:type="dxa" w:w="3120"/>
          </w:tcPr>
          <w:p>
            <w:pPr>
              <w:spacing w:line="240" w:lineRule="auto"/>
            </w:pPr>
            <w:r>
              <w:rPr>
                <w:rFonts w:ascii="Times New Roman" w:hAnsi="Times New Roman"/>
                <w:color w:val="C00000"/>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color w:val="C00000"/>
                <w:sz w:val="18"/>
              </w:rPr>
              <w:t>disagreement direction (vs corrected gold)</w:t>
            </w:r>
          </w:p>
        </w:tc>
        <w:tc>
          <w:tcPr>
            <w:tcW w:type="dxa" w:w="4680"/>
          </w:tcPr>
          <w:p>
            <w:pPr>
              <w:spacing w:line="240" w:lineRule="auto"/>
            </w:pPr>
            <w:r>
              <w:rPr>
                <w:rFonts w:ascii="Times New Roman" w:hAnsi="Times New Roman"/>
                <w:b/>
                <w:color w:val="C00000"/>
                <w:sz w:val="18"/>
              </w:rPr>
              <w:t>n</w:t>
            </w:r>
          </w:p>
        </w:tc>
      </w:tr>
      <w:tr>
        <w:tc>
          <w:tcPr>
            <w:tcW w:type="dxa" w:w="4680"/>
          </w:tcPr>
          <w:p>
            <w:pPr>
              <w:spacing w:line="240" w:lineRule="auto"/>
            </w:pPr>
            <w:r>
              <w:rPr>
                <w:rFonts w:ascii="Times New Roman" w:hAnsi="Times New Roman"/>
                <w:color w:val="C00000"/>
                <w:sz w:val="18"/>
              </w:rPr>
              <w:t>high-&gt;low</w:t>
            </w:r>
          </w:p>
        </w:tc>
        <w:tc>
          <w:tcPr>
            <w:tcW w:type="dxa" w:w="4680"/>
          </w:tcPr>
          <w:p>
            <w:pPr>
              <w:spacing w:line="240" w:lineRule="auto"/>
            </w:pPr>
            <w:r>
              <w:rPr>
                <w:rFonts w:ascii="Times New Roman" w:hAnsi="Times New Roman"/>
                <w:color w:val="C00000"/>
                <w:sz w:val="18"/>
              </w:rPr>
              <w:t>8</w:t>
            </w:r>
          </w:p>
        </w:tc>
      </w:tr>
      <w:tr>
        <w:tc>
          <w:tcPr>
            <w:tcW w:type="dxa" w:w="4680"/>
          </w:tcPr>
          <w:p>
            <w:pPr>
              <w:spacing w:line="240" w:lineRule="auto"/>
            </w:pPr>
            <w:r>
              <w:rPr>
                <w:rFonts w:ascii="Times New Roman" w:hAnsi="Times New Roman"/>
                <w:color w:val="C00000"/>
                <w:sz w:val="18"/>
              </w:rPr>
              <w:t>high-&gt;medium</w:t>
            </w:r>
          </w:p>
        </w:tc>
        <w:tc>
          <w:tcPr>
            <w:tcW w:type="dxa" w:w="4680"/>
          </w:tcPr>
          <w:p>
            <w:pPr>
              <w:spacing w:line="240" w:lineRule="auto"/>
            </w:pPr>
            <w:r>
              <w:rPr>
                <w:rFonts w:ascii="Times New Roman" w:hAnsi="Times New Roman"/>
                <w:color w:val="C00000"/>
                <w:sz w:val="18"/>
              </w:rPr>
              <w:t>9</w:t>
            </w:r>
          </w:p>
        </w:tc>
      </w:tr>
      <w:tr>
        <w:tc>
          <w:tcPr>
            <w:tcW w:type="dxa" w:w="4680"/>
          </w:tcPr>
          <w:p>
            <w:pPr>
              <w:spacing w:line="240" w:lineRule="auto"/>
            </w:pPr>
            <w:r>
              <w:rPr>
                <w:rFonts w:ascii="Times New Roman" w:hAnsi="Times New Roman"/>
                <w:color w:val="C00000"/>
                <w:sz w:val="18"/>
              </w:rPr>
              <w:t>medium-&gt;low</w:t>
            </w:r>
          </w:p>
        </w:tc>
        <w:tc>
          <w:tcPr>
            <w:tcW w:type="dxa" w:w="4680"/>
          </w:tcPr>
          <w:p>
            <w:pPr>
              <w:spacing w:line="240" w:lineRule="auto"/>
            </w:pPr>
            <w:r>
              <w:rPr>
                <w:rFonts w:ascii="Times New Roman" w:hAnsi="Times New Roman"/>
                <w:color w:val="C00000"/>
                <w:sz w:val="18"/>
              </w:rPr>
              <w:t>9</w:t>
            </w:r>
          </w:p>
        </w:tc>
      </w:tr>
      <w:tr>
        <w:tc>
          <w:tcPr>
            <w:tcW w:type="dxa" w:w="4680"/>
          </w:tcPr>
          <w:p>
            <w:pPr>
              <w:spacing w:line="240" w:lineRule="auto"/>
            </w:pPr>
            <w:r>
              <w:rPr>
                <w:rFonts w:ascii="Times New Roman" w:hAnsi="Times New Roman"/>
                <w:color w:val="C00000"/>
                <w:sz w:val="18"/>
              </w:rPr>
              <w:t>medium-&gt;high</w:t>
            </w:r>
          </w:p>
        </w:tc>
        <w:tc>
          <w:tcPr>
            <w:tcW w:type="dxa" w:w="4680"/>
          </w:tcPr>
          <w:p>
            <w:pPr>
              <w:spacing w:line="240" w:lineRule="auto"/>
            </w:pPr>
            <w:r>
              <w:rPr>
                <w:rFonts w:ascii="Times New Roman" w:hAnsi="Times New Roman"/>
                <w:color w:val="C00000"/>
                <w:sz w:val="18"/>
              </w:rPr>
              <w:t>2</w:t>
            </w:r>
          </w:p>
        </w:tc>
      </w:tr>
      <w:tr>
        <w:tc>
          <w:tcPr>
            <w:tcW w:type="dxa" w:w="4680"/>
          </w:tcPr>
          <w:p>
            <w:pPr>
              <w:spacing w:line="240" w:lineRule="auto"/>
            </w:pPr>
            <w:r>
              <w:rPr>
                <w:rFonts w:ascii="Times New Roman" w:hAnsi="Times New Roman"/>
                <w:color w:val="C00000"/>
                <w:sz w:val="18"/>
              </w:rPr>
              <w:t>low-&gt;medium</w:t>
            </w:r>
          </w:p>
        </w:tc>
        <w:tc>
          <w:tcPr>
            <w:tcW w:type="dxa" w:w="4680"/>
          </w:tcPr>
          <w:p>
            <w:pPr>
              <w:spacing w:line="240" w:lineRule="auto"/>
            </w:pPr>
            <w:r>
              <w:rPr>
                <w:rFonts w:ascii="Times New Roman" w:hAnsi="Times New Roman"/>
                <w:color w:val="C00000"/>
                <w:sz w:val="18"/>
              </w:rPr>
              <w:t>1</w:t>
            </w:r>
          </w:p>
        </w:tc>
      </w:tr>
      <w:tr>
        <w:tc>
          <w:tcPr>
            <w:tcW w:type="dxa" w:w="4680"/>
          </w:tcPr>
          <w:p>
            <w:pPr>
              <w:spacing w:line="240" w:lineRule="auto"/>
            </w:pPr>
            <w:r>
              <w:rPr>
                <w:rFonts w:ascii="Times New Roman" w:hAnsi="Times New Roman"/>
                <w:color w:val="C00000"/>
                <w:sz w:val="18"/>
              </w:rPr>
              <w:t>low-&gt;high</w:t>
            </w:r>
          </w:p>
        </w:tc>
        <w:tc>
          <w:tcPr>
            <w:tcW w:type="dxa" w:w="4680"/>
          </w:tcPr>
          <w:p>
            <w:pPr>
              <w:spacing w:line="240" w:lineRule="auto"/>
            </w:pPr>
            <w:r>
              <w:rPr>
                <w:rFonts w:ascii="Times New Roman" w:hAnsi="Times New Roman"/>
                <w:color w:val="C00000"/>
                <w:sz w:val="18"/>
              </w:rPr>
              <w:t>1</w:t>
            </w:r>
          </w:p>
        </w:tc>
      </w:tr>
      <w:tr>
        <w:tc>
          <w:tcPr>
            <w:tcW w:type="dxa" w:w="4680"/>
          </w:tcPr>
          <w:p>
            <w:pPr>
              <w:spacing w:line="240" w:lineRule="auto"/>
            </w:pPr>
            <w:r>
              <w:rPr>
                <w:rFonts w:ascii="Times New Roman" w:hAnsi="Times New Roman"/>
                <w:color w:val="C00000"/>
                <w:sz w:val="18"/>
              </w:rPr>
              <w:t>total disagreements</w:t>
            </w:r>
          </w:p>
        </w:tc>
        <w:tc>
          <w:tcPr>
            <w:tcW w:type="dxa" w:w="4680"/>
          </w:tcPr>
          <w:p>
            <w:pPr>
              <w:spacing w:line="240" w:lineRule="auto"/>
            </w:pPr>
            <w:r>
              <w:rPr>
                <w:rFonts w:ascii="Times New Roman" w:hAnsi="Times New Roman"/>
                <w:color w:val="C00000"/>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 The 62-case "kept" stratum is the subset whose gold is the third-party DDInter severity, so it is the only stratum free of the system's own absorption assumption; the 0.548 figure there should be read as the audit-set headline rather than 0.674. Of those 62 cases, the deposited BM25 retrieval returns the pair's own DDInter statement within the top-3 passages for 19, so the baseline figures on this stratum are partly confounded (see scripts/naive_rag_leakage_audit.py).</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color w:val="C00000"/>
                <w:sz w:val="18"/>
              </w:rPr>
              <w:t>case</w:t>
            </w:r>
          </w:p>
        </w:tc>
        <w:tc>
          <w:tcPr>
            <w:tcW w:type="dxa" w:w="1337"/>
          </w:tcPr>
          <w:p>
            <w:pPr>
              <w:spacing w:line="240" w:lineRule="auto"/>
            </w:pPr>
            <w:r>
              <w:rPr>
                <w:rFonts w:ascii="Times New Roman" w:hAnsi="Times New Roman"/>
                <w:b/>
                <w:color w:val="C00000"/>
                <w:sz w:val="18"/>
              </w:rPr>
              <w:t>ophthalmic</w:t>
            </w:r>
          </w:p>
        </w:tc>
        <w:tc>
          <w:tcPr>
            <w:tcW w:type="dxa" w:w="1337"/>
          </w:tcPr>
          <w:p>
            <w:pPr>
              <w:spacing w:line="240" w:lineRule="auto"/>
            </w:pPr>
            <w:r>
              <w:rPr>
                <w:rFonts w:ascii="Times New Roman" w:hAnsi="Times New Roman"/>
                <w:b/>
                <w:color w:val="C00000"/>
                <w:sz w:val="18"/>
              </w:rPr>
              <w:t>systemic</w:t>
            </w:r>
          </w:p>
        </w:tc>
        <w:tc>
          <w:tcPr>
            <w:tcW w:type="dxa" w:w="1337"/>
          </w:tcPr>
          <w:p>
            <w:pPr>
              <w:spacing w:line="240" w:lineRule="auto"/>
            </w:pPr>
            <w:r>
              <w:rPr>
                <w:rFonts w:ascii="Times New Roman" w:hAnsi="Times New Roman"/>
                <w:b/>
                <w:color w:val="C00000"/>
                <w:sz w:val="18"/>
              </w:rPr>
              <w:t>gold shown</w:t>
            </w:r>
          </w:p>
        </w:tc>
        <w:tc>
          <w:tcPr>
            <w:tcW w:type="dxa" w:w="1337"/>
          </w:tcPr>
          <w:p>
            <w:pPr>
              <w:spacing w:line="240" w:lineRule="auto"/>
            </w:pPr>
            <w:r>
              <w:rPr>
                <w:rFonts w:ascii="Times New Roman" w:hAnsi="Times New Roman"/>
                <w:b/>
                <w:color w:val="C00000"/>
                <w:sz w:val="18"/>
              </w:rPr>
              <w:t>system shown</w:t>
            </w:r>
          </w:p>
        </w:tc>
        <w:tc>
          <w:tcPr>
            <w:tcW w:type="dxa" w:w="1337"/>
          </w:tcPr>
          <w:p>
            <w:pPr>
              <w:spacing w:line="240" w:lineRule="auto"/>
            </w:pPr>
            <w:r>
              <w:rPr>
                <w:rFonts w:ascii="Times New Roman" w:hAnsi="Times New Roman"/>
                <w:b/>
                <w:color w:val="C00000"/>
                <w:sz w:val="18"/>
              </w:rPr>
              <w:t>expert1</w:t>
            </w:r>
          </w:p>
        </w:tc>
        <w:tc>
          <w:tcPr>
            <w:tcW w:type="dxa" w:w="1337"/>
          </w:tcPr>
          <w:p>
            <w:pPr>
              <w:spacing w:line="240" w:lineRule="auto"/>
            </w:pPr>
            <w:r>
              <w:rPr>
                <w:rFonts w:ascii="Times New Roman" w:hAnsi="Times New Roman"/>
                <w:b/>
                <w:color w:val="C00000"/>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color w:val="C00000"/>
                <w:sz w:val="18"/>
              </w:rPr>
              <w:t>R03</w:t>
            </w:r>
          </w:p>
        </w:tc>
        <w:tc>
          <w:tcPr>
            <w:tcW w:type="dxa" w:w="1337"/>
          </w:tcPr>
          <w:p>
            <w:pPr>
              <w:spacing w:line="240" w:lineRule="auto"/>
            </w:pPr>
            <w:r>
              <w:rPr>
                <w:rFonts w:ascii="Times New Roman" w:hAnsi="Times New Roman"/>
                <w:color w:val="C00000"/>
                <w:sz w:val="18"/>
              </w:rPr>
              <w:t>Dexamethasone</w:t>
            </w:r>
          </w:p>
        </w:tc>
        <w:tc>
          <w:tcPr>
            <w:tcW w:type="dxa" w:w="1337"/>
          </w:tcPr>
          <w:p>
            <w:pPr>
              <w:spacing w:line="240" w:lineRule="auto"/>
            </w:pPr>
            <w:r>
              <w:rPr>
                <w:rFonts w:ascii="Times New Roman" w:hAnsi="Times New Roman"/>
                <w:color w:val="C00000"/>
                <w:sz w:val="18"/>
              </w:rPr>
              <w:t>Rifampicin</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color w:val="C00000"/>
                <w:sz w:val="18"/>
              </w:rPr>
              <w:t>R10</w:t>
            </w:r>
          </w:p>
        </w:tc>
        <w:tc>
          <w:tcPr>
            <w:tcW w:type="dxa" w:w="1337"/>
          </w:tcPr>
          <w:p>
            <w:pPr>
              <w:spacing w:line="240" w:lineRule="auto"/>
            </w:pPr>
            <w:r>
              <w:rPr>
                <w:rFonts w:ascii="Times New Roman" w:hAnsi="Times New Roman"/>
                <w:color w:val="C00000"/>
                <w:sz w:val="18"/>
              </w:rPr>
              <w:t>Fluorometholone</w:t>
            </w:r>
          </w:p>
        </w:tc>
        <w:tc>
          <w:tcPr>
            <w:tcW w:type="dxa" w:w="1337"/>
          </w:tcPr>
          <w:p>
            <w:pPr>
              <w:spacing w:line="240" w:lineRule="auto"/>
            </w:pPr>
            <w:r>
              <w:rPr>
                <w:rFonts w:ascii="Times New Roman" w:hAnsi="Times New Roman"/>
                <w:color w:val="C00000"/>
                <w:sz w:val="18"/>
              </w:rPr>
              <w:t>Prednisone</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color w:val="C00000"/>
                <w:sz w:val="18"/>
              </w:rPr>
              <w:t>R11</w:t>
            </w:r>
          </w:p>
        </w:tc>
        <w:tc>
          <w:tcPr>
            <w:tcW w:type="dxa" w:w="1337"/>
          </w:tcPr>
          <w:p>
            <w:pPr>
              <w:spacing w:line="240" w:lineRule="auto"/>
            </w:pPr>
            <w:r>
              <w:rPr>
                <w:rFonts w:ascii="Times New Roman" w:hAnsi="Times New Roman"/>
                <w:color w:val="C00000"/>
                <w:sz w:val="18"/>
              </w:rPr>
              <w:t>Fluorometholone</w:t>
            </w:r>
          </w:p>
        </w:tc>
        <w:tc>
          <w:tcPr>
            <w:tcW w:type="dxa" w:w="1337"/>
          </w:tcPr>
          <w:p>
            <w:pPr>
              <w:spacing w:line="240" w:lineRule="auto"/>
            </w:pPr>
            <w:r>
              <w:rPr>
                <w:rFonts w:ascii="Times New Roman" w:hAnsi="Times New Roman"/>
                <w:color w:val="C00000"/>
                <w:sz w:val="18"/>
              </w:rPr>
              <w:t>Glimepiride</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medium</w:t>
            </w:r>
          </w:p>
        </w:tc>
        <w:tc>
          <w:tcPr>
            <w:tcW w:type="dxa" w:w="1337"/>
          </w:tcPr>
          <w:p>
            <w:pPr>
              <w:spacing w:line="240" w:lineRule="auto"/>
            </w:pPr>
            <w:r>
              <w:rPr>
                <w:rFonts w:ascii="Times New Roman" w:hAnsi="Times New Roman"/>
                <w:color w:val="C00000"/>
                <w:sz w:val="18"/>
              </w:rPr>
              <w:t>low</w:t>
            </w:r>
          </w:p>
        </w:tc>
        <w:tc>
          <w:tcPr>
            <w:tcW w:type="dxa" w:w="1337"/>
          </w:tcPr>
          <w:p>
            <w:pPr>
              <w:spacing w:line="240" w:lineRule="auto"/>
            </w:pPr>
            <w:r>
              <w:rPr>
                <w:rFonts w:ascii="Times New Roman" w:hAnsi="Times New Roman"/>
                <w:color w:val="C00000"/>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r>
        <w:rPr>
          <w:rFonts w:ascii="Times New Roman" w:hAnsi="Times New Roman"/>
          <w:b w:val="0"/>
          <w:sz w:val="18"/>
        </w:rPr>
        <w:t>Note: system shown is the system grade displayed on the questionnaire the experts graded, which is the correct comparator for expert-system agreement. It is the value the engine returned at the time for R01-R09 and R12; for R10 and R11 the engine has since been changed (the displayed grade was medium, the current engine returns low). Expert values are transcribed from the returned questionnaires: expert 1's form is deposited as a scan, expert 2's responses were returned in text. R03 is recorded here as low/low; an earlier version of this table listed medium/medium in error, and the kappa values reported in the manuscript are computed from the values in this table.</w:t>
      </w:r>
    </w:p>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p>
      <w:pPr>
        <w:pStyle w:val="BodyText"/>
        <w:spacing w:line="480" w:lineRule="auto"/>
      </w:pPr>
      <w:r>
        <w:rPr>
          <w:rFonts w:ascii="Times New Roman" w:hAnsi="Times New Roman"/>
          <w:color w:val="C00000"/>
        </w:rPr>
        <w:t xml:space="preserve">[N1] Korte JM, Kaila T, Saari KM. Systemic bioavailability and cardiopulmonary effects of 0.25%, 0.5%, and 1% timolol eyedrops. Graefes Arch Clin Exp Ophthalmol. 2002;240(6):430-435. doi: 10.1007/s00417-002-0462-2</w:t>
      </w:r>
      <w:r>
        <w:rPr>
          <w:rFonts w:ascii="Times New Roman" w:hAnsi="Times New Roman"/>
          <w:color w:val="C00000"/>
        </w:rPr>
        <w:t xml:space="preserve"> </w:t>
      </w:r>
      <w:r>
        <w:rPr>
          <w:rFonts w:ascii="Times New Roman" w:hAnsi="Times New Roman"/>
          <w:color w:val="C00000"/>
        </w:rPr>
        <w:t xml:space="preserve">[N2] Tian S, Wang N, Yang Z, Li Y, Xiong G, Wang L, et al. DDInter 2.0: an enhanced drug-drug interaction database for precision medicine. Nucleic Acids Res. 2025. doi: 10.1093/nar/gkae726</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2026-10-04T18:39:00Z</dcterms:created>
  <dcterms:modified xsi:type="dcterms:W3CDTF">2026-10-04T18:39:00Z</dcterms:modified>
</cp:coreProperties>
</file>

<file path=docProps/custom.xml><?xml version="1.0" encoding="utf-8"?>
<Properties xmlns="http://schemas.openxmlformats.org/officeDocument/2006/custom-properties" xmlns:vt="http://schemas.openxmlformats.org/officeDocument/2006/docPropsVTypes"/>
</file>