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75.0% were graded lower once absorption was modelled (346 downgraded from high; 17.9% of all pairs), and 77.0% of downgrades were attributable to low systemic absorption. On a 118-case literature-derived gold the cascade reached 0.915 exact accuracy (108/118; kappa 0.870) versus 0.415–0.741 for three LLM baselines, with significant McNemar tests. On a semi-independent 92-case audit set it reached 0.707 accuracy but the lowest high-risk sensitivity of the four methods (0.440, 11 of 25).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naive keyword retrieval (BM25) degraded accuracy below the plain-LLM baseline in this domain [20], while graph-based retrieval (LightRAG) provided measurable but incomplete gains [21].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75.0% of pairs lower, 346 pairs move down from high, and a single nameable mechanism — low systemic absorption from the topical route — accounts for 77.0%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study team comprises the two named authors, both clinicians,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39"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0.915 exact accuracy (108/118; Wilson 95% CI 0.851–0.953), 1.000 high-risk sensitivity (28 of 28; CI 0.879–1.000), 0.989 specificity, and Cohen’s kappa 0.870 (bootstrap CI 0.791–0.947), with zero variance across conditions. Lightrag reached 0.741 accuracy, 0.793 sensitivity, and 0.936 specificity (kappa 0.609).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0.174, with a kappa gap of 0.261, indicating that the deterministic knowledge engineering contributed more than retrieval augmentation alone. Naive BM25 retrieval was consistently worse than the plain-LLM baseline, indicating that keyword retrieval injects noise in this domain.</w:t>
      </w:r>
    </w:p>
    <w:p>
      <w:pPr>
        <w:pStyle w:val="BodyText"/>
        <w:spacing w:line="480" w:lineRule="auto"/>
      </w:pPr>
      <w:r>
        <w:rPr>
          <w:rFonts w:ascii="Times New Roman" w:hAnsi="Times New Roman"/>
        </w:rPr>
        <w:t xml:space="preserve">In the per-subset analysis, the procedurally frozen blind subset (n = 40, SHA-locked) reached 1.000 accuracy (Clopper–Pearson CI 0.912–1.000), including the never-development-exposed blind-1 subset (n = 20; CI 0.832–1.000) and the blind-2 subset (n = 20) that had entered the development loop. The FDA/Stockley’s/BNF mechanism subset (n = 20) also reached 1.000. The guideline-sourced subset (n = 58) reached 0.828 (48/58). All ten exact-scale disagreements occurred in the guideline subset; they concerned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1,450 pairs (75.0%) were graded lower by the system, including 346 pairs downgraded from high (43 to medium, 303 to low; 17.9% of all pairs) and 1,104 from medium to low; 141 pairs (7.3%) were upgraded. Of all downgrades, 77.0% (1,117 of 1,450)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0.707 exact accuracy (65/92; Wilson CI 0.607–0.790) and kappa 0.489 against the absorption-corrected gold (specificity 0.955). Only part of that set is independent of the system’s own absorption assumption: restricting the analysis to the 62 cases kept at the third-party DDInter severity gives 37 of 62 (0.597), which is the figure free of the system’s assumption and should be read as the audit-set headline rather than 0.707. Against the uncorrected DDInter severity labels, agreement was 0.402 (37/92). Stratified: among the 30 absorption-corrected cases (all corrected to low), the system agreed on 28 (93%); among the 62 kept cases, it agreed on 37 (60%) (Table 5). Baselines on the corrected gold: pure_llm 0.630, lightrag 0.600, naive_rag 0.535. McNemar tests on the audit set were significant for full_system versus lightrag (10 versus 1; p = 0.012), but not versus naive_rag (27 versus 14; p = 0.060) or pure_llm (18 versus 12; p = 0.362). We also report, symmetrically, that on this set the two ungrounded baselines exceed the system on high-risk sensitivity (pure_llm and naive_rag 0.848 each, lightrag 0.296, versus 0.440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0.440 (11 of 25 gold-high cases; CI 0.267–0.629), the lowest of the four methods (pure_llm and naive_rag 0.848, lightrag 0.296). This is the single most important limitation of the current system and is reported deliberately. The 27 disagreements with the audit gold were directionally consistent with the absorption-first design: 14 gold-high pairs were downgraded (6 to low, 8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14 downgraded gold-high pairs include six pairs where systemic-route reasoning is weak on ophthalmic grounds (for example aflibercept × leflunomide, with no plausible topical systemic pathway). The remaining downgrades are clinically sensitive: flurbiprofen × methotrexate (a topical NSAID with a high systemic-absorption tier in our registry, Supplementary Table S5; the matrix grades the cell medium against a gold of high), betaxolol × verapamil and betaxolol × diltiazem (selective beta-blockade plus calcium-channel blockade), timolol × epinephrine, and scopolamine or homatropine × topiramate (anticholinergic burden). For a screening tool, this false-negative profile is the clinically critical number, and it defines the calibration priorities in Section 4.5.</w:t>
      </w:r>
    </w:p>
    <w:bookmarkEnd w:id="35"/>
    <w:bookmarkStart w:id="36" w:name="determinism-and-temperature-sensitivity"/>
    <w:p>
      <w:pPr>
        <w:pStyle w:val="Heading3"/>
        <w:spacing w:line="480" w:lineRule="auto"/>
      </w:pPr>
      <w:r>
        <w:rPr>
          <w:rFonts w:ascii="Times New Roman" w:hAnsi="Times New Roman"/>
          <w:b/>
        </w:rPr>
        <w:t xml:space="preserve">3.6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6"/>
    <w:bookmarkStart w:id="37" w:name="X914a3bd05d2c0ce9c9f6dde65cc59a344f8ad46"/>
    <w:p>
      <w:pPr>
        <w:pStyle w:val="Heading3"/>
        <w:spacing w:line="480" w:lineRule="auto"/>
      </w:pPr>
      <w:r>
        <w:rPr>
          <w:rFonts w:ascii="Times New Roman" w:hAnsi="Times New Roman"/>
          <w:b/>
        </w:rPr>
        <w:t xml:space="preserve">3.7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7"/>
    <w:bookmarkStart w:id="38" w:name="limitations"/>
    <w:p>
      <w:pPr>
        <w:pStyle w:val="Heading3"/>
        <w:spacing w:line="480" w:lineRule="auto"/>
      </w:pPr>
      <w:r>
        <w:rPr>
          <w:rFonts w:ascii="Times New Roman" w:hAnsi="Times New Roman"/>
          <w:b/>
        </w:rPr>
        <w:t xml:space="preserve">3.8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0.440.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8"/>
    <w:bookmarkEnd w:id="39"/>
    <w:bookmarkStart w:id="45" w:name="discussion"/>
    <w:p>
      <w:pPr>
        <w:pStyle w:val="Heading2"/>
        <w:spacing w:line="480" w:lineRule="auto"/>
      </w:pPr>
      <w:r>
        <w:rPr>
          <w:rFonts w:ascii="Times New Roman" w:hAnsi="Times New Roman"/>
          <w:b/>
        </w:rPr>
        <w:t xml:space="preserve">4. Discussion</w:t>
      </w:r>
    </w:p>
    <w:bookmarkStart w:id="40"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75.0% of the 1,933 registry-matched pairs that carry a DDInter rating, and that divergence is dominated by a single mechanism: low topical systemic absorption accounts for 77.0%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0.915 of 118 cases (kappa 0.870) and outperformed three LLM baselines (0.415–0.741 accuracy) with significant McNemar tests, zero variance across five temperature conditions, and millisecond inference. On the semi-independent audit set it again led on exact accuracy (0.707 versus 0.535–0.630) and specificity (0.955), but its high-risk sensitivity was the lowest of the four methods (0.440, 11 of 25), and its advantage over pure_llm and naive_rag on that set was not statistically significant. The procedurally frozen blind subset (n = 40) was classified with perfect accuracy, including the 20 cases never exposed to development. Because the L1 gold shares its literature sources with the rules, the 0.915 figure is best read as the internal consistency of an explicitly evidence-graded encoding; the audit-set sensitivity is the number that bounds what the system can claim as a safety screen today.</w:t>
      </w:r>
    </w:p>
    <w:bookmarkEnd w:id="40"/>
    <w:bookmarkStart w:id="41"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(high, medium, low, or very-low) is assigned to every ophthalmic agent; an absorption-scaling step forces low-absorption pairs to low risk unless a mechanism-based upgrade applies; and a hard-constraint layer encodes the absorption-first pharmacology. In the 1,933-pair DDInter audit (Section 3.4), 75.0% of matched pairs were graded lower by the system, including 346 pairs downgraded from high (17.9% of all pairs), with 77.0%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naive keyword retrieval (BM25) degraded accuracy below the plain-LLM baseline in this domain, and the graph-context baseline (named lightrag; Section 2.4) captured only part of the gain; both effects held even though all LLM baselines received an identical system prompt containing the key absorption facts.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1"/>
    <w:bookmarkStart w:id="42"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2"/>
    <w:bookmarkStart w:id="43"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the current assignment contains two defects that we report rather than silently correct: flurbiprofen is tiered high in the registry while the candidate curation file records no tier flag for it, and 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the assignments and re-running the registry analysis is the first item of future work (Section 4.5).</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0.440 shows the system can also under-grade relative to an absorption-corrected gold; both directions bound the current clinical utility. At a realistic 1% prevalence of clinically significant ophthalmic–systemic interactions, the audit operating point (sensitivity 0.440,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3"/>
    <w:bookmarkStart w:id="44"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now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re-assign the absorption tiers with a documented source and threshold for every agent, resolve the flurbiprofen inconsistency, and reclassify or exclude the nine non-topical agents, then re-run the registry-scale analysis of Section 3.4; the tier table deposited with this work (Supplementary Table S5) is the starting point.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4"/>
    <w:bookmarkEnd w:id="45"/>
    <w:bookmarkStart w:id="46"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75.0% of all 1,933 registry-matched pairs lower, with 77.0%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0.915 of 118 cases (kappa 0.870), with complete output traceability, outperformed three LLM baselines on exact accuracy, and on a semi-independent audit set reached 0.707 exact accuracy — falling to 0.597 on the subset free of its own absorption assumption — but the lowest high-risk sensitivity of the four methods (0.440).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6"/>
    <w:bookmarkStart w:id="47"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7"/>
    <w:bookmarkStart w:id="56" w:name="declarations"/>
    <w:p>
      <w:pPr>
        <w:pStyle w:val="Heading2"/>
        <w:spacing w:line="480" w:lineRule="auto"/>
      </w:pPr>
      <w:r>
        <w:rPr>
          <w:rFonts w:ascii="Times New Roman" w:hAnsi="Times New Roman"/>
          <w:b/>
        </w:rPr>
        <w:t xml:space="preserve">Declarations</w:t>
      </w:r>
    </w:p>
    <w:bookmarkStart w:id="48"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8"/>
    <w:bookmarkStart w:id="49"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49"/>
    <w:bookmarkStart w:id="50"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0"/>
    <w:bookmarkStart w:id="51"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1"/>
    <w:bookmarkStart w:id="52"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2"/>
    <w:bookmarkStart w:id="53"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3"/>
    <w:bookmarkStart w:id="54"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4"/>
    <w:bookmarkStart w:id="55"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5"/>
    <w:bookmarkEnd w:id="56"/>
    <w:bookmarkStart w:id="57"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18"/>
              </w:rPr>
              <w:t>dataset_id</w:t>
            </w:r>
          </w:p>
        </w:tc>
        <w:tc>
          <w:tcPr>
            <w:tcW w:type="dxa" w:w="1170"/>
          </w:tcPr>
          <w:p>
            <w:pPr>
              <w:spacing w:line="240" w:lineRule="auto"/>
            </w:pPr>
            <w:r>
              <w:rPr>
                <w:rFonts w:ascii="Times New Roman" w:hAnsi="Times New Roman"/>
                <w:b/>
                <w:sz w:val="18"/>
              </w:rPr>
              <w:t>method</w:t>
            </w:r>
          </w:p>
        </w:tc>
        <w:tc>
          <w:tcPr>
            <w:tcW w:type="dxa" w:w="1170"/>
          </w:tcPr>
          <w:p>
            <w:pPr>
              <w:spacing w:line="240" w:lineRule="auto"/>
            </w:pPr>
            <w:r>
              <w:rPr>
                <w:rFonts w:ascii="Times New Roman" w:hAnsi="Times New Roman"/>
                <w:b/>
                <w:sz w:val="18"/>
              </w:rPr>
              <w:t>n</w:t>
            </w:r>
          </w:p>
        </w:tc>
        <w:tc>
          <w:tcPr>
            <w:tcW w:type="dxa" w:w="1170"/>
          </w:tcPr>
          <w:p>
            <w:pPr>
              <w:spacing w:line="240" w:lineRule="auto"/>
            </w:pPr>
            <w:r>
              <w:rPr>
                <w:rFonts w:ascii="Times New Roman" w:hAnsi="Times New Roman"/>
                <w:b/>
                <w:sz w:val="18"/>
              </w:rPr>
              <w:t>sensitivity_high</w:t>
            </w:r>
          </w:p>
        </w:tc>
        <w:tc>
          <w:tcPr>
            <w:tcW w:type="dxa" w:w="1170"/>
          </w:tcPr>
          <w:p>
            <w:pPr>
              <w:spacing w:line="240" w:lineRule="auto"/>
            </w:pPr>
            <w:r>
              <w:rPr>
                <w:rFonts w:ascii="Times New Roman" w:hAnsi="Times New Roman"/>
                <w:b/>
                <w:sz w:val="18"/>
              </w:rPr>
              <w:t>specificity_high</w:t>
            </w:r>
          </w:p>
        </w:tc>
        <w:tc>
          <w:tcPr>
            <w:tcW w:type="dxa" w:w="1170"/>
          </w:tcPr>
          <w:p>
            <w:pPr>
              <w:spacing w:line="240" w:lineRule="auto"/>
            </w:pPr>
            <w:r>
              <w:rPr>
                <w:rFonts w:ascii="Times New Roman" w:hAnsi="Times New Roman"/>
                <w:b/>
                <w:sz w:val="18"/>
              </w:rPr>
              <w:t>f1_high</w:t>
            </w:r>
          </w:p>
        </w:tc>
        <w:tc>
          <w:tcPr>
            <w:tcW w:type="dxa" w:w="1170"/>
          </w:tcPr>
          <w:p>
            <w:pPr>
              <w:spacing w:line="240" w:lineRule="auto"/>
            </w:pPr>
            <w:r>
              <w:rPr>
                <w:rFonts w:ascii="Times New Roman" w:hAnsi="Times New Roman"/>
                <w:b/>
                <w:sz w:val="18"/>
              </w:rPr>
              <w:t>accuracy_3level</w:t>
            </w:r>
          </w:p>
        </w:tc>
        <w:tc>
          <w:tcPr>
            <w:tcW w:type="dxa" w:w="1170"/>
          </w:tcPr>
          <w:p>
            <w:pPr>
              <w:spacing w:line="240" w:lineRule="auto"/>
            </w:pPr>
            <w:r>
              <w:rPr>
                <w:rFonts w:ascii="Times New Roman" w:hAnsi="Times New Roman"/>
                <w:b/>
                <w:sz w:val="18"/>
              </w:rPr>
              <w:t>cohens_kappa</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0.771</w:t>
            </w:r>
          </w:p>
        </w:tc>
        <w:tc>
          <w:tcPr>
            <w:tcW w:type="dxa" w:w="1170"/>
          </w:tcPr>
          <w:p>
            <w:pPr>
              <w:spacing w:line="240" w:lineRule="auto"/>
            </w:pPr>
            <w:r>
              <w:rPr>
                <w:rFonts w:ascii="Times New Roman" w:hAnsi="Times New Roman"/>
                <w:sz w:val="18"/>
              </w:rPr>
              <w:t>0.542</w:t>
            </w:r>
          </w:p>
        </w:tc>
        <w:tc>
          <w:tcPr>
            <w:tcW w:type="dxa" w:w="1170"/>
          </w:tcPr>
          <w:p>
            <w:pPr>
              <w:spacing w:line="240" w:lineRule="auto"/>
            </w:pPr>
            <w:r>
              <w:rPr>
                <w:rFonts w:ascii="Times New Roman" w:hAnsi="Times New Roman"/>
                <w:sz w:val="18"/>
              </w:rPr>
              <w:t>0.476</w:t>
            </w:r>
          </w:p>
        </w:tc>
        <w:tc>
          <w:tcPr>
            <w:tcW w:type="dxa" w:w="1170"/>
          </w:tcPr>
          <w:p>
            <w:pPr>
              <w:spacing w:line="240" w:lineRule="auto"/>
            </w:pPr>
            <w:r>
              <w:rPr>
                <w:rFonts w:ascii="Times New Roman" w:hAnsi="Times New Roman"/>
                <w:sz w:val="18"/>
              </w:rPr>
              <w:t>0.475</w:t>
            </w:r>
          </w:p>
        </w:tc>
        <w:tc>
          <w:tcPr>
            <w:tcW w:type="dxa" w:w="1170"/>
          </w:tcPr>
          <w:p>
            <w:pPr>
              <w:spacing w:line="240" w:lineRule="auto"/>
            </w:pPr>
            <w:r>
              <w:rPr>
                <w:rFonts w:ascii="Times New Roman" w:hAnsi="Times New Roman"/>
                <w:sz w:val="18"/>
              </w:rPr>
              <w:t>0.256</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0.757</w:t>
            </w:r>
          </w:p>
        </w:tc>
        <w:tc>
          <w:tcPr>
            <w:tcW w:type="dxa" w:w="1170"/>
          </w:tcPr>
          <w:p>
            <w:pPr>
              <w:spacing w:line="240" w:lineRule="auto"/>
            </w:pPr>
            <w:r>
              <w:rPr>
                <w:rFonts w:ascii="Times New Roman" w:hAnsi="Times New Roman"/>
                <w:sz w:val="18"/>
              </w:rPr>
              <w:t>0.462</w:t>
            </w:r>
          </w:p>
        </w:tc>
        <w:tc>
          <w:tcPr>
            <w:tcW w:type="dxa" w:w="1170"/>
          </w:tcPr>
          <w:p>
            <w:pPr>
              <w:spacing w:line="240" w:lineRule="auto"/>
            </w:pPr>
            <w:r>
              <w:rPr>
                <w:rFonts w:ascii="Times New Roman" w:hAnsi="Times New Roman"/>
                <w:sz w:val="18"/>
              </w:rPr>
              <w:t>0.434</w:t>
            </w:r>
          </w:p>
        </w:tc>
        <w:tc>
          <w:tcPr>
            <w:tcW w:type="dxa" w:w="1170"/>
          </w:tcPr>
          <w:p>
            <w:pPr>
              <w:spacing w:line="240" w:lineRule="auto"/>
            </w:pPr>
            <w:r>
              <w:rPr>
                <w:rFonts w:ascii="Times New Roman" w:hAnsi="Times New Roman"/>
                <w:sz w:val="18"/>
              </w:rPr>
              <w:t>0.415</w:t>
            </w:r>
          </w:p>
        </w:tc>
        <w:tc>
          <w:tcPr>
            <w:tcW w:type="dxa" w:w="1170"/>
          </w:tcPr>
          <w:p>
            <w:pPr>
              <w:spacing w:line="240" w:lineRule="auto"/>
            </w:pPr>
            <w:r>
              <w:rPr>
                <w:rFonts w:ascii="Times New Roman" w:hAnsi="Times New Roman"/>
                <w:sz w:val="18"/>
              </w:rPr>
              <w:t>0.182</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0.793</w:t>
            </w:r>
          </w:p>
        </w:tc>
        <w:tc>
          <w:tcPr>
            <w:tcW w:type="dxa" w:w="1170"/>
          </w:tcPr>
          <w:p>
            <w:pPr>
              <w:spacing w:line="240" w:lineRule="auto"/>
            </w:pPr>
            <w:r>
              <w:rPr>
                <w:rFonts w:ascii="Times New Roman" w:hAnsi="Times New Roman"/>
                <w:sz w:val="18"/>
              </w:rPr>
              <w:t>0.936</w:t>
            </w:r>
          </w:p>
        </w:tc>
        <w:tc>
          <w:tcPr>
            <w:tcW w:type="dxa" w:w="1170"/>
          </w:tcPr>
          <w:p>
            <w:pPr>
              <w:spacing w:line="240" w:lineRule="auto"/>
            </w:pPr>
            <w:r>
              <w:rPr>
                <w:rFonts w:ascii="Times New Roman" w:hAnsi="Times New Roman"/>
                <w:sz w:val="18"/>
              </w:rPr>
              <w:t>0.794</w:t>
            </w:r>
          </w:p>
        </w:tc>
        <w:tc>
          <w:tcPr>
            <w:tcW w:type="dxa" w:w="1170"/>
          </w:tcPr>
          <w:p>
            <w:pPr>
              <w:spacing w:line="240" w:lineRule="auto"/>
            </w:pPr>
            <w:r>
              <w:rPr>
                <w:rFonts w:ascii="Times New Roman" w:hAnsi="Times New Roman"/>
                <w:sz w:val="18"/>
              </w:rPr>
              <w:t>0.741</w:t>
            </w:r>
          </w:p>
        </w:tc>
        <w:tc>
          <w:tcPr>
            <w:tcW w:type="dxa" w:w="1170"/>
          </w:tcPr>
          <w:p>
            <w:pPr>
              <w:spacing w:line="240" w:lineRule="auto"/>
            </w:pPr>
            <w:r>
              <w:rPr>
                <w:rFonts w:ascii="Times New Roman" w:hAnsi="Times New Roman"/>
                <w:sz w:val="18"/>
              </w:rPr>
              <w:t>0.609</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1.0</w:t>
            </w:r>
          </w:p>
        </w:tc>
        <w:tc>
          <w:tcPr>
            <w:tcW w:type="dxa" w:w="1170"/>
          </w:tcPr>
          <w:p>
            <w:pPr>
              <w:spacing w:line="240" w:lineRule="auto"/>
            </w:pPr>
            <w:r>
              <w:rPr>
                <w:rFonts w:ascii="Times New Roman" w:hAnsi="Times New Roman"/>
                <w:sz w:val="18"/>
              </w:rPr>
              <w:t>0.989</w:t>
            </w:r>
          </w:p>
        </w:tc>
        <w:tc>
          <w:tcPr>
            <w:tcW w:type="dxa" w:w="1170"/>
          </w:tcPr>
          <w:p>
            <w:pPr>
              <w:spacing w:line="240" w:lineRule="auto"/>
            </w:pPr>
            <w:r>
              <w:rPr>
                <w:rFonts w:ascii="Times New Roman" w:hAnsi="Times New Roman"/>
                <w:sz w:val="18"/>
              </w:rPr>
              <w:t>0.983</w:t>
            </w:r>
          </w:p>
        </w:tc>
        <w:tc>
          <w:tcPr>
            <w:tcW w:type="dxa" w:w="1170"/>
          </w:tcPr>
          <w:p>
            <w:pPr>
              <w:spacing w:line="240" w:lineRule="auto"/>
            </w:pPr>
            <w:r>
              <w:rPr>
                <w:rFonts w:ascii="Times New Roman" w:hAnsi="Times New Roman"/>
                <w:sz w:val="18"/>
              </w:rPr>
              <w:t>0.915</w:t>
            </w:r>
          </w:p>
        </w:tc>
        <w:tc>
          <w:tcPr>
            <w:tcW w:type="dxa" w:w="1170"/>
          </w:tcPr>
          <w:p>
            <w:pPr>
              <w:spacing w:line="240" w:lineRule="auto"/>
            </w:pPr>
            <w:r>
              <w:rPr>
                <w:rFonts w:ascii="Times New Roman" w:hAnsi="Times New Roman"/>
                <w:sz w:val="18"/>
              </w:rPr>
              <w:t>0.87</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0.705</w:t>
            </w:r>
          </w:p>
        </w:tc>
        <w:tc>
          <w:tcPr>
            <w:tcW w:type="dxa" w:w="1170"/>
          </w:tcPr>
          <w:p>
            <w:pPr>
              <w:spacing w:line="240" w:lineRule="auto"/>
            </w:pPr>
            <w:r>
              <w:rPr>
                <w:rFonts w:ascii="Times New Roman" w:hAnsi="Times New Roman"/>
                <w:sz w:val="18"/>
              </w:rPr>
              <w:t>0.642</w:t>
            </w:r>
          </w:p>
        </w:tc>
        <w:tc>
          <w:tcPr>
            <w:tcW w:type="dxa" w:w="1170"/>
          </w:tcPr>
          <w:p>
            <w:pPr>
              <w:spacing w:line="240" w:lineRule="auto"/>
            </w:pPr>
            <w:r>
              <w:rPr>
                <w:rFonts w:ascii="Times New Roman" w:hAnsi="Times New Roman"/>
                <w:sz w:val="18"/>
              </w:rPr>
              <w:t>0.63</w:t>
            </w:r>
          </w:p>
        </w:tc>
        <w:tc>
          <w:tcPr>
            <w:tcW w:type="dxa" w:w="1170"/>
          </w:tcPr>
          <w:p>
            <w:pPr>
              <w:spacing w:line="240" w:lineRule="auto"/>
            </w:pPr>
            <w:r>
              <w:rPr>
                <w:rFonts w:ascii="Times New Roman" w:hAnsi="Times New Roman"/>
                <w:sz w:val="18"/>
              </w:rPr>
              <w:t>0.396</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0.579</w:t>
            </w:r>
          </w:p>
        </w:tc>
        <w:tc>
          <w:tcPr>
            <w:tcW w:type="dxa" w:w="1170"/>
          </w:tcPr>
          <w:p>
            <w:pPr>
              <w:spacing w:line="240" w:lineRule="auto"/>
            </w:pPr>
            <w:r>
              <w:rPr>
                <w:rFonts w:ascii="Times New Roman" w:hAnsi="Times New Roman"/>
                <w:sz w:val="18"/>
              </w:rPr>
              <w:t>0.57</w:t>
            </w:r>
          </w:p>
        </w:tc>
        <w:tc>
          <w:tcPr>
            <w:tcW w:type="dxa" w:w="1170"/>
          </w:tcPr>
          <w:p>
            <w:pPr>
              <w:spacing w:line="240" w:lineRule="auto"/>
            </w:pPr>
            <w:r>
              <w:rPr>
                <w:rFonts w:ascii="Times New Roman" w:hAnsi="Times New Roman"/>
                <w:sz w:val="18"/>
              </w:rPr>
              <w:t>0.535</w:t>
            </w:r>
          </w:p>
        </w:tc>
        <w:tc>
          <w:tcPr>
            <w:tcW w:type="dxa" w:w="1170"/>
          </w:tcPr>
          <w:p>
            <w:pPr>
              <w:spacing w:line="240" w:lineRule="auto"/>
            </w:pPr>
            <w:r>
              <w:rPr>
                <w:rFonts w:ascii="Times New Roman" w:hAnsi="Times New Roman"/>
                <w:sz w:val="18"/>
              </w:rPr>
              <w:t>0.29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0.296</w:t>
            </w:r>
          </w:p>
        </w:tc>
        <w:tc>
          <w:tcPr>
            <w:tcW w:type="dxa" w:w="1170"/>
          </w:tcPr>
          <w:p>
            <w:pPr>
              <w:spacing w:line="240" w:lineRule="auto"/>
            </w:pPr>
            <w:r>
              <w:rPr>
                <w:rFonts w:ascii="Times New Roman" w:hAnsi="Times New Roman"/>
                <w:sz w:val="18"/>
              </w:rPr>
              <w:t>0.949</w:t>
            </w:r>
          </w:p>
        </w:tc>
        <w:tc>
          <w:tcPr>
            <w:tcW w:type="dxa" w:w="1170"/>
          </w:tcPr>
          <w:p>
            <w:pPr>
              <w:spacing w:line="240" w:lineRule="auto"/>
            </w:pPr>
            <w:r>
              <w:rPr>
                <w:rFonts w:ascii="Times New Roman" w:hAnsi="Times New Roman"/>
                <w:sz w:val="18"/>
              </w:rPr>
              <w:t>0.413</w:t>
            </w:r>
          </w:p>
        </w:tc>
        <w:tc>
          <w:tcPr>
            <w:tcW w:type="dxa" w:w="1170"/>
          </w:tcPr>
          <w:p>
            <w:pPr>
              <w:spacing w:line="240" w:lineRule="auto"/>
            </w:pPr>
            <w:r>
              <w:rPr>
                <w:rFonts w:ascii="Times New Roman" w:hAnsi="Times New Roman"/>
                <w:sz w:val="18"/>
              </w:rPr>
              <w:t>0.6</w:t>
            </w:r>
          </w:p>
        </w:tc>
        <w:tc>
          <w:tcPr>
            <w:tcW w:type="dxa" w:w="1170"/>
          </w:tcPr>
          <w:p>
            <w:pPr>
              <w:spacing w:line="240" w:lineRule="auto"/>
            </w:pPr>
            <w:r>
              <w:rPr>
                <w:rFonts w:ascii="Times New Roman" w:hAnsi="Times New Roman"/>
                <w:sz w:val="18"/>
              </w:rPr>
              <w:t>0.239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0.44</w:t>
            </w:r>
          </w:p>
        </w:tc>
        <w:tc>
          <w:tcPr>
            <w:tcW w:type="dxa" w:w="1170"/>
          </w:tcPr>
          <w:p>
            <w:pPr>
              <w:spacing w:line="240" w:lineRule="auto"/>
            </w:pPr>
            <w:r>
              <w:rPr>
                <w:rFonts w:ascii="Times New Roman" w:hAnsi="Times New Roman"/>
                <w:sz w:val="18"/>
              </w:rPr>
              <w:t>0.955</w:t>
            </w:r>
          </w:p>
        </w:tc>
        <w:tc>
          <w:tcPr>
            <w:tcW w:type="dxa" w:w="1170"/>
          </w:tcPr>
          <w:p>
            <w:pPr>
              <w:spacing w:line="240" w:lineRule="auto"/>
            </w:pPr>
            <w:r>
              <w:rPr>
                <w:rFonts w:ascii="Times New Roman" w:hAnsi="Times New Roman"/>
                <w:sz w:val="18"/>
              </w:rPr>
              <w:t>0.564</w:t>
            </w:r>
          </w:p>
        </w:tc>
        <w:tc>
          <w:tcPr>
            <w:tcW w:type="dxa" w:w="1170"/>
          </w:tcPr>
          <w:p>
            <w:pPr>
              <w:spacing w:line="240" w:lineRule="auto"/>
            </w:pPr>
            <w:r>
              <w:rPr>
                <w:rFonts w:ascii="Times New Roman" w:hAnsi="Times New Roman"/>
                <w:sz w:val="18"/>
              </w:rPr>
              <w:t>0.707</w:t>
            </w:r>
          </w:p>
        </w:tc>
        <w:tc>
          <w:tcPr>
            <w:tcW w:type="dxa" w:w="1170"/>
          </w:tcPr>
          <w:p>
            <w:pPr>
              <w:spacing w:line="240" w:lineRule="auto"/>
            </w:pPr>
            <w:r>
              <w:rPr>
                <w:rFonts w:ascii="Times New Roman" w:hAnsi="Times New Roman"/>
                <w:sz w:val="18"/>
              </w:rPr>
              <w:t>0.489</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65 (0.707)</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37 (0.597)</w:t>
            </w:r>
          </w:p>
        </w:tc>
      </w:tr>
      <w:tr>
        <w:tc>
          <w:tcPr>
            <w:tcW w:type="dxa" w:w="3120"/>
          </w:tcPr>
          <w:p>
            <w:pPr>
              <w:spacing w:line="240" w:lineRule="auto"/>
            </w:pPr>
            <w:r>
              <w:rPr>
                <w:rFonts w:ascii="Times New Roman" w:hAnsi="Times New Roman"/>
                <w:sz w:val="18"/>
              </w:rPr>
              <w:t>disagreement direction</w:t>
            </w:r>
          </w:p>
        </w:tc>
        <w:tc>
          <w:tcPr>
            <w:tcW w:type="dxa" w:w="3120"/>
          </w:tcPr>
          <w:p>
            <w:pPr>
              <w:spacing w:line="240" w:lineRule="auto"/>
            </w:pPr>
            <w:r>
              <w:rPr>
                <w:rFonts w:ascii="Times New Roman" w:hAnsi="Times New Roman"/>
                <w:sz w:val="18"/>
              </w:rPr>
              <w:t>n</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high-&gt;low</w:t>
            </w:r>
          </w:p>
        </w:tc>
        <w:tc>
          <w:tcPr>
            <w:tcW w:type="dxa" w:w="3120"/>
          </w:tcPr>
          <w:p>
            <w:pPr>
              <w:spacing w:line="240" w:lineRule="auto"/>
            </w:pPr>
            <w:r>
              <w:rPr>
                <w:rFonts w:ascii="Times New Roman" w:hAnsi="Times New Roman"/>
                <w:sz w:val="18"/>
              </w:rPr>
              <w:t>6</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high-&gt;medium</w:t>
            </w:r>
          </w:p>
        </w:tc>
        <w:tc>
          <w:tcPr>
            <w:tcW w:type="dxa" w:w="3120"/>
          </w:tcPr>
          <w:p>
            <w:pPr>
              <w:spacing w:line="240" w:lineRule="auto"/>
            </w:pPr>
            <w:r>
              <w:rPr>
                <w:rFonts w:ascii="Times New Roman" w:hAnsi="Times New Roman"/>
                <w:sz w:val="18"/>
              </w:rPr>
              <w:t>8</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medium-&gt;low</w:t>
            </w:r>
          </w:p>
        </w:tc>
        <w:tc>
          <w:tcPr>
            <w:tcW w:type="dxa" w:w="3120"/>
          </w:tcPr>
          <w:p>
            <w:pPr>
              <w:spacing w:line="240" w:lineRule="auto"/>
            </w:pPr>
            <w:r>
              <w:rPr>
                <w:rFonts w:ascii="Times New Roman" w:hAnsi="Times New Roman"/>
                <w:sz w:val="18"/>
              </w:rPr>
              <w:t>9</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medium-&gt;high</w:t>
            </w:r>
          </w:p>
        </w:tc>
        <w:tc>
          <w:tcPr>
            <w:tcW w:type="dxa" w:w="3120"/>
          </w:tcPr>
          <w:p>
            <w:pPr>
              <w:spacing w:line="240" w:lineRule="auto"/>
            </w:pPr>
            <w:r>
              <w:rPr>
                <w:rFonts w:ascii="Times New Roman" w:hAnsi="Times New Roman"/>
                <w:sz w:val="18"/>
              </w:rPr>
              <w:t>2</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low-&gt;medium</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low-&gt;high</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**total disagreements**</w:t>
            </w:r>
          </w:p>
        </w:tc>
        <w:tc>
          <w:tcPr>
            <w:tcW w:type="dxa" w:w="3120"/>
          </w:tcPr>
          <w:p>
            <w:pPr>
              <w:spacing w:line="240" w:lineRule="auto"/>
            </w:pPr>
            <w:r>
              <w:rPr>
                <w:rFonts w:ascii="Times New Roman" w:hAnsi="Times New Roman"/>
                <w:sz w:val="18"/>
              </w:rPr>
              <w:t>**27**</w:t>
            </w:r>
          </w:p>
        </w:tc>
        <w:tc>
          <w:tcPr>
            <w:tcW w:type="dxa" w:w="3120"/>
          </w:tcPr>
          <w:p>
            <w:pPr>
              <w:spacing w:line="240" w:lineRule="auto"/>
            </w:pPr>
            <w:r>
              <w:rPr>
                <w:rFonts w:ascii="Times New Roman" w:hAnsi="Times New Roman"/>
                <w:sz w:val="18"/>
              </w:rPr>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3133380"/>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3133380"/>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7"/>
    <w:bookmarkEnd w:id="58"/>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2026-09-23T14:29:45Z</dcterms:created>
  <dcterms:modified xsi:type="dcterms:W3CDTF">2026-09-23T14:29:45Z</dcterms:modified>
</cp:coreProperties>
</file>

<file path=docProps/custom.xml><?xml version="1.0" encoding="utf-8"?>
<Properties xmlns="http://schemas.openxmlformats.org/officeDocument/2006/custom-properties" xmlns:vt="http://schemas.openxmlformats.org/officeDocument/2006/docPropsVTypes"/>
</file>