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How far that assumption diverges from absorption-aware assessment at registry scale has not been quantified, and it is not known whether an evidence-graded assessment agrees with the judgment of prescribing clinicians.</w:t>
      </w:r>
    </w:p>
    <w:p>
      <w:pPr>
        <w:pStyle w:val="BodyText"/>
        <w:spacing w:line="480" w:lineRule="auto"/>
      </w:pPr>
      <w:r>
        <w:rPr>
          <w:rFonts w:ascii="Times New Roman" w:hAnsi="Times New Roman"/>
          <w:b/>
          <w:bCs/>
          <w:color w:val="C00000"/>
        </w:rPr>
        <w:t xml:space="preserve">Results.</w:t>
      </w:r>
      <w:r>
        <w:rPr>
          <w:rFonts w:ascii="Times New Roman" w:hAnsi="Times New Roman"/>
          <w:color w:val="C00000"/>
        </w:rPr>
        <w:t xml:space="preserve"> </w:t>
      </w:r>
      <w:r>
        <w:rPr>
          <w:rFonts w:ascii="Times New Roman" w:hAnsi="Times New Roman"/>
          <w:color w:val="C00000"/>
        </w:rPr>
        <w:t xml:space="preserve">We built OphDDI-CDS, a deterministic three-layer cascade (40 citation-verified mechanism rules; an absorption-scaled 20 × 37 class matrix; a hard-constraint layer), covering 113 ophthalmic and 232 systemic agents, and used it to compare three ways of assigning ophthalmic–systemic DDI risk. Against DDInter severity for all 1,933 registry-matched pairs, 75.0% were graded lower once absorption was modelled (346 downgraded from high; 17.9% of all pairs), and 77.0% of downgrades were attributable to low systemic absorption. On a 118-case literature-derived gold the cascade reached 0.915 exact accuracy (108/118; kappa 0.870) versus 0.415–0.741 for three LLM baselines, with significant McNemar tests. On a semi-independent 92-case audit set it reached 0.707 accuracy but the lowest high-risk sensitivity of the four methods (0.440, 11 of 25). Two independent ophthalmologists reviewed the assigned grades for 12 cases with both the proposed gold and the system grade visible, agreed closely with each other (kappa 0.846), and yet did not endorse most grades, placing a consistent one-tier divergence between their clinical judgment and the evidence-graded assessment; because the system reproduced its gold on all 12 cases, this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naive keyword retrieval (BM25) degraded accuracy below the plain-LLM baseline in this domain [20], while graph-based retrieval (LightRAG) provided measurable but incomplete gains [21].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citation-verified mechanism rules.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color w:val="C00000"/>
        </w:rPr>
        <w:t xml:space="preserve">Our contributions are fourfold. First, we quantify the divergence rather than assert it: across all 1,933 ophthalmic–systemic pairs for which DDInter provides a severity rating, absorption-aware assessment grades 75.0% of pairs lower, 346 pairs move down from high, and a single nameable mechanism — low systemic absorption from the topical route — accounts for 77.0% of all downgrades. This turns a known qualitative caveat into a measured property of the database. Second, we provide the instrument that makes the measurement possible: a reproducible, citation-verified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rPr>
        <w:t xml:space="preserve">L1 rule engine. 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Every rule carries at least one citation that passed a three-source cross-check (Crossref, OpenAlex, PubMed) with mandatory retraction screening (screened July 2026; all verified, zero policy errors). The 43 policy entries comprise 40 rules plus 3 patient-factor policies; 8 rule-level citations were additionally verified for title agreement. Per-rule citation identifiers and verification status are recorded in the rule configuration and in the citation verification report (available in the supplementary material); Table 2 lists the rule inventory with flags and match semantics.</w:t>
      </w:r>
    </w:p>
    <w:p>
      <w:pPr>
        <w:pStyle w:val="BodyText"/>
        <w:spacing w:line="480" w:lineRule="auto"/>
      </w:pPr>
      <w:r>
        <w:rPr>
          <w:rFonts w:ascii="Times New Roman" w:hAnsi="Times New Roman"/>
        </w:rPr>
        <w:t xml:space="preserve">L2 class matrix. A 20 (ophthalmic) × 37 (systemic) drug-class matrix defines 82 cell-level risks.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w:t>
      </w:r>
    </w:p>
    <w:p>
      <w:pPr>
        <w:pStyle w:val="BodyText"/>
        <w:spacing w:line="480" w:lineRule="auto"/>
      </w:pPr>
      <w:r>
        <w:rPr>
          <w:rFonts w:ascii="Times New Roman" w:hAnsi="Times New Roman"/>
        </w:rPr>
        <w:t xml:space="preserve">L3 hard constraint. 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 Ophthalmic systemic-absorption tiers (high, medium, low, or very-low) were assigned from pharmacokinetic sources and regulatory labels, including nasolacrimal-drainage bioavailability for timolol [1], plasma-level measurements for timolol [27], and instillation-technique effects on systemic exposure [14]. Ocular drug transfer from systemic administration is likewise complex and incompletely characterized [28]. For atropine and dexamethasone, tier assignment drew on regulatory labels and pharmacovigilance evidence [29]. The full per-agent tier table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 The 118 cases comprise 20 mechanism annotations from FDA labels, Stockley’s, or the BNF; 40 procedurally frozen blind cases (SHA-256 locked before evaluation); and 58 guideline-sourced cases labelled from FDA product labels, BNF interaction tables, and Stockley’s (case-level source references recorded in the gold file). We disclose that no human expert participated in gold construction, and that the gold shares its literature sources with the rules (homogeneous construction).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rPr>
        <w:t xml:space="preserve">DDInter audit set (92 cases). A stratified random sample by absorption tier and DDInter severity, in which 30 of 92 cases were corrected from the DDInter severity to low on ophthalmic absorption grounds (absorption-based gold correction); the remaining 62 cases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A development set (200 cases, DDInter-derived) and an external PubMed-co-mention set (70 cases) were used for development gates only; their gold was not ophthalmic-adjusted, and the external set’s co-mention gold was audited as noisy (literature co-mention frequently unrelated to the pair). Results on both sets are reported in Section 3.2 with the explicit caveat that they quantify the ophthalmic adjustment rather than performance. An internal validation set (78 cases)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S4. For the baseline named lightrag, the knowledge-graph context was generated by the curated PreciseKG drug-profile function rather than by a query to the LightRAG vector index; we describe the mechanism accurately and retain the name for continuity with earlier protocol versions. LLM baselines used DeepSeek-chat through the OpenAI-compatible API (max 10 tokens; temperature 0.0 for condition 0, and 0.3, 0.6, 0.9, 1.2 for conditions 1–4).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color w:val="C00000"/>
        </w:rPr>
        <w:t xml:space="preserve">2.5 Expert grade review</w:t>
      </w:r>
    </w:p>
    <w:p>
      <w:pPr>
        <w:pStyle w:val="FirstParagraph"/>
        <w:spacing w:line="480" w:lineRule="auto"/>
      </w:pPr>
      <w:r>
        <w:rPr>
          <w:rFonts w:ascii="Times New Roman" w:hAnsi="Times New Roman"/>
          <w:color w:val="C00000"/>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evidence, index, and gold versions are pinned by SHA-256 fingerprints recorded in the project progress log (final evaluated versions: rules 2afabaad81161c40, evidence 45f8c9d129627268, index build 20260803T055537Z_488dfe8d).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39"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all citation-verified with zero policy errors (Table 2). The class-matrix layer defines 82 cells across 20 ophthalmic and 37 systemic drug classes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0.915 exact accuracy (108/118; Wilson 95% CI 0.851–0.953), 1.000 high-risk sensitivity (28 of 28; CI 0.879–1.000), 0.989 specificity, and Cohen’s kappa 0.870 (bootstrap CI 0.791–0.947), with zero variance across conditions. Lightrag reached 0.741 accuracy, 0.793 sensitivity, and 0.936 specificity (kappa 0.609).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0.174, with a kappa gap of 0.261, indicating that the deterministic knowledge engineering contributed more than retrieval augmentation alone. Naive BM25 retrieval was consistently worse than the plain-LLM baseline, indicating that keyword retrieval injects noise in this domain.</w:t>
      </w:r>
    </w:p>
    <w:p>
      <w:pPr>
        <w:pStyle w:val="BodyText"/>
        <w:spacing w:line="480" w:lineRule="auto"/>
      </w:pPr>
      <w:r>
        <w:rPr>
          <w:rFonts w:ascii="Times New Roman" w:hAnsi="Times New Roman"/>
        </w:rPr>
        <w:t xml:space="preserve">In the per-subset analysis, the procedurally frozen blind subset (n = 40, SHA-locked) reached 1.000 accuracy (Clopper–Pearson CI 0.912–1.000), including the never-development-exposed blind-1 subset (n = 20; CI 0.832–1.000) and the blind-2 subset (n = 20) that had entered the development loop. The FDA/Stockley’s/BNF mechanism subset (n = 20) also reached 1.000. The guideline-sourced subset (n = 58) reached 0.828 (48/58). All ten exact-scale disagreements occurred in the guideline subset; they concerned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1,450 pairs (75.0%) were graded lower by the system, including 346 pairs downgraded from high (43 to medium, 303 to low; 17.9% of all pairs) and 1,104 from medium to low; 141 pairs (7.3%) were upgraded. Of all downgrades, 77.0% (1,117 of 1,450)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color w:val="C00000"/>
        </w:rPr>
        <w:t xml:space="preserve">On the 92-case audit set, full_system reached 0.707 exact accuracy (65/92; Wilson CI 0.607–0.790) and kappa 0.489 against the absorption-corrected gold (specificity 0.955). Only part of that set is independent of the system’s own absorption assumption: restricting the analysis to the 62 cases kept at the third-party DDInter severity gives 37 of 62 (0.597), which is the figure free of the system’s assumption and should be read as the audit-set headline rather than 0.707. Against the uncorrected DDInter severity labels, agreement was 0.402 (37/92). Stratified: among the 30 absorption-corrected cases (all corrected to low), the system agreed on 28 (93%); among the 62 kept cases, it agreed on 37 (60%) (Table 5). Baselines on the corrected gold: pure_llm 0.630, lightrag 0.600, naive_rag 0.535. McNemar tests on the audit set were significant for full_system versus lightrag (10 versus 1; p = 0.012), but not versus naive_rag (27 versus 14; p = 0.060) or pure_llm (18 versus 12; p = 0.362). We also report, symmetrically, that on this set the two ungrounded baselines exceed the system on high-risk sensitivity (pure_llm and naive_rag 0.848 each, lightrag 0.296, versus 0.440 for the cascade), so the cascade’s advantage here is in specificity and exact accuracy, not in sensitivity.</w:t>
      </w:r>
    </w:p>
    <w:p>
      <w:pPr>
        <w:pStyle w:val="BodyText"/>
        <w:spacing w:line="480" w:lineRule="auto"/>
      </w:pPr>
      <w:r>
        <w:rPr>
          <w:rFonts w:ascii="Times New Roman" w:hAnsi="Times New Roman"/>
          <w:color w:val="C00000"/>
        </w:rPr>
        <w:t xml:space="preserve">High-risk sensitivity on the audit set was 0.440 (11 of 25 gold-high cases; CI 0.267–0.629), the lowest of the four methods (pure_llm and naive_rag 0.848, lightrag 0.296). This is the single most important limitation of the current system and is reported deliberately. The 27 disagreements with the audit gold were directionally consistent with the absorption-first design: 14 gold-high pairs were downgraded (6 to low, 8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14 downgraded gold-high pairs include six pairs where systemic-route reasoning is weak on ophthalmic grounds (for example aflibercept × leflunomide, with no plausible topical systemic pathway). The remaining downgrades are clinically sensitive: flurbiprofen × methotrexate (a topical NSAID with a high systemic-absorption tier in our registry, Supplementary Table S5; the matrix grades the cell medium against a gold of high), betaxolol × verapamil and betaxolol × diltiazem (selective beta-blockade plus calcium-channel blockade), timolol × epinephrine, and scopolamine or homatropine × topiramate (anticholinergic burden). For a screening tool, this false-negative profile is the clinically critical number, and it defines the calibration priorities in Section 4.5.</w:t>
      </w:r>
    </w:p>
    <w:bookmarkEnd w:id="35"/>
    <w:bookmarkStart w:id="36" w:name="determinism-and-temperature-sensitivity"/>
    <w:p>
      <w:pPr>
        <w:pStyle w:val="Heading3"/>
        <w:spacing w:line="480" w:lineRule="auto"/>
      </w:pPr>
      <w:r>
        <w:rPr>
          <w:rFonts w:ascii="Times New Roman" w:hAnsi="Times New Roman"/>
          <w:b/>
        </w:rPr>
        <w:t xml:space="preserve">3.6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6"/>
    <w:bookmarkStart w:id="37" w:name="X914a3bd05d2c0ce9c9f6dde65cc59a344f8ad46"/>
    <w:p>
      <w:pPr>
        <w:pStyle w:val="Heading3"/>
        <w:spacing w:line="480" w:lineRule="auto"/>
      </w:pPr>
      <w:r>
        <w:rPr>
          <w:rFonts w:ascii="Times New Roman" w:hAnsi="Times New Roman"/>
          <w:b/>
          <w:color w:val="C00000"/>
        </w:rPr>
        <w:t xml:space="preserve">3.7 Expert grade review (two ophthalmologists, 12 cases)</w:t>
      </w:r>
    </w:p>
    <w:p>
      <w:pPr>
        <w:pStyle w:val="FirstParagraph"/>
        <w:spacing w:line="480" w:lineRule="auto"/>
      </w:pPr>
      <w:r>
        <w:rPr>
          <w:rFonts w:ascii="Times New Roman" w:hAnsi="Times New Roman"/>
          <w:color w:val="C00000"/>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7"/>
    <w:bookmarkStart w:id="38" w:name="limitations"/>
    <w:p>
      <w:pPr>
        <w:pStyle w:val="Heading3"/>
        <w:spacing w:line="480" w:lineRule="auto"/>
      </w:pPr>
      <w:r>
        <w:rPr>
          <w:rFonts w:ascii="Times New Roman" w:hAnsi="Times New Roman"/>
          <w:b/>
        </w:rPr>
        <w:t xml:space="preserve">3.8 Limitations</w:t>
      </w:r>
    </w:p>
    <w:p>
      <w:pPr>
        <w:pStyle w:val="FirstParagraph"/>
        <w:spacing w:line="480" w:lineRule="auto"/>
      </w:pPr>
      <w:r>
        <w:rPr>
          <w:rFonts w:ascii="Times New Roman" w:hAnsi="Times New Roman"/>
          <w:color w:val="C00000"/>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0.440.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8"/>
    <w:bookmarkEnd w:id="39"/>
    <w:bookmarkStart w:id="45" w:name="discussion"/>
    <w:p>
      <w:pPr>
        <w:pStyle w:val="Heading2"/>
        <w:spacing w:line="480" w:lineRule="auto"/>
      </w:pPr>
      <w:r>
        <w:rPr>
          <w:rFonts w:ascii="Times New Roman" w:hAnsi="Times New Roman"/>
          <w:b/>
        </w:rPr>
        <w:t xml:space="preserve">4. Discussion</w:t>
      </w:r>
    </w:p>
    <w:bookmarkStart w:id="40"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color w:val="C00000"/>
        </w:rPr>
        <w:t xml:space="preserve">The same ophthalmic–systemic pair receives three different risk assignments depending on who is judging, and this study places all three on common ground. Systemic-route database severity and absorption-aware assessment disagree for 75.0% of the 1,933 registry-matched pairs that carry a DDInter rating, and that divergence is dominated by a single mechanism: low topical systemic absorption accounts for 77.0%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0.915 of 118 cases (kappa 0.870) and outperformed three LLM baselines (0.415–0.741 accuracy) with significant McNemar tests, zero variance across five temperature conditions, and millisecond inference. On the semi-independent audit set it again led on exact accuracy (0.707 versus 0.535–0.630) and specificity (0.955), but its high-risk sensitivity was the lowest of the four methods (0.440, 11 of 25), and its advantage over pure_llm and naive_rag on that set was not statistically significant. The procedurally frozen blind subset (n = 40) was classified with perfect accuracy, including the 20 cases never exposed to development. Because the L1 gold shares its literature sources with the rules, the 0.915 figure is best read as the internal consistency of an explicitly evidence-graded encoding; the audit-set sensitivity is the number that bounds what the system can claim as a safety screen today.</w:t>
      </w:r>
    </w:p>
    <w:bookmarkEnd w:id="40"/>
    <w:bookmarkStart w:id="41"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(high, medium, low, or very-low) is assigned to every ophthalmic agent; an absorption-scaling step forces low-absorption pairs to low risk unless a mechanism-based upgrade applies; and a hard-constraint layer encodes the absorption-first pharmacology. In the 1,933-pair DDInter audit (Section 3.4), 75.0% of matched pairs were graded lower by the system, including 346 pairs downgraded from high (17.9% of all pairs), with 77.0%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color w:val="C00000"/>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naive keyword retrieval (BM25) degraded accuracy below the plain-LLM baseline in this domain, and the graph-context baseline (named lightrag; Section 2.4) captured only part of the gain; both effects held even though all LLM baselines received an identical system prompt containing the key absorption facts.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1"/>
    <w:bookmarkStart w:id="42"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2"/>
    <w:bookmarkStart w:id="43"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0.440 shows the system can also under-grade relative to an absorption-corrected gold; both directions bound the current clinical utility. At a realistic 1% prevalence of clinically significant ophthalmic–systemic interactions, the audit operating point (sensitivity 0.440,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color w:val="C00000"/>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3"/>
    <w:bookmarkStart w:id="44"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First,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Second, false-negative surveillance: targeted pharmacovigilance mining (FAERS-style) and prospective monitoring of high-absorption agents would test the mechanism-derived rules against real-world outcomes and populate the sparse evidence base. Third, coverage and fail-safe behaviour: extension of the registry to additional ophthalmic and systemic agents, and a user-visible unassessed status for out-of-coverage pairs rather than a scored default, are planned. Fourth, scope extension: the class-matrix architecture transfers naturally to other specialty–systemic interaction domains (dermatologic, inhaled, and intranasal routes) with the same absorption-first design.</w:t>
      </w:r>
    </w:p>
    <w:bookmarkEnd w:id="44"/>
    <w:bookmarkEnd w:id="45"/>
    <w:bookmarkStart w:id="46"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color w:val="C00000"/>
        </w:rPr>
        <w:t xml:space="preserve">We developed OphDDI-CDS, an absorption-first deterministic cascade for ophthalmic–systemic DDI screening (40 citation-verified rules; an absorption-scaled class matrix; a hard-constraint layer encoding topical systemic absorption), and used it to compare three ways of assigning risk to the same drug pairs. Against DDInter severity, absorption-aware assessment graded 75.0% of all 1,933 registry-matched pairs lower, with 77.0%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0.915 of 118 cases (kappa 0.870), with complete output traceability, outperformed three LLM baselines on exact accuracy, and on a semi-independent audit set reached 0.707 exact accuracy — falling to 0.597 on the subset free of its own absorption assumption — but the lowest high-risk sensitivity of the four methods (0.440).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6"/>
    <w:bookmarkStart w:id="47"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7"/>
    <w:bookmarkStart w:id="56" w:name="declarations"/>
    <w:p>
      <w:pPr>
        <w:pStyle w:val="Heading2"/>
        <w:spacing w:line="480" w:lineRule="auto"/>
      </w:pPr>
      <w:r>
        <w:rPr>
          <w:rFonts w:ascii="Times New Roman" w:hAnsi="Times New Roman"/>
          <w:b/>
        </w:rPr>
        <w:t xml:space="preserve">Declarations</w:t>
      </w:r>
    </w:p>
    <w:bookmarkStart w:id="48"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8"/>
    <w:bookmarkStart w:id="49"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49"/>
    <w:bookmarkStart w:id="50"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The dataset(s) supporting the conclusions of this article is(are) included within the article and its additional file(s). The package includes: the entity registries (113 ophthalmic, 232 systemic agents) and the 1,307-chunk evidence base; all gold files (L1 118 cases, DDInter audit 92 cases, development 200 cases, external 70 cases) with case-level provenance; the 12-case expert assessment ratings; the complete prediction files (9,600 rows) and evaluation scripts; the LLM prompt templates and configuration; and SHA-256 fingerprints for engine, rules, evidence, index, and gold versions.</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0"/>
    <w:bookmarkStart w:id="51"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1"/>
    <w:bookmarkStart w:id="52"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2"/>
    <w:bookmarkStart w:id="53"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Yi X: Conceptualization, Supervision, Project administration, Funding acquisition, Resources, Writing - review &amp; editing. All authors contributed to the article and approved the submitted version.</w:t>
      </w:r>
    </w:p>
    <w:bookmarkEnd w:id="53"/>
    <w:bookmarkStart w:id="54"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4"/>
    <w:bookmarkStart w:id="55"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5"/>
    <w:bookmarkEnd w:id="56"/>
    <w:bookmarkStart w:id="57"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70"/>
        <w:gridCol w:w="1170"/>
        <w:gridCol w:w="1170"/>
        <w:gridCol w:w="1170"/>
        <w:gridCol w:w="1170"/>
        <w:gridCol w:w="1170"/>
        <w:gridCol w:w="1170"/>
        <w:gridCol w:w="1170"/>
      </w:tblGrid>
      <w:tr>
        <w:tc>
          <w:tcPr>
            <w:tcW w:type="dxa" w:w="1170"/>
          </w:tcPr>
          <w:p>
            <w:pPr>
              <w:spacing w:line="240" w:lineRule="auto"/>
            </w:pPr>
            <w:r>
              <w:rPr>
                <w:rFonts w:ascii="Times New Roman" w:hAnsi="Times New Roman"/>
                <w:b/>
                <w:sz w:val="18"/>
              </w:rPr>
              <w:t>dataset_id</w:t>
            </w:r>
          </w:p>
        </w:tc>
        <w:tc>
          <w:tcPr>
            <w:tcW w:type="dxa" w:w="1170"/>
          </w:tcPr>
          <w:p>
            <w:pPr>
              <w:spacing w:line="240" w:lineRule="auto"/>
            </w:pPr>
            <w:r>
              <w:rPr>
                <w:rFonts w:ascii="Times New Roman" w:hAnsi="Times New Roman"/>
                <w:b/>
                <w:sz w:val="18"/>
              </w:rPr>
              <w:t>method</w:t>
            </w:r>
          </w:p>
        </w:tc>
        <w:tc>
          <w:tcPr>
            <w:tcW w:type="dxa" w:w="1170"/>
          </w:tcPr>
          <w:p>
            <w:pPr>
              <w:spacing w:line="240" w:lineRule="auto"/>
            </w:pPr>
            <w:r>
              <w:rPr>
                <w:rFonts w:ascii="Times New Roman" w:hAnsi="Times New Roman"/>
                <w:b/>
                <w:sz w:val="18"/>
              </w:rPr>
              <w:t>n</w:t>
            </w:r>
          </w:p>
        </w:tc>
        <w:tc>
          <w:tcPr>
            <w:tcW w:type="dxa" w:w="1170"/>
          </w:tcPr>
          <w:p>
            <w:pPr>
              <w:spacing w:line="240" w:lineRule="auto"/>
            </w:pPr>
            <w:r>
              <w:rPr>
                <w:rFonts w:ascii="Times New Roman" w:hAnsi="Times New Roman"/>
                <w:b/>
                <w:sz w:val="18"/>
              </w:rPr>
              <w:t>sensitivity_high</w:t>
            </w:r>
          </w:p>
        </w:tc>
        <w:tc>
          <w:tcPr>
            <w:tcW w:type="dxa" w:w="1170"/>
          </w:tcPr>
          <w:p>
            <w:pPr>
              <w:spacing w:line="240" w:lineRule="auto"/>
            </w:pPr>
            <w:r>
              <w:rPr>
                <w:rFonts w:ascii="Times New Roman" w:hAnsi="Times New Roman"/>
                <w:b/>
                <w:sz w:val="18"/>
              </w:rPr>
              <w:t>specificity_high</w:t>
            </w:r>
          </w:p>
        </w:tc>
        <w:tc>
          <w:tcPr>
            <w:tcW w:type="dxa" w:w="1170"/>
          </w:tcPr>
          <w:p>
            <w:pPr>
              <w:spacing w:line="240" w:lineRule="auto"/>
            </w:pPr>
            <w:r>
              <w:rPr>
                <w:rFonts w:ascii="Times New Roman" w:hAnsi="Times New Roman"/>
                <w:b/>
                <w:sz w:val="18"/>
              </w:rPr>
              <w:t>f1_high</w:t>
            </w:r>
          </w:p>
        </w:tc>
        <w:tc>
          <w:tcPr>
            <w:tcW w:type="dxa" w:w="1170"/>
          </w:tcPr>
          <w:p>
            <w:pPr>
              <w:spacing w:line="240" w:lineRule="auto"/>
            </w:pPr>
            <w:r>
              <w:rPr>
                <w:rFonts w:ascii="Times New Roman" w:hAnsi="Times New Roman"/>
                <w:b/>
                <w:sz w:val="18"/>
              </w:rPr>
              <w:t>accuracy_3level</w:t>
            </w:r>
          </w:p>
        </w:tc>
        <w:tc>
          <w:tcPr>
            <w:tcW w:type="dxa" w:w="1170"/>
          </w:tcPr>
          <w:p>
            <w:pPr>
              <w:spacing w:line="240" w:lineRule="auto"/>
            </w:pPr>
            <w:r>
              <w:rPr>
                <w:rFonts w:ascii="Times New Roman" w:hAnsi="Times New Roman"/>
                <w:b/>
                <w:sz w:val="18"/>
              </w:rPr>
              <w:t>cohens_kappa</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pure_llm</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0.771</w:t>
            </w:r>
          </w:p>
        </w:tc>
        <w:tc>
          <w:tcPr>
            <w:tcW w:type="dxa" w:w="1170"/>
          </w:tcPr>
          <w:p>
            <w:pPr>
              <w:spacing w:line="240" w:lineRule="auto"/>
            </w:pPr>
            <w:r>
              <w:rPr>
                <w:rFonts w:ascii="Times New Roman" w:hAnsi="Times New Roman"/>
                <w:sz w:val="18"/>
              </w:rPr>
              <w:t>0.542</w:t>
            </w:r>
          </w:p>
        </w:tc>
        <w:tc>
          <w:tcPr>
            <w:tcW w:type="dxa" w:w="1170"/>
          </w:tcPr>
          <w:p>
            <w:pPr>
              <w:spacing w:line="240" w:lineRule="auto"/>
            </w:pPr>
            <w:r>
              <w:rPr>
                <w:rFonts w:ascii="Times New Roman" w:hAnsi="Times New Roman"/>
                <w:sz w:val="18"/>
              </w:rPr>
              <w:t>0.476</w:t>
            </w:r>
          </w:p>
        </w:tc>
        <w:tc>
          <w:tcPr>
            <w:tcW w:type="dxa" w:w="1170"/>
          </w:tcPr>
          <w:p>
            <w:pPr>
              <w:spacing w:line="240" w:lineRule="auto"/>
            </w:pPr>
            <w:r>
              <w:rPr>
                <w:rFonts w:ascii="Times New Roman" w:hAnsi="Times New Roman"/>
                <w:sz w:val="18"/>
              </w:rPr>
              <w:t>0.475</w:t>
            </w:r>
          </w:p>
        </w:tc>
        <w:tc>
          <w:tcPr>
            <w:tcW w:type="dxa" w:w="1170"/>
          </w:tcPr>
          <w:p>
            <w:pPr>
              <w:spacing w:line="240" w:lineRule="auto"/>
            </w:pPr>
            <w:r>
              <w:rPr>
                <w:rFonts w:ascii="Times New Roman" w:hAnsi="Times New Roman"/>
                <w:sz w:val="18"/>
              </w:rPr>
              <w:t>0.256</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naive_rag</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0.757</w:t>
            </w:r>
          </w:p>
        </w:tc>
        <w:tc>
          <w:tcPr>
            <w:tcW w:type="dxa" w:w="1170"/>
          </w:tcPr>
          <w:p>
            <w:pPr>
              <w:spacing w:line="240" w:lineRule="auto"/>
            </w:pPr>
            <w:r>
              <w:rPr>
                <w:rFonts w:ascii="Times New Roman" w:hAnsi="Times New Roman"/>
                <w:sz w:val="18"/>
              </w:rPr>
              <w:t>0.462</w:t>
            </w:r>
          </w:p>
        </w:tc>
        <w:tc>
          <w:tcPr>
            <w:tcW w:type="dxa" w:w="1170"/>
          </w:tcPr>
          <w:p>
            <w:pPr>
              <w:spacing w:line="240" w:lineRule="auto"/>
            </w:pPr>
            <w:r>
              <w:rPr>
                <w:rFonts w:ascii="Times New Roman" w:hAnsi="Times New Roman"/>
                <w:sz w:val="18"/>
              </w:rPr>
              <w:t>0.434</w:t>
            </w:r>
          </w:p>
        </w:tc>
        <w:tc>
          <w:tcPr>
            <w:tcW w:type="dxa" w:w="1170"/>
          </w:tcPr>
          <w:p>
            <w:pPr>
              <w:spacing w:line="240" w:lineRule="auto"/>
            </w:pPr>
            <w:r>
              <w:rPr>
                <w:rFonts w:ascii="Times New Roman" w:hAnsi="Times New Roman"/>
                <w:sz w:val="18"/>
              </w:rPr>
              <w:t>0.415</w:t>
            </w:r>
          </w:p>
        </w:tc>
        <w:tc>
          <w:tcPr>
            <w:tcW w:type="dxa" w:w="1170"/>
          </w:tcPr>
          <w:p>
            <w:pPr>
              <w:spacing w:line="240" w:lineRule="auto"/>
            </w:pPr>
            <w:r>
              <w:rPr>
                <w:rFonts w:ascii="Times New Roman" w:hAnsi="Times New Roman"/>
                <w:sz w:val="18"/>
              </w:rPr>
              <w:t>0.182</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lightrag</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0.793</w:t>
            </w:r>
          </w:p>
        </w:tc>
        <w:tc>
          <w:tcPr>
            <w:tcW w:type="dxa" w:w="1170"/>
          </w:tcPr>
          <w:p>
            <w:pPr>
              <w:spacing w:line="240" w:lineRule="auto"/>
            </w:pPr>
            <w:r>
              <w:rPr>
                <w:rFonts w:ascii="Times New Roman" w:hAnsi="Times New Roman"/>
                <w:sz w:val="18"/>
              </w:rPr>
              <w:t>0.936</w:t>
            </w:r>
          </w:p>
        </w:tc>
        <w:tc>
          <w:tcPr>
            <w:tcW w:type="dxa" w:w="1170"/>
          </w:tcPr>
          <w:p>
            <w:pPr>
              <w:spacing w:line="240" w:lineRule="auto"/>
            </w:pPr>
            <w:r>
              <w:rPr>
                <w:rFonts w:ascii="Times New Roman" w:hAnsi="Times New Roman"/>
                <w:sz w:val="18"/>
              </w:rPr>
              <w:t>0.794</w:t>
            </w:r>
          </w:p>
        </w:tc>
        <w:tc>
          <w:tcPr>
            <w:tcW w:type="dxa" w:w="1170"/>
          </w:tcPr>
          <w:p>
            <w:pPr>
              <w:spacing w:line="240" w:lineRule="auto"/>
            </w:pPr>
            <w:r>
              <w:rPr>
                <w:rFonts w:ascii="Times New Roman" w:hAnsi="Times New Roman"/>
                <w:sz w:val="18"/>
              </w:rPr>
              <w:t>0.741</w:t>
            </w:r>
          </w:p>
        </w:tc>
        <w:tc>
          <w:tcPr>
            <w:tcW w:type="dxa" w:w="1170"/>
          </w:tcPr>
          <w:p>
            <w:pPr>
              <w:spacing w:line="240" w:lineRule="auto"/>
            </w:pPr>
            <w:r>
              <w:rPr>
                <w:rFonts w:ascii="Times New Roman" w:hAnsi="Times New Roman"/>
                <w:sz w:val="18"/>
              </w:rPr>
              <w:t>0.609</w:t>
            </w:r>
          </w:p>
        </w:tc>
      </w:tr>
      <w:tr>
        <w:tc>
          <w:tcPr>
            <w:tcW w:type="dxa" w:w="1170"/>
          </w:tcPr>
          <w:p>
            <w:pPr>
              <w:spacing w:line="240" w:lineRule="auto"/>
            </w:pPr>
            <w:r>
              <w:rPr>
                <w:rFonts w:ascii="Times New Roman" w:hAnsi="Times New Roman"/>
                <w:sz w:val="18"/>
              </w:rPr>
              <w:t>blind_l1</w:t>
            </w:r>
          </w:p>
        </w:tc>
        <w:tc>
          <w:tcPr>
            <w:tcW w:type="dxa" w:w="1170"/>
          </w:tcPr>
          <w:p>
            <w:pPr>
              <w:spacing w:line="240" w:lineRule="auto"/>
            </w:pPr>
            <w:r>
              <w:rPr>
                <w:rFonts w:ascii="Times New Roman" w:hAnsi="Times New Roman"/>
                <w:sz w:val="18"/>
              </w:rPr>
              <w:t>full_system</w:t>
            </w:r>
          </w:p>
        </w:tc>
        <w:tc>
          <w:tcPr>
            <w:tcW w:type="dxa" w:w="1170"/>
          </w:tcPr>
          <w:p>
            <w:pPr>
              <w:spacing w:line="240" w:lineRule="auto"/>
            </w:pPr>
            <w:r>
              <w:rPr>
                <w:rFonts w:ascii="Times New Roman" w:hAnsi="Times New Roman"/>
                <w:sz w:val="18"/>
              </w:rPr>
              <w:t>118</w:t>
            </w:r>
          </w:p>
        </w:tc>
        <w:tc>
          <w:tcPr>
            <w:tcW w:type="dxa" w:w="1170"/>
          </w:tcPr>
          <w:p>
            <w:pPr>
              <w:spacing w:line="240" w:lineRule="auto"/>
            </w:pPr>
            <w:r>
              <w:rPr>
                <w:rFonts w:ascii="Times New Roman" w:hAnsi="Times New Roman"/>
                <w:sz w:val="18"/>
              </w:rPr>
              <w:t>1.0</w:t>
            </w:r>
          </w:p>
        </w:tc>
        <w:tc>
          <w:tcPr>
            <w:tcW w:type="dxa" w:w="1170"/>
          </w:tcPr>
          <w:p>
            <w:pPr>
              <w:spacing w:line="240" w:lineRule="auto"/>
            </w:pPr>
            <w:r>
              <w:rPr>
                <w:rFonts w:ascii="Times New Roman" w:hAnsi="Times New Roman"/>
                <w:sz w:val="18"/>
              </w:rPr>
              <w:t>0.989</w:t>
            </w:r>
          </w:p>
        </w:tc>
        <w:tc>
          <w:tcPr>
            <w:tcW w:type="dxa" w:w="1170"/>
          </w:tcPr>
          <w:p>
            <w:pPr>
              <w:spacing w:line="240" w:lineRule="auto"/>
            </w:pPr>
            <w:r>
              <w:rPr>
                <w:rFonts w:ascii="Times New Roman" w:hAnsi="Times New Roman"/>
                <w:sz w:val="18"/>
              </w:rPr>
              <w:t>0.983</w:t>
            </w:r>
          </w:p>
        </w:tc>
        <w:tc>
          <w:tcPr>
            <w:tcW w:type="dxa" w:w="1170"/>
          </w:tcPr>
          <w:p>
            <w:pPr>
              <w:spacing w:line="240" w:lineRule="auto"/>
            </w:pPr>
            <w:r>
              <w:rPr>
                <w:rFonts w:ascii="Times New Roman" w:hAnsi="Times New Roman"/>
                <w:sz w:val="18"/>
              </w:rPr>
              <w:t>0.915</w:t>
            </w:r>
          </w:p>
        </w:tc>
        <w:tc>
          <w:tcPr>
            <w:tcW w:type="dxa" w:w="1170"/>
          </w:tcPr>
          <w:p>
            <w:pPr>
              <w:spacing w:line="240" w:lineRule="auto"/>
            </w:pPr>
            <w:r>
              <w:rPr>
                <w:rFonts w:ascii="Times New Roman" w:hAnsi="Times New Roman"/>
                <w:sz w:val="18"/>
              </w:rPr>
              <w:t>0.87</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pure_llm</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0.848</w:t>
            </w:r>
          </w:p>
        </w:tc>
        <w:tc>
          <w:tcPr>
            <w:tcW w:type="dxa" w:w="1170"/>
          </w:tcPr>
          <w:p>
            <w:pPr>
              <w:spacing w:line="240" w:lineRule="auto"/>
            </w:pPr>
            <w:r>
              <w:rPr>
                <w:rFonts w:ascii="Times New Roman" w:hAnsi="Times New Roman"/>
                <w:sz w:val="18"/>
              </w:rPr>
              <w:t>0.705</w:t>
            </w:r>
          </w:p>
        </w:tc>
        <w:tc>
          <w:tcPr>
            <w:tcW w:type="dxa" w:w="1170"/>
          </w:tcPr>
          <w:p>
            <w:pPr>
              <w:spacing w:line="240" w:lineRule="auto"/>
            </w:pPr>
            <w:r>
              <w:rPr>
                <w:rFonts w:ascii="Times New Roman" w:hAnsi="Times New Roman"/>
                <w:sz w:val="18"/>
              </w:rPr>
              <w:t>0.642</w:t>
            </w:r>
          </w:p>
        </w:tc>
        <w:tc>
          <w:tcPr>
            <w:tcW w:type="dxa" w:w="1170"/>
          </w:tcPr>
          <w:p>
            <w:pPr>
              <w:spacing w:line="240" w:lineRule="auto"/>
            </w:pPr>
            <w:r>
              <w:rPr>
                <w:rFonts w:ascii="Times New Roman" w:hAnsi="Times New Roman"/>
                <w:sz w:val="18"/>
              </w:rPr>
              <w:t>0.63</w:t>
            </w:r>
          </w:p>
        </w:tc>
        <w:tc>
          <w:tcPr>
            <w:tcW w:type="dxa" w:w="1170"/>
          </w:tcPr>
          <w:p>
            <w:pPr>
              <w:spacing w:line="240" w:lineRule="auto"/>
            </w:pPr>
            <w:r>
              <w:rPr>
                <w:rFonts w:ascii="Times New Roman" w:hAnsi="Times New Roman"/>
                <w:sz w:val="18"/>
              </w:rPr>
              <w:t>0.396</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naive_rag</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0.848</w:t>
            </w:r>
          </w:p>
        </w:tc>
        <w:tc>
          <w:tcPr>
            <w:tcW w:type="dxa" w:w="1170"/>
          </w:tcPr>
          <w:p>
            <w:pPr>
              <w:spacing w:line="240" w:lineRule="auto"/>
            </w:pPr>
            <w:r>
              <w:rPr>
                <w:rFonts w:ascii="Times New Roman" w:hAnsi="Times New Roman"/>
                <w:sz w:val="18"/>
              </w:rPr>
              <w:t>0.579</w:t>
            </w:r>
          </w:p>
        </w:tc>
        <w:tc>
          <w:tcPr>
            <w:tcW w:type="dxa" w:w="1170"/>
          </w:tcPr>
          <w:p>
            <w:pPr>
              <w:spacing w:line="240" w:lineRule="auto"/>
            </w:pPr>
            <w:r>
              <w:rPr>
                <w:rFonts w:ascii="Times New Roman" w:hAnsi="Times New Roman"/>
                <w:sz w:val="18"/>
              </w:rPr>
              <w:t>0.57</w:t>
            </w:r>
          </w:p>
        </w:tc>
        <w:tc>
          <w:tcPr>
            <w:tcW w:type="dxa" w:w="1170"/>
          </w:tcPr>
          <w:p>
            <w:pPr>
              <w:spacing w:line="240" w:lineRule="auto"/>
            </w:pPr>
            <w:r>
              <w:rPr>
                <w:rFonts w:ascii="Times New Roman" w:hAnsi="Times New Roman"/>
                <w:sz w:val="18"/>
              </w:rPr>
              <w:t>0.535</w:t>
            </w:r>
          </w:p>
        </w:tc>
        <w:tc>
          <w:tcPr>
            <w:tcW w:type="dxa" w:w="1170"/>
          </w:tcPr>
          <w:p>
            <w:pPr>
              <w:spacing w:line="240" w:lineRule="auto"/>
            </w:pPr>
            <w:r>
              <w:rPr>
                <w:rFonts w:ascii="Times New Roman" w:hAnsi="Times New Roman"/>
                <w:sz w:val="18"/>
              </w:rPr>
              <w:t>0.29</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lightrag</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0.296</w:t>
            </w:r>
          </w:p>
        </w:tc>
        <w:tc>
          <w:tcPr>
            <w:tcW w:type="dxa" w:w="1170"/>
          </w:tcPr>
          <w:p>
            <w:pPr>
              <w:spacing w:line="240" w:lineRule="auto"/>
            </w:pPr>
            <w:r>
              <w:rPr>
                <w:rFonts w:ascii="Times New Roman" w:hAnsi="Times New Roman"/>
                <w:sz w:val="18"/>
              </w:rPr>
              <w:t>0.949</w:t>
            </w:r>
          </w:p>
        </w:tc>
        <w:tc>
          <w:tcPr>
            <w:tcW w:type="dxa" w:w="1170"/>
          </w:tcPr>
          <w:p>
            <w:pPr>
              <w:spacing w:line="240" w:lineRule="auto"/>
            </w:pPr>
            <w:r>
              <w:rPr>
                <w:rFonts w:ascii="Times New Roman" w:hAnsi="Times New Roman"/>
                <w:sz w:val="18"/>
              </w:rPr>
              <w:t>0.413</w:t>
            </w:r>
          </w:p>
        </w:tc>
        <w:tc>
          <w:tcPr>
            <w:tcW w:type="dxa" w:w="1170"/>
          </w:tcPr>
          <w:p>
            <w:pPr>
              <w:spacing w:line="240" w:lineRule="auto"/>
            </w:pPr>
            <w:r>
              <w:rPr>
                <w:rFonts w:ascii="Times New Roman" w:hAnsi="Times New Roman"/>
                <w:sz w:val="18"/>
              </w:rPr>
              <w:t>0.6</w:t>
            </w:r>
          </w:p>
        </w:tc>
        <w:tc>
          <w:tcPr>
            <w:tcW w:type="dxa" w:w="1170"/>
          </w:tcPr>
          <w:p>
            <w:pPr>
              <w:spacing w:line="240" w:lineRule="auto"/>
            </w:pPr>
            <w:r>
              <w:rPr>
                <w:rFonts w:ascii="Times New Roman" w:hAnsi="Times New Roman"/>
                <w:sz w:val="18"/>
              </w:rPr>
              <w:t>0.239</w:t>
            </w:r>
          </w:p>
        </w:tc>
      </w:tr>
      <w:tr>
        <w:tc>
          <w:tcPr>
            <w:tcW w:type="dxa" w:w="1170"/>
          </w:tcPr>
          <w:p>
            <w:pPr>
              <w:spacing w:line="240" w:lineRule="auto"/>
            </w:pPr>
            <w:r>
              <w:rPr>
                <w:rFonts w:ascii="Times New Roman" w:hAnsi="Times New Roman"/>
                <w:sz w:val="18"/>
              </w:rPr>
              <w:t>blind_v3_ddinter</w:t>
            </w:r>
          </w:p>
        </w:tc>
        <w:tc>
          <w:tcPr>
            <w:tcW w:type="dxa" w:w="1170"/>
          </w:tcPr>
          <w:p>
            <w:pPr>
              <w:spacing w:line="240" w:lineRule="auto"/>
            </w:pPr>
            <w:r>
              <w:rPr>
                <w:rFonts w:ascii="Times New Roman" w:hAnsi="Times New Roman"/>
                <w:sz w:val="18"/>
              </w:rPr>
              <w:t>full_system</w:t>
            </w:r>
          </w:p>
        </w:tc>
        <w:tc>
          <w:tcPr>
            <w:tcW w:type="dxa" w:w="1170"/>
          </w:tcPr>
          <w:p>
            <w:pPr>
              <w:spacing w:line="240" w:lineRule="auto"/>
            </w:pPr>
            <w:r>
              <w:rPr>
                <w:rFonts w:ascii="Times New Roman" w:hAnsi="Times New Roman"/>
                <w:sz w:val="18"/>
              </w:rPr>
              <w:t>92</w:t>
            </w:r>
          </w:p>
        </w:tc>
        <w:tc>
          <w:tcPr>
            <w:tcW w:type="dxa" w:w="1170"/>
          </w:tcPr>
          <w:p>
            <w:pPr>
              <w:spacing w:line="240" w:lineRule="auto"/>
            </w:pPr>
            <w:r>
              <w:rPr>
                <w:rFonts w:ascii="Times New Roman" w:hAnsi="Times New Roman"/>
                <w:sz w:val="18"/>
              </w:rPr>
              <w:t>0.44</w:t>
            </w:r>
          </w:p>
        </w:tc>
        <w:tc>
          <w:tcPr>
            <w:tcW w:type="dxa" w:w="1170"/>
          </w:tcPr>
          <w:p>
            <w:pPr>
              <w:spacing w:line="240" w:lineRule="auto"/>
            </w:pPr>
            <w:r>
              <w:rPr>
                <w:rFonts w:ascii="Times New Roman" w:hAnsi="Times New Roman"/>
                <w:sz w:val="18"/>
              </w:rPr>
              <w:t>0.955</w:t>
            </w:r>
          </w:p>
        </w:tc>
        <w:tc>
          <w:tcPr>
            <w:tcW w:type="dxa" w:w="1170"/>
          </w:tcPr>
          <w:p>
            <w:pPr>
              <w:spacing w:line="240" w:lineRule="auto"/>
            </w:pPr>
            <w:r>
              <w:rPr>
                <w:rFonts w:ascii="Times New Roman" w:hAnsi="Times New Roman"/>
                <w:sz w:val="18"/>
              </w:rPr>
              <w:t>0.564</w:t>
            </w:r>
          </w:p>
        </w:tc>
        <w:tc>
          <w:tcPr>
            <w:tcW w:type="dxa" w:w="1170"/>
          </w:tcPr>
          <w:p>
            <w:pPr>
              <w:spacing w:line="240" w:lineRule="auto"/>
            </w:pPr>
            <w:r>
              <w:rPr>
                <w:rFonts w:ascii="Times New Roman" w:hAnsi="Times New Roman"/>
                <w:sz w:val="18"/>
              </w:rPr>
              <w:t>0.707</w:t>
            </w:r>
          </w:p>
        </w:tc>
        <w:tc>
          <w:tcPr>
            <w:tcW w:type="dxa" w:w="1170"/>
          </w:tcPr>
          <w:p>
            <w:pPr>
              <w:spacing w:line="240" w:lineRule="auto"/>
            </w:pPr>
            <w:r>
              <w:rPr>
                <w:rFonts w:ascii="Times New Roman" w:hAnsi="Times New Roman"/>
                <w:sz w:val="18"/>
              </w:rPr>
              <w:t>0.489</w:t>
            </w:r>
          </w:p>
        </w:tc>
      </w:tr>
    </w:tbl>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65 (0.707)</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37 (0.597)</w:t>
            </w:r>
          </w:p>
        </w:tc>
      </w:tr>
      <w:tr>
        <w:tc>
          <w:tcPr>
            <w:tcW w:type="dxa" w:w="3120"/>
          </w:tcPr>
          <w:p>
            <w:pPr>
              <w:spacing w:line="240" w:lineRule="auto"/>
            </w:pPr>
            <w:r>
              <w:rPr>
                <w:rFonts w:ascii="Times New Roman" w:hAnsi="Times New Roman"/>
                <w:sz w:val="18"/>
              </w:rPr>
              <w:t>disagreement direction</w:t>
            </w:r>
          </w:p>
        </w:tc>
        <w:tc>
          <w:tcPr>
            <w:tcW w:type="dxa" w:w="3120"/>
          </w:tcPr>
          <w:p>
            <w:pPr>
              <w:spacing w:line="240" w:lineRule="auto"/>
            </w:pPr>
            <w:r>
              <w:rPr>
                <w:rFonts w:ascii="Times New Roman" w:hAnsi="Times New Roman"/>
                <w:sz w:val="18"/>
              </w:rPr>
              <w:t>n</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high-&gt;low</w:t>
            </w:r>
          </w:p>
        </w:tc>
        <w:tc>
          <w:tcPr>
            <w:tcW w:type="dxa" w:w="3120"/>
          </w:tcPr>
          <w:p>
            <w:pPr>
              <w:spacing w:line="240" w:lineRule="auto"/>
            </w:pPr>
            <w:r>
              <w:rPr>
                <w:rFonts w:ascii="Times New Roman" w:hAnsi="Times New Roman"/>
                <w:sz w:val="18"/>
              </w:rPr>
              <w:t>6</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high-&gt;medium</w:t>
            </w:r>
          </w:p>
        </w:tc>
        <w:tc>
          <w:tcPr>
            <w:tcW w:type="dxa" w:w="3120"/>
          </w:tcPr>
          <w:p>
            <w:pPr>
              <w:spacing w:line="240" w:lineRule="auto"/>
            </w:pPr>
            <w:r>
              <w:rPr>
                <w:rFonts w:ascii="Times New Roman" w:hAnsi="Times New Roman"/>
                <w:sz w:val="18"/>
              </w:rPr>
              <w:t>8</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medium-&gt;low</w:t>
            </w:r>
          </w:p>
        </w:tc>
        <w:tc>
          <w:tcPr>
            <w:tcW w:type="dxa" w:w="3120"/>
          </w:tcPr>
          <w:p>
            <w:pPr>
              <w:spacing w:line="240" w:lineRule="auto"/>
            </w:pPr>
            <w:r>
              <w:rPr>
                <w:rFonts w:ascii="Times New Roman" w:hAnsi="Times New Roman"/>
                <w:sz w:val="18"/>
              </w:rPr>
              <w:t>9</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medium-&gt;high</w:t>
            </w:r>
          </w:p>
        </w:tc>
        <w:tc>
          <w:tcPr>
            <w:tcW w:type="dxa" w:w="3120"/>
          </w:tcPr>
          <w:p>
            <w:pPr>
              <w:spacing w:line="240" w:lineRule="auto"/>
            </w:pPr>
            <w:r>
              <w:rPr>
                <w:rFonts w:ascii="Times New Roman" w:hAnsi="Times New Roman"/>
                <w:sz w:val="18"/>
              </w:rPr>
              <w:t>2</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low-&gt;medium</w:t>
            </w:r>
          </w:p>
        </w:tc>
        <w:tc>
          <w:tcPr>
            <w:tcW w:type="dxa" w:w="3120"/>
          </w:tcPr>
          <w:p>
            <w:pPr>
              <w:spacing w:line="240" w:lineRule="auto"/>
            </w:pPr>
            <w:r>
              <w:rPr>
                <w:rFonts w:ascii="Times New Roman" w:hAnsi="Times New Roman"/>
                <w:sz w:val="18"/>
              </w:rPr>
              <w:t>1</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low-&gt;high</w:t>
            </w:r>
          </w:p>
        </w:tc>
        <w:tc>
          <w:tcPr>
            <w:tcW w:type="dxa" w:w="3120"/>
          </w:tcPr>
          <w:p>
            <w:pPr>
              <w:spacing w:line="240" w:lineRule="auto"/>
            </w:pPr>
            <w:r>
              <w:rPr>
                <w:rFonts w:ascii="Times New Roman" w:hAnsi="Times New Roman"/>
                <w:sz w:val="18"/>
              </w:rPr>
              <w:t>1</w:t>
            </w:r>
          </w:p>
        </w:tc>
        <w:tc>
          <w:tcPr>
            <w:tcW w:type="dxa" w:w="3120"/>
          </w:tcPr>
          <w:p>
            <w:pPr>
              <w:spacing w:line="240" w:lineRule="auto"/>
            </w:pPr>
            <w:r>
              <w:rPr>
                <w:rFonts w:ascii="Times New Roman" w:hAnsi="Times New Roman"/>
                <w:sz w:val="18"/>
              </w:rPr>
            </w:r>
          </w:p>
        </w:tc>
      </w:tr>
      <w:tr>
        <w:tc>
          <w:tcPr>
            <w:tcW w:type="dxa" w:w="3120"/>
          </w:tcPr>
          <w:p>
            <w:pPr>
              <w:spacing w:line="240" w:lineRule="auto"/>
            </w:pPr>
            <w:r>
              <w:rPr>
                <w:rFonts w:ascii="Times New Roman" w:hAnsi="Times New Roman"/>
                <w:sz w:val="18"/>
              </w:rPr>
              <w:t>**total disagreements**</w:t>
            </w:r>
          </w:p>
        </w:tc>
        <w:tc>
          <w:tcPr>
            <w:tcW w:type="dxa" w:w="3120"/>
          </w:tcPr>
          <w:p>
            <w:pPr>
              <w:spacing w:line="240" w:lineRule="auto"/>
            </w:pPr>
            <w:r>
              <w:rPr>
                <w:rFonts w:ascii="Times New Roman" w:hAnsi="Times New Roman"/>
                <w:sz w:val="18"/>
              </w:rPr>
              <w:t>**27**</w:t>
            </w:r>
          </w:p>
        </w:tc>
        <w:tc>
          <w:tcPr>
            <w:tcW w:type="dxa" w:w="3120"/>
          </w:tcPr>
          <w:p>
            <w:pPr>
              <w:spacing w:line="240" w:lineRule="auto"/>
            </w:pPr>
            <w:r>
              <w:rPr>
                <w:rFonts w:ascii="Times New Roman" w:hAnsi="Times New Roman"/>
                <w:sz w:val="18"/>
              </w:rPr>
            </w:r>
          </w:p>
        </w:tc>
      </w:tr>
    </w:tbl>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3133380"/>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3133380"/>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color w:val="C00000"/>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color w:val="C00000"/>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color w:val="C00000"/>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color w:val="C00000"/>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7"/>
    <w:bookmarkEnd w:id="58"/>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2026-09-23T14:12:12Z</dcterms:created>
  <dcterms:modified xsi:type="dcterms:W3CDTF">2026-09-23T14:12:12Z</dcterms:modified>
</cp:coreProperties>
</file>

<file path=docProps/custom.xml><?xml version="1.0" encoding="utf-8"?>
<Properties xmlns="http://schemas.openxmlformats.org/officeDocument/2006/custom-properties" xmlns:vt="http://schemas.openxmlformats.org/officeDocument/2006/docPropsVTypes"/>
</file>