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rPr>
        <w:t xml:space="preserve"> </w:t>
      </w:r>
      <w:r>
        <w:rPr>
          <w:rFonts w:ascii="Times New Roman" w:hAnsi="Times New Roman"/>
        </w:rPr>
        <w:t xml:space="preserve">“approximately 80%”</w:t>
      </w:r>
      <w:r>
        <w:rPr>
          <w:rFonts w:ascii="Times New Roman" w:hAnsi="Times New Roman"/>
        </w:rPr>
        <w:t xml:space="preserve"> </w:t>
      </w:r>
      <w:r>
        <w:rPr>
          <w:rFonts w:ascii="Times New Roman" w:hAnsi="Times New Roman"/>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rPr>
        <w:t xml:space="preserve"> </w:t>
      </w:r>
      <w:r>
        <w:rPr>
          <w:rFonts w:ascii="Times New Roman" w:hAnsi="Times New Roman"/>
        </w:rPr>
        <w:t xml:space="preserve">“none”</w:t>
      </w:r>
      <w:r>
        <w:rPr>
          <w:rFonts w:ascii="Times New Roman" w:hAnsi="Times New Roman"/>
        </w:rPr>
        <w:t xml:space="preserve"> </w:t>
      </w:r>
      <w:r>
        <w:rPr>
          <w:rFonts w:ascii="Times New Roman" w:hAnsi="Times New Roman"/>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rPr>
        <w:t xml:space="preserve"> </w:t>
      </w:r>
      <w:r>
        <w:rPr>
          <w:rFonts w:ascii="Times New Roman" w:hAnsi="Times New Roman"/>
        </w:rPr>
        <w:t xml:space="preserve">“none”</w:t>
      </w:r>
      <w:r>
        <w:rPr>
          <w:rFonts w:ascii="Times New Roman" w:hAnsi="Times New Roman"/>
        </w:rPr>
        <w:t xml:space="preserve"> </w:t>
      </w:r>
      <w:r>
        <w:rPr>
          <w:rFonts w:ascii="Times New Roman" w:hAnsi="Times New Roman"/>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15 high, 17 medium, 61 low, 9 very-low, 7 minimal, 4 none). The L3 hard constraint fires on two of these values,</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 as implemented in</w:t>
      </w:r>
      <w:r>
        <w:rPr>
          <w:rFonts w:ascii="Times New Roman" w:hAnsi="Times New Roman"/>
        </w:rPr>
        <w:t xml:space="preserve"> </w:t>
      </w:r>
      <w:r>
        <w:rPr>
          <w:rStyle w:val="VerbatimChar"/>
          <w:rFonts w:ascii="Times New Roman" w:hAnsi="Times New Roman"/>
        </w:rPr>
        <w:t xml:space="preserve">kg_layer.py</w:t>
      </w:r>
      <w:r>
        <w:rPr>
          <w:rFonts w:ascii="Times New Roman" w:hAnsi="Times New Roman"/>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rPr>
        <w:t xml:space="preserve"> </w:t>
      </w:r>
      <w:r>
        <w:rPr>
          <w:rFonts w:ascii="Times New Roman" w:hAnsi="Times New Roman"/>
          <w:b/>
          <w:bCs/>
        </w:rPr>
        <w:t xml:space="preserve">The table’s source column does not evidence the tiers individually:</w:t>
      </w:r>
      <w:r>
        <w:rPr>
          <w:rFonts w:ascii="Times New Roman" w:hAnsi="Times New Roman"/>
        </w:rPr>
        <w:t xml:space="preserve"> </w:t>
      </w:r>
      <w:r>
        <w:rPr>
          <w:rFonts w:ascii="Times New Roman" w:hAnsi="Times New Roman"/>
        </w:rPr>
        <w:t xml:space="preserve">all 113 rows record the same string (</w:t>
      </w:r>
      <w:r>
        <w:rPr>
          <w:rStyle w:val="VerbatimChar"/>
          <w:rFonts w:ascii="Times New Roman" w:hAnsi="Times New Roman"/>
        </w:rPr>
        <w:t xml:space="preserve">DrugBank DBxxxxx|PubMed</w:t>
      </w:r>
      <w:r>
        <w:rPr>
          <w:rFonts w:ascii="Times New Roman" w:hAnsi="Times New Roman"/>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 following the data-selection principle set out in Section 2.1.</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gold was constructed by the two authors of the original submission (GW and YX), who performed the curation and annotation. The two authors added during revision (HL and WS) contributed clinical input and interpretation of the results and reviewed the manuscript, but did not construct the gold and did not take part in the expert grade review.</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therefore 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 all four datasets as Supplementary Table S8).</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i.e. the drug names are included,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 Supplementary Text S5 records the run configuration and the file-level fingerprints needed to verify that the deposited predictions reproduce these figures.</w:t>
      </w:r>
      <w:r>
        <w:rPr>
          <w:rFonts w:ascii="Times New Roman" w:hAnsi="Times New Roman"/>
        </w:rPr>
        <w:t xml:space="preserve"> </w:t>
      </w:r>
      <w:r>
        <w:rPr>
          <w:rFonts w:ascii="Times New Roman" w:hAnsi="Times New Roman"/>
          <w:b/>
          <w:bCs/>
        </w:rPr>
        <w:t xml:space="preserve">Reasoning-model re-run (reported in Section 3.6 and Table 3).</w:t>
      </w:r>
      <w:r>
        <w:rPr>
          <w:rFonts w:ascii="Times New Roman" w:hAnsi="Times New Roman"/>
        </w:rPr>
        <w:t xml:space="preserve"> </w:t>
      </w:r>
      <w:r>
        <w:rPr>
          <w:rFonts w:ascii="Times New Roman" w:hAnsi="Times New Roman"/>
        </w:rPr>
        <w:t xml:space="preserve">The three LLM baselines were additionally re-run under an adequate output budget with a reasoning model. Setup, stated in full: provider Zhipu (Zhipu AI, China) through the coding-plan endpoint</w:t>
      </w:r>
      <w:r>
        <w:rPr>
          <w:rFonts w:ascii="Times New Roman" w:hAnsi="Times New Roman"/>
        </w:rPr>
        <w:t xml:space="preserve"> </w:t>
      </w:r>
      <w:r>
        <w:rPr>
          <w:rStyle w:val="VerbatimChar"/>
          <w:rFonts w:ascii="Times New Roman" w:hAnsi="Times New Roman"/>
        </w:rPr>
        <w:t xml:space="preserve">https://open.bigmodel.cn/api/coding/paas/v4</w:t>
      </w:r>
      <w:r>
        <w:rPr>
          <w:rFonts w:ascii="Times New Roman" w:hAnsi="Times New Roman"/>
        </w:rPr>
        <w:t xml:space="preserve">, model identifier</w:t>
      </w:r>
      <w:r>
        <w:rPr>
          <w:rFonts w:ascii="Times New Roman" w:hAnsi="Times New Roman"/>
        </w:rPr>
        <w:t xml:space="preserve"> </w:t>
      </w:r>
      <w:r>
        <w:rPr>
          <w:rStyle w:val="VerbatimChar"/>
          <w:rFonts w:ascii="Times New Roman" w:hAnsi="Times New Roman"/>
        </w:rPr>
        <w:t xml:space="preserve">glm-5.3-flash</w:t>
      </w:r>
      <w:r>
        <w:rPr>
          <w:rFonts w:ascii="Times New Roman" w:hAnsi="Times New Roman"/>
        </w:rPr>
        <w:t xml:space="preserve">, temperature 0.0,</w:t>
      </w:r>
      <w:r>
        <w:rPr>
          <w:rFonts w:ascii="Times New Roman" w:hAnsi="Times New Roman"/>
        </w:rPr>
        <w:t xml:space="preserve"> </w:t>
      </w:r>
      <w:r>
        <w:rPr>
          <w:rStyle w:val="VerbatimChar"/>
          <w:rFonts w:ascii="Times New Roman" w:hAnsi="Times New Roman"/>
        </w:rPr>
        <w:t xml:space="preserve">max_tokens</w:t>
      </w:r>
      <w:r>
        <w:rPr>
          <w:rFonts w:ascii="Times New Roman" w:hAnsi="Times New Roman"/>
        </w:rPr>
        <w:t xml:space="preserve"> </w:t>
      </w:r>
      <w:r>
        <w:rPr>
          <w:rFonts w:ascii="Times New Roman" w:hAnsi="Times New Roman"/>
        </w:rPr>
        <w:t xml:space="preserve">3000, five repeated samples per case, temperature held fixed so the repetition captures sampling variance rather than a temperature schedule.</w:t>
      </w:r>
      <w:r>
        <w:rPr>
          <w:rFonts w:ascii="Times New Roman" w:hAnsi="Times New Roman"/>
        </w:rPr>
        <w:t xml:space="preserve"> </w:t>
      </w:r>
      <w:r>
        <w:rPr>
          <w:rFonts w:ascii="Times New Roman" w:hAnsi="Times New Roman"/>
          <w:b/>
          <w:bCs/>
        </w:rPr>
        <w:t xml:space="preserve">Reasoning tokens count against the 3000-token budget</w:t>
      </w:r>
      <w:r>
        <w:rPr>
          <w:rFonts w:ascii="Times New Roman" w:hAnsi="Times New Roman"/>
        </w:rPr>
        <w:t xml:space="preserve">: the model emits</w:t>
      </w:r>
      <w:r>
        <w:rPr>
          <w:rFonts w:ascii="Times New Roman" w:hAnsi="Times New Roman"/>
        </w:rPr>
        <w:t xml:space="preserve"> </w:t>
      </w:r>
      <w:r>
        <w:rPr>
          <w:rStyle w:val="VerbatimChar"/>
          <w:rFonts w:ascii="Times New Roman" w:hAnsi="Times New Roman"/>
        </w:rPr>
        <w:t xml:space="preserve">reasoning_content</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Style w:val="VerbatimChar"/>
          <w:rFonts w:ascii="Times New Roman" w:hAnsi="Times New Roman"/>
        </w:rPr>
        <w:t xml:space="preserve">content</w:t>
      </w:r>
      <w:r>
        <w:rPr>
          <w:rFonts w:ascii="Times New Roman" w:hAnsi="Times New Roman"/>
        </w:rPr>
        <w:t xml:space="preserve">, so the budget covers both.</w:t>
      </w:r>
      <w:r>
        <w:rPr>
          <w:rFonts w:ascii="Times New Roman" w:hAnsi="Times New Roman"/>
        </w:rPr>
        <w:t xml:space="preserve"> </w:t>
      </w:r>
      <w:r>
        <w:rPr>
          <w:rFonts w:ascii="Times New Roman" w:hAnsi="Times New Roman"/>
          <w:b/>
          <w:bCs/>
        </w:rPr>
        <w:t xml:space="preserve">Zero responses were truncated</w:t>
      </w:r>
      <w:r>
        <w:rPr>
          <w:rFonts w:ascii="Times New Roman" w:hAnsi="Times New Roman"/>
        </w:rPr>
        <w:t xml:space="preserve"> </w:t>
      </w:r>
      <w:r>
        <w:rPr>
          <w:rFonts w:ascii="Times New Roman" w:hAnsi="Times New Roman"/>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rPr>
        <w:t xml:space="preserve"> </w:t>
      </w:r>
      <w:r>
        <w:rPr>
          <w:rStyle w:val="VerbatimChar"/>
          <w:rFonts w:ascii="Times New Roman" w:hAnsi="Times New Roman"/>
        </w:rPr>
        <w:t xml:space="preserve">high</w:t>
      </w:r>
      <w:r>
        <w:rPr>
          <w:rFonts w:ascii="Times New Roman" w:hAnsi="Times New Roman"/>
        </w:rPr>
        <w:t xml:space="preserve"> </w:t>
      </w:r>
      <w:r>
        <w:rPr>
          <w:rFonts w:ascii="Times New Roman" w:hAnsi="Times New Roman"/>
        </w:rPr>
        <w:t xml:space="preserve">&gt;</w:t>
      </w:r>
      <w:r>
        <w:rPr>
          <w:rFonts w:ascii="Times New Roman" w:hAnsi="Times New Roman"/>
        </w:rPr>
        <w:t xml:space="preserve"> </w:t>
      </w:r>
      <w:r>
        <w:rPr>
          <w:rStyle w:val="VerbatimChar"/>
          <w:rFonts w:ascii="Times New Roman" w:hAnsi="Times New Roman"/>
        </w:rPr>
        <w:t xml:space="preserve">medium</w:t>
      </w:r>
      <w:r>
        <w:rPr>
          <w:rFonts w:ascii="Times New Roman" w:hAnsi="Times New Roman"/>
        </w:rPr>
        <w:t xml:space="preserve">/</w:t>
      </w:r>
      <w:r>
        <w:rPr>
          <w:rStyle w:val="VerbatimChar"/>
          <w:rFonts w:ascii="Times New Roman" w:hAnsi="Times New Roman"/>
        </w:rPr>
        <w:t xml:space="preserve">moderate</w:t>
      </w:r>
      <w:r>
        <w:rPr>
          <w:rFonts w:ascii="Times New Roman" w:hAnsi="Times New Roman"/>
        </w:rPr>
        <w:t xml:space="preserve"> </w:t>
      </w:r>
      <w:r>
        <w:rPr>
          <w:rFonts w:ascii="Times New Roman" w:hAnsi="Times New Roman"/>
        </w:rPr>
        <w:t xml:space="preserve">&gt;</w:t>
      </w:r>
      <w:r>
        <w:rPr>
          <w:rFonts w:ascii="Times New Roman" w:hAnsi="Times New Roman"/>
        </w:rPr>
        <w:t xml:space="preserve"> </w:t>
      </w:r>
      <w:r>
        <w:rPr>
          <w:rStyle w:val="VerbatimChar"/>
          <w:rFonts w:ascii="Times New Roman" w:hAnsi="Times New Roman"/>
        </w:rPr>
        <w:t xml:space="preserve">low</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and no sample returned</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The run was executed on 23–24 September 2026 and produced 3,150 raw responses, deposited in full at</w:t>
      </w:r>
      <w:r>
        <w:rPr>
          <w:rFonts w:ascii="Times New Roman" w:hAnsi="Times New Roman"/>
        </w:rPr>
        <w:t xml:space="preserve"> </w:t>
      </w:r>
      <w:r>
        <w:rPr>
          <w:rStyle w:val="VerbatimChar"/>
          <w:rFonts w:ascii="Times New Roman" w:hAnsi="Times New Roman"/>
        </w:rPr>
        <w:t xml:space="preserve">data/predictions/glm53_baselines/</w:t>
      </w:r>
      <w:r>
        <w:rPr>
          <w:rFonts w:ascii="Times New Roman" w:hAnsi="Times New Roman"/>
        </w:rPr>
        <w:t xml:space="preserve"> </w:t>
      </w:r>
      <w:r>
        <w:rPr>
          <w:rFonts w:ascii="Times New Roman" w:hAnsi="Times New Roman"/>
        </w:rPr>
        <w:t xml:space="preserve">with the run script</w:t>
      </w:r>
      <w:r>
        <w:rPr>
          <w:rFonts w:ascii="Times New Roman" w:hAnsi="Times New Roman"/>
        </w:rPr>
        <w:t xml:space="preserve"> </w:t>
      </w:r>
      <w:r>
        <w:rPr>
          <w:rStyle w:val="VerbatimChar"/>
          <w:rFonts w:ascii="Times New Roman" w:hAnsi="Times New Roman"/>
        </w:rPr>
        <w:t xml:space="preserve">scripts/rerun_glm53_baselines.py</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Single-model caveat:</w:t>
      </w:r>
      <w:r>
        <w:rPr>
          <w:rFonts w:ascii="Times New Roman" w:hAnsi="Times New Roman"/>
        </w:rPr>
        <w:t xml:space="preserve"> </w:t>
      </w:r>
      <w:r>
        <w:rPr>
          <w:rFonts w:ascii="Times New Roman" w:hAnsi="Times New Roman"/>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machine-readable form as Supplementary Table S4), 1,307 approved evidence chunks (A = 53, B = 191, C = 215, D = 584, E = 264; composition detailed in Supplementary Text S1), and a LightRAG index over 1,307 documents. The rule engine comprises 40 mechanism rules plus 3 patient-factor policies (43 policy entries), each carrying at least one source record, with zero policy errors (Table 2; full inventory as Supplementary Table S6);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Under the evaluation protocol of Section 2.3,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and Supplementary Table S7 gives the same figures dataset by dataset and budget by budget.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rPr>
        <w:t xml:space="preserve"> </w:t>
      </w:r>
      <w:r>
        <w:rPr>
          <w:rFonts w:ascii="Times New Roman" w:hAnsi="Times New Roman"/>
          <w:b/>
          <w:bCs/>
        </w:rPr>
        <w:t xml:space="preserve">That comparison is partly confounded, and we quantify the confound rather than leave it implicit.</w:t>
      </w:r>
      <w:r>
        <w:rPr>
          <w:rFonts w:ascii="Times New Roman" w:hAnsi="Times New Roman"/>
        </w:rPr>
        <w:t xml:space="preserve"> </w:t>
      </w:r>
      <w:r>
        <w:rPr>
          <w:rFonts w:ascii="Times New Roman" w:hAnsi="Times New Roman"/>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rPr>
        <w:t xml:space="preserve">scripts/naive_rag_leakage_audit.py</w:t>
      </w:r>
      <w:r>
        <w:rPr>
          <w:rFonts w:ascii="Times New Roman" w:hAnsi="Times New Roman"/>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Figure 5 shows the per-layer latency trace for the worked example, in which the whole cascade completes in under 2 ms with no model call.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 The deterministic path exercised here is the one distributed in the release described in Section 2.7.</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0.370,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grade review in Section 3.8 is the source for the expert comparison discussed here: 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determinism that makes this behaviour auditable is reported in Section 3.7. 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Disclosed alternative tiers.</w:t>
      </w:r>
      <w:r>
        <w:rPr>
          <w:rFonts w:ascii="Times New Roman" w:hAnsi="Times New Roman"/>
        </w:rPr>
        <w:t xml:space="preserve"> </w:t>
      </w:r>
      <w:r>
        <w:rPr>
          <w:rFonts w:ascii="Times New Roman" w:hAnsi="Times New Roman"/>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rPr>
        <w:t xml:space="preserve">data/seed/entities_a.csv</w:t>
      </w:r>
      <w:r>
        <w:rPr>
          <w:rFonts w:ascii="Times New Roman" w:hAnsi="Times New Roman"/>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rPr>
        <w:t xml:space="preserve">scripts/audit_ddinter_disagreement.py --tier-override data/curation/entity_a_candidates.yaml</w:t>
      </w:r>
      <w:r>
        <w:rPr>
          <w:rFonts w:ascii="Times New Roman" w:hAnsi="Times New Roman"/>
        </w:rPr>
        <w:t xml:space="preserve">; result deposited as</w:t>
      </w:r>
      <w:r>
        <w:rPr>
          <w:rFonts w:ascii="Times New Roman" w:hAnsi="Times New Roman"/>
        </w:rPr>
        <w:t xml:space="preserve"> </w:t>
      </w:r>
      <w:r>
        <w:rPr>
          <w:rStyle w:val="VerbatimChar"/>
          <w:rFonts w:ascii="Times New Roman" w:hAnsi="Times New Roman"/>
        </w:rPr>
        <w:t xml:space="preserve">audits/tier_override_scenario.json</w:t>
      </w:r>
      <w:r>
        <w:rPr>
          <w:rFonts w:ascii="Times New Roman" w:hAnsi="Times New Roman"/>
        </w:rPr>
        <w:t xml:space="preserve">). The registry-scale conclusion is therefore robust to which of the two files is treated as authoritative.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The system construction reported in Section 3.1 yields a cascade whose agreement with the literature-derived gold is quantified in Section 3.3. 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rPr>
        <w:t xml:space="preserve"> </w:t>
      </w:r>
      <w:r>
        <w:rPr>
          <w:rFonts w:ascii="Times New Roman" w:hAnsi="Times New Roman"/>
        </w:rPr>
        <w:t xml:space="preserve">“Preliminary study of a mobile-device-based method for refractive error detection”</w:t>
      </w:r>
      <w:r>
        <w:rPr>
          <w:rFonts w:ascii="Times New Roman" w:hAnsi="Times New Roman"/>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v1.1-revision3</w:t>
      </w:r>
      <w:r>
        <w:rPr>
          <w:rFonts w:ascii="Times New Roman" w:hAnsi="Times New Roman"/>
        </w:rPr>
        <w:t xml:space="preserve">, archived at DOI {DOI};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v1.1-revision3</w:t>
      </w:r>
      <w:r>
        <w:rPr>
          <w:rFonts w:ascii="Times New Roman" w:hAnsi="Times New Roman"/>
        </w:rPr>
        <w:t xml:space="preserve"> </w:t>
      </w:r>
      <w:r>
        <w:rPr>
          <w:rFonts w:ascii="Times New Roman" w:hAnsi="Times New Roman"/>
        </w:rPr>
        <w:t xml:space="preserve">and is archived at DOI {DOI} (Zenodo). The archive contains the full source, configurations, gold sets, 9,600 prediction rows, the 3,150 reasoning-model responses, the statistics module and every audit output, so the reported figures can be regenerated without network access.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(original data). The bundled DDInter severity tables are third-party data and remain under DDInter’s CC BY-NC-SA 4.0 terms; they are included for research reproducibility only, and reuse is subject to those terms (see the component-licensing section of the repository LICENSE).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 xml:space="preserve">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rPr>
        <w:t xml:space="preserve"> </w:t>
      </w:r>
      <w:r>
        <w:rPr>
          <w:rFonts w:ascii="Times New Roman" w:hAnsi="Times New Roman"/>
        </w:rPr>
        <w:t xml:space="preserve">“T1 expert”</w:t>
      </w:r>
      <w:r>
        <w:rPr>
          <w:rFonts w:ascii="Times New Roman" w:hAnsi="Times New Roman"/>
        </w:rPr>
        <w:t xml:space="preserve"> </w:t>
      </w:r>
      <w:r>
        <w:rPr>
          <w:rFonts w:ascii="Times New Roman" w:hAnsi="Times New Roman"/>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absorption-corrected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34 (0.370)</w:t>
            </w:r>
          </w:p>
        </w:tc>
      </w:tr>
      <w:tr>
        <w:tc>
          <w:tcPr>
            <w:tcW w:type="dxa" w:w="3120"/>
          </w:tcPr>
          <w:p>
            <w:pPr>
              <w:spacing w:line="240" w:lineRule="auto"/>
            </w:pPr>
            <w:r>
              <w:rPr>
                <w:rFonts w:ascii="Times New Roman" w:hAnsi="Times New Roman"/>
                <w:sz w:val="18"/>
              </w:rPr>
              <w:t>Absorption-corrected cases (gold set to low)</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 (third-party severity, gold = DDInter)</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 (vs corrected gold)</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sz w:val="18"/>
              </w:rPr>
              <w:t>high-&gt;low</w:t>
            </w:r>
          </w:p>
        </w:tc>
        <w:tc>
          <w:tcPr>
            <w:tcW w:type="dxa" w:w="4680"/>
          </w:tcPr>
          <w:p>
            <w:pPr>
              <w:spacing w:line="240" w:lineRule="auto"/>
            </w:pPr>
            <w:r>
              <w:rPr>
                <w:rFonts w:ascii="Times New Roman" w:hAnsi="Times New Roman"/>
                <w:sz w:val="18"/>
              </w:rPr>
              <w:t>8</w:t>
            </w:r>
          </w:p>
        </w:tc>
      </w:tr>
      <w:tr>
        <w:tc>
          <w:tcPr>
            <w:tcW w:type="dxa" w:w="4680"/>
          </w:tcPr>
          <w:p>
            <w:pPr>
              <w:spacing w:line="240" w:lineRule="auto"/>
            </w:pPr>
            <w:r>
              <w:rPr>
                <w:rFonts w:ascii="Times New Roman" w:hAnsi="Times New Roman"/>
                <w:sz w:val="18"/>
              </w:rPr>
              <w:t>high-&gt;medium</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total disagreements</w:t>
            </w:r>
          </w:p>
        </w:tc>
        <w:tc>
          <w:tcPr>
            <w:tcW w:type="dxa" w:w="4680"/>
          </w:tcPr>
          <w:p>
            <w:pPr>
              <w:spacing w:line="240" w:lineRule="auto"/>
            </w:pPr>
            <w:r>
              <w:rPr>
                <w:rFonts w:ascii="Times New Roman" w:hAnsi="Times New Roman"/>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 shown</w:t>
            </w:r>
          </w:p>
        </w:tc>
        <w:tc>
          <w:tcPr>
            <w:tcW w:type="dxa" w:w="1337"/>
          </w:tcPr>
          <w:p>
            <w:pPr>
              <w:spacing w:line="240" w:lineRule="auto"/>
            </w:pPr>
            <w:r>
              <w:rPr>
                <w:rFonts w:ascii="Times New Roman" w:hAnsi="Times New Roman"/>
                <w:b/>
                <w:sz w:val="18"/>
              </w:rPr>
              <w:t>system shown</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rPr>
        <w:t xml:space="preserve">[N1] Korte JM, Kaila T, Saari KM. Systemic bioavailability and cardiopulmonary effects of 0.25%, 0.5%, and 1% timolol eyedrops. Graefes Arch Clin Exp Ophthalmol. 2002;240(6):430-435. doi: 10.1007/s00417-002-0462-2</w:t>
      </w:r>
      <w:r>
        <w:rPr>
          <w:rFonts w:ascii="Times New Roman" w:hAnsi="Times New Roman"/>
        </w:rPr>
        <w:t xml:space="preserve"> </w:t>
      </w:r>
      <w:r>
        <w:rPr>
          <w:rFonts w:ascii="Times New Roman" w:hAnsi="Times New Roman"/>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2026-10-04T18:36:20Z</dcterms:created>
  <dcterms:modified xsi:type="dcterms:W3CDTF">2026-10-04T18:36:20Z</dcterms:modified>
</cp:coreProperties>
</file>

<file path=docProps/custom.xml><?xml version="1.0" encoding="utf-8"?>
<Properties xmlns="http://schemas.openxmlformats.org/officeDocument/2006/custom-properties" xmlns:vt="http://schemas.openxmlformats.org/officeDocument/2006/docPropsVTypes"/>
</file>