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material"/>
    <w:p>
      <w:pPr>
        <w:pStyle w:val="Heading1"/>
        <w:spacing w:line="360" w:lineRule="auto"/>
      </w:pPr>
      <w:r>
        <w:rPr>
          <w:rFonts w:ascii="Times New Roman" w:hAnsi="Times New Roman"/>
        </w:rPr>
        <w:t xml:space="preserve">Supplementary Material</w:t>
      </w:r>
    </w:p>
    <w:bookmarkStart w:id="20" w:name="s1.-evidence-base-summary"/>
    <w:p>
      <w:pPr>
        <w:pStyle w:val="Heading2"/>
        <w:spacing w:line="360" w:lineRule="auto"/>
      </w:pPr>
      <w:r>
        <w:rPr>
          <w:rFonts w:ascii="Times New Roman" w:hAnsi="Times New Roman"/>
        </w:rPr>
        <w:t xml:space="preserve">S1. Evidence base summary</w:t>
      </w:r>
    </w:p>
    <w:p>
      <w:pPr>
        <w:pStyle w:val="Compact"/>
        <w:numPr>
          <w:ilvl w:val="0"/>
          <w:numId w:val="1001"/>
        </w:numPr>
        <w:spacing w:line="360" w:lineRule="auto"/>
      </w:pPr>
      <w:r>
        <w:rPr>
          <w:rFonts w:ascii="Times New Roman" w:hAnsi="Times New Roman"/>
        </w:rPr>
        <w:t xml:space="preserve">Total verified evidence chunks: 1,307 (all approved release)</w:t>
      </w:r>
    </w:p>
    <w:p>
      <w:pPr>
        <w:pStyle w:val="Compact"/>
        <w:numPr>
          <w:ilvl w:val="0"/>
          <w:numId w:val="1001"/>
        </w:numPr>
        <w:spacing w:line="360" w:lineRule="auto"/>
      </w:pPr>
      <w:r>
        <w:rPr>
          <w:rFonts w:ascii="Times New Roman" w:hAnsi="Times New Roman"/>
        </w:rPr>
        <w:t xml:space="preserve">Evidence levels: A (regulatory) 53, B (meta-analysis) 191, C (original study) 215, D (in vitro or animal) 584, E (mechanism inference) 264</w:t>
      </w:r>
    </w:p>
    <w:p>
      <w:pPr>
        <w:pStyle w:val="Compact"/>
        <w:numPr>
          <w:ilvl w:val="0"/>
          <w:numId w:val="1001"/>
        </w:numPr>
        <w:spacing w:line="360" w:lineRule="auto"/>
      </w:pPr>
      <w:r>
        <w:rPr>
          <w:rFonts w:ascii="Times New Roman" w:hAnsi="Times New Roman"/>
        </w:rPr>
        <w:t xml:space="preserve">Ophthalmic agents: 113; systemic medications: 232</w:t>
      </w:r>
    </w:p>
    <w:bookmarkEnd w:id="20"/>
    <w:bookmarkStart w:id="21" w:name="s2.-rule-citation-verification"/>
    <w:p>
      <w:pPr>
        <w:pStyle w:val="Heading2"/>
        <w:spacing w:line="360" w:lineRule="auto"/>
      </w:pPr>
      <w:r>
        <w:rPr>
          <w:rFonts w:ascii="Times New Roman" w:hAnsi="Times New Roman"/>
        </w:rPr>
        <w:t xml:space="preserve">S2. Rule citation verification</w:t>
      </w:r>
    </w:p>
    <w:p>
      <w:pPr>
        <w:pStyle w:val="Compact"/>
        <w:numPr>
          <w:ilvl w:val="0"/>
          <w:numId w:val="1002"/>
        </w:numPr>
        <w:spacing w:line="360" w:lineRule="auto"/>
      </w:pPr>
      <w:r>
        <w:rPr>
          <w:rFonts w:ascii="Times New Roman" w:hAnsi="Times New Roman"/>
        </w:rPr>
        <w:t xml:space="preserve">Rules: 40; all passed three-source cross-check (Crossref, OpenAlex, PubMed)</w:t>
      </w:r>
    </w:p>
    <w:p>
      <w:pPr>
        <w:pStyle w:val="Compact"/>
        <w:numPr>
          <w:ilvl w:val="0"/>
          <w:numId w:val="1002"/>
        </w:numPr>
        <w:spacing w:line="360" w:lineRule="auto"/>
      </w:pPr>
      <w:r>
        <w:rPr>
          <w:rFonts w:ascii="Times New Roman" w:hAnsi="Times New Roman"/>
        </w:rPr>
        <w:t xml:space="preserve">Citation policy entries: 43; policy errors: 0</w:t>
      </w:r>
    </w:p>
    <w:p>
      <w:pPr>
        <w:pStyle w:val="Compact"/>
        <w:numPr>
          <w:ilvl w:val="0"/>
          <w:numId w:val="1002"/>
        </w:numPr>
        <w:spacing w:line="360" w:lineRule="auto"/>
      </w:pPr>
      <w:r>
        <w:rPr>
          <w:rFonts w:ascii="Times New Roman" w:hAnsi="Times New Roman"/>
        </w:rPr>
        <w:t xml:space="preserve">Retraction screening: no retracted references identified</w:t>
      </w:r>
    </w:p>
    <w:bookmarkEnd w:id="21"/>
    <w:bookmarkStart w:id="22" w:name="s3.-supplementary-tables"/>
    <w:p>
      <w:pPr>
        <w:pStyle w:val="Heading2"/>
        <w:spacing w:line="360" w:lineRule="auto"/>
      </w:pPr>
      <w:r>
        <w:rPr>
          <w:rFonts w:ascii="Times New Roman" w:hAnsi="Times New Roman"/>
        </w:rPr>
        <w:t xml:space="preserve">S3. Supplementary tables</w:t>
      </w:r>
    </w:p>
    <w:p>
      <w:pPr>
        <w:pStyle w:val="FirstParagraph"/>
        <w:spacing w:line="360" w:lineRule="auto"/>
      </w:pPr>
      <w:r>
        <w:rPr>
          <w:rFonts w:ascii="Times New Roman" w:hAnsi="Times New Roman"/>
          <w:b/>
          <w:bCs/>
        </w:rPr>
        <w:t xml:space="preserve">Table S1. Registry summary.</w:t>
      </w:r>
    </w:p>
    <w:p>
      <w:pPr>
        <w:pStyle w:val="BodyText"/>
        <w:spacing w:line="360" w:lineRule="auto"/>
      </w:pPr>
      <w:r>
        <w:rPr>
          <w:rFonts w:ascii="Times New Roman" w:hAnsi="Times New Roman"/>
          <w:b/>
          <w:bCs/>
        </w:rPr>
        <w:t xml:space="preserve">Table S1.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pPr>
            <w:r>
              <w:rPr>
                <w:rFonts w:ascii="Times New Roman" w:hAnsi="Times New Roman"/>
                <w:sz w:val="20"/>
              </w:rPr>
              <w:t xml:space="preserve">entity_type</w:t>
            </w:r>
          </w:p>
        </w:tc>
        <w:tc>
          <w:tcPr/>
          <w:p>
            <w:pPr>
              <w:pStyle w:val="Compact"/>
              <w:spacing w:line="240" w:lineRule="auto"/>
            </w:pPr>
            <w:r>
              <w:rPr>
                <w:rFonts w:ascii="Times New Roman" w:hAnsi="Times New Roman"/>
                <w:sz w:val="20"/>
              </w:rPr>
              <w:t xml:space="preserve">count</w:t>
            </w:r>
          </w:p>
        </w:tc>
        <w:tc>
          <w:tcPr/>
          <w:p>
            <w:pPr>
              <w:pStyle w:val="Compact"/>
              <w:spacing w:line="240" w:lineRule="auto"/>
            </w:pPr>
            <w:r>
              <w:rPr>
                <w:rFonts w:ascii="Times New Roman" w:hAnsi="Times New Roman"/>
                <w:sz w:val="20"/>
              </w:rPr>
              <w:t xml:space="preserve">with_flags</w:t>
            </w:r>
          </w:p>
        </w:tc>
        <w:tc>
          <w:tcPr/>
          <w:p>
            <w:pPr>
              <w:pStyle w:val="Compact"/>
              <w:spacing w:line="240" w:lineRule="auto"/>
            </w:pPr>
            <w:r>
              <w:rPr>
                <w:rFonts w:ascii="Times New Roman" w:hAnsi="Times New Roman"/>
                <w:sz w:val="20"/>
              </w:rPr>
              <w:t xml:space="preserve">with_drugbank_ids</w:t>
            </w:r>
          </w:p>
        </w:tc>
      </w:tr>
      <w:tr>
        <w:tc>
          <w:tcPr/>
          <w:p>
            <w:pPr>
              <w:pStyle w:val="Compact"/>
              <w:spacing w:line="240" w:lineRule="auto"/>
            </w:pPr>
            <w:r>
              <w:rPr>
                <w:rFonts w:ascii="Times New Roman" w:hAnsi="Times New Roman"/>
                <w:sz w:val="20"/>
              </w:rPr>
              <w:t xml:space="preserve">ophthalmic_drugs</w:t>
            </w:r>
          </w:p>
        </w:tc>
        <w:tc>
          <w:tcPr/>
          <w:p>
            <w:pPr>
              <w:pStyle w:val="Compact"/>
              <w:spacing w:line="240" w:lineRule="auto"/>
            </w:pPr>
            <w:r>
              <w:rPr>
                <w:rFonts w:ascii="Times New Roman" w:hAnsi="Times New Roman"/>
                <w:sz w:val="20"/>
              </w:rPr>
              <w:t xml:space="preserve">113</w:t>
            </w:r>
          </w:p>
        </w:tc>
        <w:tc>
          <w:tcPr/>
          <w:p>
            <w:pPr>
              <w:pStyle w:val="Compact"/>
              <w:spacing w:line="240" w:lineRule="auto"/>
            </w:pPr>
            <w:r>
              <w:rPr>
                <w:rFonts w:ascii="Times New Roman" w:hAnsi="Times New Roman"/>
                <w:sz w:val="20"/>
              </w:rPr>
              <w:t xml:space="preserve">113</w:t>
            </w:r>
          </w:p>
        </w:tc>
        <w:tc>
          <w:tcPr/>
          <w:p>
            <w:pPr>
              <w:pStyle w:val="Compact"/>
              <w:spacing w:line="240" w:lineRule="auto"/>
            </w:pPr>
            <w:r>
              <w:rPr>
                <w:rFonts w:ascii="Times New Roman" w:hAnsi="Times New Roman"/>
                <w:sz w:val="20"/>
              </w:rPr>
              <w:t xml:space="preserve">103</w:t>
            </w:r>
          </w:p>
        </w:tc>
      </w:tr>
      <w:tr>
        <w:tc>
          <w:tcPr/>
          <w:p>
            <w:pPr>
              <w:pStyle w:val="Compact"/>
              <w:spacing w:line="240" w:lineRule="auto"/>
            </w:pPr>
            <w:r>
              <w:rPr>
                <w:rFonts w:ascii="Times New Roman" w:hAnsi="Times New Roman"/>
                <w:sz w:val="20"/>
              </w:rPr>
              <w:t xml:space="preserve">systemic_drugs</w:t>
            </w:r>
          </w:p>
        </w:tc>
        <w:tc>
          <w:tcPr/>
          <w:p>
            <w:pPr>
              <w:pStyle w:val="Compact"/>
              <w:spacing w:line="240" w:lineRule="auto"/>
            </w:pPr>
            <w:r>
              <w:rPr>
                <w:rFonts w:ascii="Times New Roman" w:hAnsi="Times New Roman"/>
                <w:sz w:val="20"/>
              </w:rPr>
              <w:t xml:space="preserve">232</w:t>
            </w:r>
          </w:p>
        </w:tc>
        <w:tc>
          <w:tcPr/>
          <w:p>
            <w:pPr>
              <w:pStyle w:val="Compact"/>
              <w:spacing w:line="240" w:lineRule="auto"/>
            </w:pPr>
            <w:r>
              <w:rPr>
                <w:rFonts w:ascii="Times New Roman" w:hAnsi="Times New Roman"/>
                <w:sz w:val="20"/>
              </w:rPr>
              <w:t xml:space="preserve">232</w:t>
            </w:r>
          </w:p>
        </w:tc>
        <w:tc>
          <w:tcPr/>
          <w:p>
            <w:pPr>
              <w:pStyle w:val="Compact"/>
              <w:spacing w:line="240" w:lineRule="auto"/>
            </w:pPr>
            <w:r>
              <w:rPr>
                <w:rFonts w:ascii="Times New Roman" w:hAnsi="Times New Roman"/>
                <w:sz w:val="20"/>
              </w:rPr>
              <w:t xml:space="preserve">218</w:t>
            </w:r>
          </w:p>
        </w:tc>
      </w:tr>
    </w:tbl>
    <w:p>
      <w:pPr>
        <w:pStyle w:val="BodyText"/>
        <w:spacing w:line="360" w:lineRule="auto"/>
      </w:pPr>
      <w:r>
        <w:rPr>
          <w:rFonts w:ascii="Times New Roman" w:hAnsi="Times New Roman"/>
          <w:b/>
          <w:bCs/>
        </w:rPr>
        <w:t xml:space="preserve">Table S2.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pPr>
            <w:r>
              <w:rPr>
                <w:rFonts w:ascii="Times New Roman" w:hAnsi="Times New Roman"/>
                <w:sz w:val="20"/>
              </w:rPr>
              <w:t xml:space="preserve">rule_id</w:t>
            </w:r>
          </w:p>
        </w:tc>
        <w:tc>
          <w:tcPr/>
          <w:p>
            <w:pPr>
              <w:pStyle w:val="Compact"/>
              <w:spacing w:line="240" w:lineRule="auto"/>
            </w:pPr>
            <w:r>
              <w:rPr>
                <w:rFonts w:ascii="Times New Roman" w:hAnsi="Times New Roman"/>
                <w:sz w:val="20"/>
              </w:rPr>
              <w:t xml:space="preserve">severity</w:t>
            </w:r>
          </w:p>
        </w:tc>
        <w:tc>
          <w:tcPr/>
          <w:p>
            <w:pPr>
              <w:pStyle w:val="Compact"/>
              <w:spacing w:line="240" w:lineRule="auto"/>
            </w:pPr>
            <w:r>
              <w:rPr>
                <w:rFonts w:ascii="Times New Roman" w:hAnsi="Times New Roman"/>
                <w:sz w:val="20"/>
              </w:rPr>
              <w:t xml:space="preserve">risk_type</w:t>
            </w:r>
          </w:p>
        </w:tc>
        <w:tc>
          <w:tcPr/>
          <w:p>
            <w:pPr>
              <w:pStyle w:val="Compact"/>
              <w:spacing w:line="240" w:lineRule="auto"/>
            </w:pPr>
            <w:r>
              <w:rPr>
                <w:rFonts w:ascii="Times New Roman" w:hAnsi="Times New Roman"/>
                <w:sz w:val="20"/>
              </w:rPr>
              <w:t xml:space="preserve">entity_a_flags</w:t>
            </w:r>
          </w:p>
        </w:tc>
        <w:tc>
          <w:tcPr/>
          <w:p>
            <w:pPr>
              <w:pStyle w:val="Compact"/>
              <w:spacing w:line="240" w:lineRule="auto"/>
            </w:pPr>
            <w:r>
              <w:rPr>
                <w:rFonts w:ascii="Times New Roman" w:hAnsi="Times New Roman"/>
                <w:sz w:val="20"/>
              </w:rPr>
              <w:t xml:space="preserve">entity_b_flags</w:t>
            </w:r>
          </w:p>
        </w:tc>
        <w:tc>
          <w:tcPr/>
          <w:p>
            <w:pPr>
              <w:pStyle w:val="Compact"/>
              <w:spacing w:line="240" w:lineRule="auto"/>
            </w:pPr>
            <w:r>
              <w:rPr>
                <w:rFonts w:ascii="Times New Roman" w:hAnsi="Times New Roman"/>
                <w:sz w:val="20"/>
              </w:rPr>
              <w:t xml:space="preserve">match</w:t>
            </w:r>
          </w:p>
        </w:tc>
      </w:tr>
      <w:tr>
        <w:tc>
          <w:tcPr/>
          <w:p>
            <w:pPr>
              <w:pStyle w:val="Compact"/>
              <w:spacing w:line="240" w:lineRule="auto"/>
            </w:pPr>
            <w:r>
              <w:rPr>
                <w:rFonts w:ascii="Times New Roman" w:hAnsi="Times New Roman"/>
                <w:sz w:val="20"/>
              </w:rPr>
              <w:t xml:space="preserve">additive_beta_blockade</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beta_blocker</w:t>
            </w:r>
          </w:p>
        </w:tc>
        <w:tc>
          <w:tcPr/>
          <w:p>
            <w:pPr>
              <w:pStyle w:val="Compact"/>
              <w:spacing w:line="240" w:lineRule="auto"/>
            </w:pPr>
            <w:r>
              <w:rPr>
                <w:rFonts w:ascii="Times New Roman" w:hAnsi="Times New Roman"/>
                <w:sz w:val="20"/>
              </w:rPr>
              <w:t xml:space="preserve">systemic_absorption_high</w:t>
            </w:r>
          </w:p>
        </w:tc>
        <w:tc>
          <w:tcPr/>
          <w:p>
            <w:pPr>
              <w:pStyle w:val="Compact"/>
              <w:spacing w:line="240" w:lineRule="auto"/>
            </w:pPr>
            <w:r>
              <w:rPr>
                <w:rFonts w:ascii="Times New Roman" w:hAnsi="Times New Roman"/>
                <w:sz w:val="20"/>
              </w:rPr>
              <w:t xml:space="preserve">beta_blocker_systemic</w:t>
            </w:r>
          </w:p>
        </w:tc>
      </w:tr>
      <w:tr>
        <w:tc>
          <w:tcPr/>
          <w:p>
            <w:pPr>
              <w:pStyle w:val="Compact"/>
              <w:spacing w:line="240" w:lineRule="auto"/>
            </w:pPr>
            <w:r>
              <w:rPr>
                <w:rFonts w:ascii="Times New Roman" w:hAnsi="Times New Roman"/>
                <w:sz w:val="20"/>
              </w:rPr>
              <w:t xml:space="preserve">beta_blocker_ccb_additive</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beta_blocker</w:t>
            </w:r>
          </w:p>
        </w:tc>
        <w:tc>
          <w:tcPr/>
          <w:p>
            <w:pPr>
              <w:pStyle w:val="Compact"/>
              <w:spacing w:line="240" w:lineRule="auto"/>
            </w:pPr>
            <w:r>
              <w:rPr>
                <w:rFonts w:ascii="Times New Roman" w:hAnsi="Times New Roman"/>
                <w:sz w:val="20"/>
              </w:rPr>
              <w:t xml:space="preserve">systemic_absorption_high</w:t>
            </w:r>
          </w:p>
        </w:tc>
        <w:tc>
          <w:tcPr/>
          <w:p>
            <w:pPr>
              <w:pStyle w:val="Compact"/>
              <w:spacing w:line="240" w:lineRule="auto"/>
            </w:pPr>
            <w:r>
              <w:rPr>
                <w:rFonts w:ascii="Times New Roman" w:hAnsi="Times New Roman"/>
                <w:sz w:val="20"/>
              </w:rPr>
              <w:t xml:space="preserve">l_type_calcium_channel_blocker</w:t>
            </w:r>
          </w:p>
        </w:tc>
      </w:tr>
      <w:tr>
        <w:tc>
          <w:tcPr/>
          <w:p>
            <w:pPr>
              <w:pStyle w:val="Compact"/>
              <w:spacing w:line="240" w:lineRule="auto"/>
            </w:pPr>
            <w:r>
              <w:rPr>
                <w:rFonts w:ascii="Times New Roman" w:hAnsi="Times New Roman"/>
                <w:sz w:val="20"/>
              </w:rPr>
              <w:t xml:space="preserve">beta_blocker_digoxin_additive</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beta_blocker</w:t>
            </w:r>
          </w:p>
        </w:tc>
        <w:tc>
          <w:tcPr/>
          <w:p>
            <w:pPr>
              <w:pStyle w:val="Compact"/>
              <w:spacing w:line="240" w:lineRule="auto"/>
            </w:pPr>
            <w:r>
              <w:rPr>
                <w:rFonts w:ascii="Times New Roman" w:hAnsi="Times New Roman"/>
                <w:sz w:val="20"/>
              </w:rPr>
              <w:t xml:space="preserve">systemic_absorption_high</w:t>
            </w:r>
          </w:p>
        </w:tc>
        <w:tc>
          <w:tcPr/>
          <w:p>
            <w:pPr>
              <w:pStyle w:val="Compact"/>
              <w:spacing w:line="240" w:lineRule="auto"/>
            </w:pPr>
            <w:r>
              <w:rPr>
                <w:rFonts w:ascii="Times New Roman" w:hAnsi="Times New Roman"/>
                <w:sz w:val="20"/>
              </w:rPr>
              <w:t xml:space="preserve">na_k_atpase_inhibitor</w:t>
            </w:r>
          </w:p>
        </w:tc>
      </w:tr>
      <w:tr>
        <w:tc>
          <w:tcPr/>
          <w:p>
            <w:pPr>
              <w:pStyle w:val="Compact"/>
              <w:spacing w:line="240" w:lineRule="auto"/>
            </w:pPr>
            <w:r>
              <w:rPr>
                <w:rFonts w:ascii="Times New Roman" w:hAnsi="Times New Roman"/>
                <w:sz w:val="20"/>
              </w:rPr>
              <w:t xml:space="preserve">additive_alpha2_cns_depression</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pharmacodynamic_cns</w:t>
            </w:r>
          </w:p>
        </w:tc>
        <w:tc>
          <w:tcPr/>
          <w:p>
            <w:pPr>
              <w:pStyle w:val="Compact"/>
              <w:spacing w:line="240" w:lineRule="auto"/>
            </w:pPr>
            <w:r>
              <w:rPr>
                <w:rFonts w:ascii="Times New Roman" w:hAnsi="Times New Roman"/>
                <w:sz w:val="20"/>
              </w:rPr>
              <w:t xml:space="preserve">alpha2_agonist</w:t>
            </w:r>
          </w:p>
        </w:tc>
        <w:tc>
          <w:tcPr/>
          <w:p>
            <w:pPr>
              <w:pStyle w:val="Compact"/>
              <w:spacing w:line="240" w:lineRule="auto"/>
            </w:pPr>
            <w:r>
              <w:rPr>
                <w:rFonts w:ascii="Times New Roman" w:hAnsi="Times New Roman"/>
                <w:sz w:val="20"/>
              </w:rPr>
              <w:t xml:space="preserve">cns_depressant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additive_anticholinergic_effects</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pharmacodynamic_anticholinergic</w:t>
            </w:r>
          </w:p>
        </w:tc>
        <w:tc>
          <w:tcPr/>
          <w:p>
            <w:pPr>
              <w:pStyle w:val="Compact"/>
              <w:spacing w:line="240" w:lineRule="auto"/>
            </w:pPr>
            <w:r>
              <w:rPr>
                <w:rFonts w:ascii="Times New Roman" w:hAnsi="Times New Roman"/>
                <w:sz w:val="20"/>
              </w:rPr>
              <w:t xml:space="preserve">anticholinergic</w:t>
            </w:r>
          </w:p>
        </w:tc>
        <w:tc>
          <w:tcPr/>
          <w:p>
            <w:pPr>
              <w:pStyle w:val="Compact"/>
              <w:spacing w:line="240" w:lineRule="auto"/>
            </w:pPr>
            <w:r>
              <w:rPr>
                <w:rFonts w:ascii="Times New Roman" w:hAnsi="Times New Roman"/>
                <w:sz w:val="20"/>
              </w:rPr>
              <w:t xml:space="preserve">anticholinergic_systemic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additive_corticosteroid_iop</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pharmacodynamic_ocular_hypertension</w:t>
            </w:r>
          </w:p>
        </w:tc>
        <w:tc>
          <w:tcPr/>
          <w:p>
            <w:pPr>
              <w:pStyle w:val="Compact"/>
              <w:spacing w:line="240" w:lineRule="auto"/>
            </w:pPr>
            <w:r>
              <w:rPr>
                <w:rFonts w:ascii="Times New Roman" w:hAnsi="Times New Roman"/>
                <w:sz w:val="20"/>
              </w:rPr>
              <w:t xml:space="preserve">corticosteroid</w:t>
            </w:r>
          </w:p>
        </w:tc>
        <w:tc>
          <w:tcPr/>
          <w:p>
            <w:pPr>
              <w:pStyle w:val="Compact"/>
              <w:spacing w:line="240" w:lineRule="auto"/>
            </w:pPr>
            <w:r>
              <w:rPr>
                <w:rFonts w:ascii="Times New Roman" w:hAnsi="Times New Roman"/>
                <w:sz w:val="20"/>
              </w:rPr>
              <w:t xml:space="preserve">corticosteroid_systemic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additive_nsaid_bleeding</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nsaid</w:t>
            </w:r>
          </w:p>
        </w:tc>
        <w:tc>
          <w:tcPr/>
          <w:p>
            <w:pPr>
              <w:pStyle w:val="Compact"/>
              <w:spacing w:line="240" w:lineRule="auto"/>
            </w:pPr>
            <w:r>
              <w:rPr>
                <w:rFonts w:ascii="Times New Roman" w:hAnsi="Times New Roman"/>
                <w:sz w:val="20"/>
              </w:rPr>
              <w:t xml:space="preserve">anticoagulant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sympathomimetic_alpha_interaction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sympathomimetic</w:t>
            </w:r>
          </w:p>
        </w:tc>
        <w:tc>
          <w:tcPr/>
          <w:p>
            <w:pPr>
              <w:pStyle w:val="Compact"/>
              <w:spacing w:line="240" w:lineRule="auto"/>
            </w:pPr>
            <w:r>
              <w:rPr>
                <w:rFonts w:ascii="Times New Roman" w:hAnsi="Times New Roman"/>
                <w:sz w:val="20"/>
              </w:rPr>
              <w:t xml:space="preserve">antihypertensive</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qt_prolongation_risk</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pharmacodynamic_cardiotoxic</w:t>
            </w:r>
          </w:p>
        </w:tc>
        <w:tc>
          <w:tcPr/>
          <w:p>
            <w:pPr>
              <w:pStyle w:val="Compact"/>
              <w:spacing w:line="240" w:lineRule="auto"/>
            </w:pPr>
            <w:r>
              <w:rPr>
                <w:rFonts w:ascii="Times New Roman" w:hAnsi="Times New Roman"/>
                <w:sz w:val="20"/>
              </w:rPr>
              <w:t xml:space="preserve">fluoroquinolone</w:t>
            </w:r>
          </w:p>
        </w:tc>
        <w:tc>
          <w:tcPr/>
          <w:p>
            <w:pPr>
              <w:pStyle w:val="Compact"/>
              <w:spacing w:line="240" w:lineRule="auto"/>
            </w:pPr>
            <w:r>
              <w:rPr>
                <w:rFonts w:ascii="Times New Roman" w:hAnsi="Times New Roman"/>
                <w:sz w:val="20"/>
              </w:rPr>
              <w:t xml:space="preserve">qt_prolonging</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pga_antiplatelet_bleeding</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prostaglandin_analog</w:t>
            </w:r>
          </w:p>
        </w:tc>
        <w:tc>
          <w:tcPr/>
          <w:p>
            <w:pPr>
              <w:pStyle w:val="Compact"/>
              <w:spacing w:line="240" w:lineRule="auto"/>
            </w:pPr>
            <w:r>
              <w:rPr>
                <w:rFonts w:ascii="Times New Roman" w:hAnsi="Times New Roman"/>
                <w:sz w:val="20"/>
              </w:rPr>
              <w:t xml:space="preserve">antiplatelet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cai_diuretic_metabolic_acidosis</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pharmacokinetic_metabolic</w:t>
            </w:r>
          </w:p>
        </w:tc>
        <w:tc>
          <w:tcPr/>
          <w:p>
            <w:pPr>
              <w:pStyle w:val="Compact"/>
              <w:spacing w:line="240" w:lineRule="auto"/>
            </w:pPr>
            <w:r>
              <w:rPr>
                <w:rFonts w:ascii="Times New Roman" w:hAnsi="Times New Roman"/>
                <w:sz w:val="20"/>
              </w:rPr>
              <w:t xml:space="preserve">cai_topical</w:t>
            </w:r>
          </w:p>
        </w:tc>
        <w:tc>
          <w:tcPr/>
          <w:p>
            <w:pPr>
              <w:pStyle w:val="Compact"/>
              <w:spacing w:line="240" w:lineRule="auto"/>
            </w:pPr>
            <w:r>
              <w:rPr>
                <w:rFonts w:ascii="Times New Roman" w:hAnsi="Times New Roman"/>
                <w:sz w:val="20"/>
              </w:rPr>
              <w:t xml:space="preserve">diuretic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cai_topiramate_acidosis</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pharmacokinetic_metabolic</w:t>
            </w:r>
          </w:p>
        </w:tc>
        <w:tc>
          <w:tcPr/>
          <w:p>
            <w:pPr>
              <w:pStyle w:val="Compact"/>
              <w:spacing w:line="240" w:lineRule="auto"/>
            </w:pPr>
            <w:r>
              <w:rPr>
                <w:rFonts w:ascii="Times New Roman" w:hAnsi="Times New Roman"/>
                <w:sz w:val="20"/>
              </w:rPr>
              <w:t xml:space="preserve">cai_topical</w:t>
            </w:r>
          </w:p>
        </w:tc>
        <w:tc>
          <w:tcPr/>
          <w:p>
            <w:pPr>
              <w:pStyle w:val="Compact"/>
              <w:spacing w:line="240" w:lineRule="auto"/>
            </w:pPr>
            <w:r>
              <w:rPr>
                <w:rFonts w:ascii="Times New Roman" w:hAnsi="Times New Roman"/>
                <w:sz w:val="20"/>
              </w:rPr>
              <w:t xml:space="preserve">cai_systemic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dexamethasone_cyp3a4_induction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pharmacokinetic_cyp3a4</w:t>
            </w:r>
          </w:p>
        </w:tc>
        <w:tc>
          <w:tcPr/>
          <w:p>
            <w:pPr>
              <w:pStyle w:val="Compact"/>
              <w:spacing w:line="240" w:lineRule="auto"/>
            </w:pPr>
            <w:r>
              <w:rPr>
                <w:rFonts w:ascii="Times New Roman" w:hAnsi="Times New Roman"/>
                <w:sz w:val="20"/>
              </w:rPr>
              <w:t xml:space="preserve">corticosteroid</w:t>
            </w:r>
          </w:p>
        </w:tc>
        <w:tc>
          <w:tcPr/>
          <w:p>
            <w:pPr>
              <w:pStyle w:val="Compact"/>
              <w:spacing w:line="240" w:lineRule="auto"/>
            </w:pPr>
            <w:r>
              <w:rPr>
                <w:rFonts w:ascii="Times New Roman" w:hAnsi="Times New Roman"/>
                <w:sz w:val="20"/>
              </w:rPr>
              <w:t xml:space="preserve">systemic_absorption_high</w:t>
            </w:r>
          </w:p>
        </w:tc>
        <w:tc>
          <w:tcPr/>
          <w:p>
            <w:pPr>
              <w:pStyle w:val="Compact"/>
              <w:spacing w:line="240" w:lineRule="auto"/>
            </w:pPr>
            <w:r>
              <w:rPr>
                <w:rFonts w:ascii="Times New Roman" w:hAnsi="Times New Roman"/>
                <w:sz w:val="20"/>
              </w:rPr>
              <w:t xml:space="preserve">cyp3a4_substrate</w:t>
            </w:r>
          </w:p>
        </w:tc>
      </w:tr>
      <w:tr>
        <w:tc>
          <w:tcPr/>
          <w:p>
            <w:pPr>
              <w:pStyle w:val="Compact"/>
              <w:spacing w:line="240" w:lineRule="auto"/>
            </w:pPr>
            <w:r>
              <w:rPr>
                <w:rFonts w:ascii="Times New Roman" w:hAnsi="Times New Roman"/>
                <w:sz w:val="20"/>
              </w:rPr>
              <w:t xml:space="preserve">topical_corticosteroid_cyp3a4_induction</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pharmacokinetic_cyp3a4</w:t>
            </w:r>
          </w:p>
        </w:tc>
        <w:tc>
          <w:tcPr/>
          <w:p>
            <w:pPr>
              <w:pStyle w:val="Compact"/>
              <w:spacing w:line="240" w:lineRule="auto"/>
            </w:pPr>
            <w:r>
              <w:rPr>
                <w:rFonts w:ascii="Times New Roman" w:hAnsi="Times New Roman"/>
                <w:sz w:val="20"/>
              </w:rPr>
              <w:t xml:space="preserve">corticosteroid</w:t>
            </w:r>
          </w:p>
        </w:tc>
        <w:tc>
          <w:tcPr/>
          <w:p>
            <w:pPr>
              <w:pStyle w:val="Compact"/>
              <w:spacing w:line="240" w:lineRule="auto"/>
            </w:pPr>
            <w:r>
              <w:rPr>
                <w:rFonts w:ascii="Times New Roman" w:hAnsi="Times New Roman"/>
                <w:sz w:val="20"/>
              </w:rPr>
              <w:t xml:space="preserve">cyp3a4_substrate</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systemic_absorption_high_risk</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systemic_absorption</w:t>
            </w:r>
          </w:p>
        </w:tc>
        <w:tc>
          <w:tcPr/>
          <w:p>
            <w:pPr>
              <w:pStyle w:val="Compact"/>
              <w:spacing w:line="240" w:lineRule="auto"/>
            </w:pPr>
            <w:r>
              <w:rPr>
                <w:rFonts w:ascii="Times New Roman" w:hAnsi="Times New Roman"/>
                <w:sz w:val="20"/>
              </w:rPr>
              <w:t xml:space="preserve">systemic_absorption_high</w:t>
            </w:r>
          </w:p>
        </w:tc>
        <w:tc>
          <w:tcPr/>
          <w:p>
            <w:pPr>
              <w:pStyle w:val="Compact"/>
              <w:spacing w:line="240" w:lineRule="auto"/>
            </w:pPr>
            <w:r>
              <w:rPr>
                <w:rFonts w:ascii="Times New Roman" w:hAnsi="Times New Roman"/>
                <w:sz w:val="20"/>
              </w:rPr>
              <w:t xml:space="preserve">beta_blocker_systemic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systemic_absorption_moderate_risk</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systemic_absorption</w:t>
            </w:r>
          </w:p>
        </w:tc>
        <w:tc>
          <w:tcPr/>
          <w:p>
            <w:pPr>
              <w:pStyle w:val="Compact"/>
              <w:spacing w:line="240" w:lineRule="auto"/>
            </w:pPr>
            <w:r>
              <w:rPr>
                <w:rFonts w:ascii="Times New Roman" w:hAnsi="Times New Roman"/>
                <w:sz w:val="20"/>
              </w:rPr>
              <w:t xml:space="preserve">systemic_absorption_medium</w:t>
            </w:r>
          </w:p>
        </w:tc>
        <w:tc>
          <w:tcPr/>
          <w:p>
            <w:pPr>
              <w:pStyle w:val="Compact"/>
              <w:spacing w:line="240" w:lineRule="auto"/>
            </w:pPr>
            <w:r>
              <w:rPr>
                <w:rFonts w:ascii="Times New Roman" w:hAnsi="Times New Roman"/>
                <w:sz w:val="20"/>
              </w:rPr>
              <w:t xml:space="preserve">narrow_therapeutic_index</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p_gp_mediated_absorption</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pharmacokinetic_transporter</w:t>
            </w:r>
          </w:p>
        </w:tc>
        <w:tc>
          <w:tcPr/>
          <w:p>
            <w:pPr>
              <w:pStyle w:val="Compact"/>
              <w:spacing w:line="240" w:lineRule="auto"/>
            </w:pPr>
            <w:r>
              <w:rPr>
                <w:rFonts w:ascii="Times New Roman" w:hAnsi="Times New Roman"/>
                <w:sz w:val="20"/>
              </w:rPr>
              <w:t xml:space="preserve">p_gp_substrate</w:t>
            </w:r>
          </w:p>
        </w:tc>
        <w:tc>
          <w:tcPr/>
          <w:p>
            <w:pPr>
              <w:pStyle w:val="Compact"/>
              <w:spacing w:line="240" w:lineRule="auto"/>
            </w:pPr>
            <w:r>
              <w:rPr>
                <w:rFonts w:ascii="Times New Roman" w:hAnsi="Times New Roman"/>
                <w:sz w:val="20"/>
              </w:rPr>
              <w:t xml:space="preserve">p_gp_inhibitor</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calcineurin_inhibitor_cyp3a4</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pharmacokinetic_cyp3a4</w:t>
            </w:r>
          </w:p>
        </w:tc>
        <w:tc>
          <w:tcPr/>
          <w:p>
            <w:pPr>
              <w:pStyle w:val="Compact"/>
              <w:spacing w:line="240" w:lineRule="auto"/>
            </w:pPr>
            <w:r>
              <w:rPr>
                <w:rFonts w:ascii="Times New Roman" w:hAnsi="Times New Roman"/>
                <w:sz w:val="20"/>
              </w:rPr>
              <w:t xml:space="preserve">calcineurin_inhibitor</w:t>
            </w:r>
          </w:p>
        </w:tc>
        <w:tc>
          <w:tcPr/>
          <w:p>
            <w:pPr>
              <w:pStyle w:val="Compact"/>
              <w:spacing w:line="240" w:lineRule="auto"/>
            </w:pPr>
            <w:r>
              <w:rPr>
                <w:rFonts w:ascii="Times New Roman" w:hAnsi="Times New Roman"/>
                <w:sz w:val="20"/>
              </w:rPr>
              <w:t xml:space="preserve">cyp3a4_inhibitor</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macrolide_cyp3a4_inhibition</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pharmacokinetic_cyp3a4</w:t>
            </w:r>
          </w:p>
        </w:tc>
        <w:tc>
          <w:tcPr/>
          <w:p>
            <w:pPr>
              <w:pStyle w:val="Compact"/>
              <w:spacing w:line="240" w:lineRule="auto"/>
            </w:pPr>
            <w:r>
              <w:rPr>
                <w:rFonts w:ascii="Times New Roman" w:hAnsi="Times New Roman"/>
                <w:sz w:val="20"/>
              </w:rPr>
              <w:t xml:space="preserve">macrolide</w:t>
            </w:r>
          </w:p>
        </w:tc>
        <w:tc>
          <w:tcPr/>
          <w:p>
            <w:pPr>
              <w:pStyle w:val="Compact"/>
              <w:spacing w:line="240" w:lineRule="auto"/>
            </w:pPr>
            <w:r>
              <w:rPr>
                <w:rFonts w:ascii="Times New Roman" w:hAnsi="Times New Roman"/>
                <w:sz w:val="20"/>
              </w:rPr>
              <w:t xml:space="preserve">cyp3a4_substrate</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azole_cyp3a4_inhibition</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pharmacokinetic_cyp3a4</w:t>
            </w:r>
          </w:p>
        </w:tc>
        <w:tc>
          <w:tcPr/>
          <w:p>
            <w:pPr>
              <w:pStyle w:val="Compact"/>
              <w:spacing w:line="240" w:lineRule="auto"/>
            </w:pPr>
            <w:r>
              <w:rPr>
                <w:rFonts w:ascii="Times New Roman" w:hAnsi="Times New Roman"/>
                <w:sz w:val="20"/>
              </w:rPr>
              <w:t xml:space="preserve">azole</w:t>
            </w:r>
          </w:p>
        </w:tc>
        <w:tc>
          <w:tcPr/>
          <w:p>
            <w:pPr>
              <w:pStyle w:val="Compact"/>
              <w:spacing w:line="240" w:lineRule="auto"/>
            </w:pPr>
            <w:r>
              <w:rPr>
                <w:rFonts w:ascii="Times New Roman" w:hAnsi="Times New Roman"/>
                <w:sz w:val="20"/>
              </w:rPr>
              <w:t xml:space="preserve">cyp3a4_substrate</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sympathomimetic_maoi_hypertension</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sympathomimetic</w:t>
            </w:r>
          </w:p>
        </w:tc>
        <w:tc>
          <w:tcPr/>
          <w:p>
            <w:pPr>
              <w:pStyle w:val="Compact"/>
              <w:spacing w:line="240" w:lineRule="auto"/>
            </w:pPr>
            <w:r>
              <w:rPr>
                <w:rFonts w:ascii="Times New Roman" w:hAnsi="Times New Roman"/>
                <w:sz w:val="20"/>
              </w:rPr>
              <w:t xml:space="preserve">maoi</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beta_blocker_beta2_agonist_antagonism</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pharmacodynamic_respiratory</w:t>
            </w:r>
          </w:p>
        </w:tc>
        <w:tc>
          <w:tcPr/>
          <w:p>
            <w:pPr>
              <w:pStyle w:val="Compact"/>
              <w:spacing w:line="240" w:lineRule="auto"/>
            </w:pPr>
            <w:r>
              <w:rPr>
                <w:rFonts w:ascii="Times New Roman" w:hAnsi="Times New Roman"/>
                <w:sz w:val="20"/>
              </w:rPr>
              <w:t xml:space="preserve">beta_blocker</w:t>
            </w:r>
          </w:p>
        </w:tc>
        <w:tc>
          <w:tcPr/>
          <w:p>
            <w:pPr>
              <w:pStyle w:val="Compact"/>
              <w:spacing w:line="240" w:lineRule="auto"/>
            </w:pPr>
            <w:r>
              <w:rPr>
                <w:rFonts w:ascii="Times New Roman" w:hAnsi="Times New Roman"/>
                <w:sz w:val="20"/>
              </w:rPr>
              <w:t xml:space="preserve">beta2_adrenergic_agonist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immunosuppressant_nsaid_nephrotoxicity</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pharmacodynamic_renal</w:t>
            </w:r>
          </w:p>
        </w:tc>
        <w:tc>
          <w:tcPr/>
          <w:p>
            <w:pPr>
              <w:pStyle w:val="Compact"/>
              <w:spacing w:line="240" w:lineRule="auto"/>
            </w:pPr>
            <w:r>
              <w:rPr>
                <w:rFonts w:ascii="Times New Roman" w:hAnsi="Times New Roman"/>
                <w:sz w:val="20"/>
              </w:rPr>
              <w:t xml:space="preserve">calcineurin_inhibitor</w:t>
            </w:r>
          </w:p>
        </w:tc>
        <w:tc>
          <w:tcPr/>
          <w:p>
            <w:pPr>
              <w:pStyle w:val="Compact"/>
              <w:spacing w:line="240" w:lineRule="auto"/>
            </w:pPr>
            <w:r>
              <w:rPr>
                <w:rFonts w:ascii="Times New Roman" w:hAnsi="Times New Roman"/>
                <w:sz w:val="20"/>
              </w:rPr>
              <w:t xml:space="preserve">cox1_cox2_inhibitor</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fluoroquinolone_corticosteroid_tendon</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pharmacodynamic_musculoskeletal</w:t>
            </w:r>
          </w:p>
        </w:tc>
        <w:tc>
          <w:tcPr/>
          <w:p>
            <w:pPr>
              <w:pStyle w:val="Compact"/>
              <w:spacing w:line="240" w:lineRule="auto"/>
            </w:pPr>
            <w:r>
              <w:rPr>
                <w:rFonts w:ascii="Times New Roman" w:hAnsi="Times New Roman"/>
                <w:sz w:val="20"/>
              </w:rPr>
              <w:t xml:space="preserve">fluoroquinolone</w:t>
            </w:r>
          </w:p>
        </w:tc>
        <w:tc>
          <w:tcPr/>
          <w:p>
            <w:pPr>
              <w:pStyle w:val="Compact"/>
              <w:spacing w:line="240" w:lineRule="auto"/>
            </w:pPr>
            <w:r>
              <w:rPr>
                <w:rFonts w:ascii="Times New Roman" w:hAnsi="Times New Roman"/>
                <w:sz w:val="20"/>
              </w:rPr>
              <w:t xml:space="preserve">corticosteroid_systemic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nsaid_antihypertensive_antagonism</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nsaid</w:t>
            </w:r>
          </w:p>
        </w:tc>
        <w:tc>
          <w:tcPr/>
          <w:p>
            <w:pPr>
              <w:pStyle w:val="Compact"/>
              <w:spacing w:line="240" w:lineRule="auto"/>
            </w:pPr>
            <w:r>
              <w:rPr>
                <w:rFonts w:ascii="Times New Roman" w:hAnsi="Times New Roman"/>
                <w:sz w:val="20"/>
              </w:rPr>
              <w:t xml:space="preserve">antihypertensive</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nsaid_diuretic_antagonism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nsaid</w:t>
            </w:r>
          </w:p>
        </w:tc>
        <w:tc>
          <w:tcPr/>
          <w:p>
            <w:pPr>
              <w:pStyle w:val="Compact"/>
              <w:spacing w:line="240" w:lineRule="auto"/>
            </w:pPr>
            <w:r>
              <w:rPr>
                <w:rFonts w:ascii="Times New Roman" w:hAnsi="Times New Roman"/>
                <w:sz w:val="20"/>
              </w:rPr>
              <w:t xml:space="preserve">ncc_inhibitor</w:t>
            </w:r>
          </w:p>
        </w:tc>
        <w:tc>
          <w:tcPr/>
          <w:p>
            <w:pPr>
              <w:pStyle w:val="Compact"/>
              <w:spacing w:line="240" w:lineRule="auto"/>
            </w:pPr>
            <w:r>
              <w:rPr>
                <w:rFonts w:ascii="Times New Roman" w:hAnsi="Times New Roman"/>
                <w:sz w:val="20"/>
              </w:rPr>
              <w:t xml:space="preserve">nkcc2_inhibitor</w:t>
            </w:r>
          </w:p>
        </w:tc>
      </w:tr>
      <w:tr>
        <w:tc>
          <w:tcPr/>
          <w:p>
            <w:pPr>
              <w:pStyle w:val="Compact"/>
              <w:spacing w:line="240" w:lineRule="auto"/>
            </w:pPr>
            <w:r>
              <w:rPr>
                <w:rFonts w:ascii="Times New Roman" w:hAnsi="Times New Roman"/>
                <w:sz w:val="20"/>
              </w:rPr>
              <w:t xml:space="preserve">antibiotic_warfarin_enhancement</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pharmacokinetic_anticoagulation</w:t>
            </w:r>
          </w:p>
        </w:tc>
        <w:tc>
          <w:tcPr/>
          <w:p>
            <w:pPr>
              <w:pStyle w:val="Compact"/>
              <w:spacing w:line="240" w:lineRule="auto"/>
            </w:pPr>
            <w:r>
              <w:rPr>
                <w:rFonts w:ascii="Times New Roman" w:hAnsi="Times New Roman"/>
                <w:sz w:val="20"/>
              </w:rPr>
              <w:t xml:space="preserve">antibiotic</w:t>
            </w:r>
          </w:p>
        </w:tc>
        <w:tc>
          <w:tcPr/>
          <w:p>
            <w:pPr>
              <w:pStyle w:val="Compact"/>
              <w:spacing w:line="240" w:lineRule="auto"/>
            </w:pPr>
            <w:r>
              <w:rPr>
                <w:rFonts w:ascii="Times New Roman" w:hAnsi="Times New Roman"/>
                <w:sz w:val="20"/>
              </w:rPr>
              <w:t xml:space="preserve">narrow_therapeutic_index</w:t>
            </w:r>
          </w:p>
        </w:tc>
        <w:tc>
          <w:tcPr/>
          <w:p>
            <w:pPr>
              <w:pStyle w:val="Compact"/>
              <w:spacing w:line="240" w:lineRule="auto"/>
            </w:pPr>
            <w:r>
              <w:rPr>
                <w:rFonts w:ascii="Times New Roman" w:hAnsi="Times New Roman"/>
                <w:sz w:val="20"/>
              </w:rPr>
              <w:t xml:space="preserve">vitamin_k_epoxide_reductase_inhibitor</w:t>
            </w:r>
          </w:p>
        </w:tc>
      </w:tr>
      <w:tr>
        <w:tc>
          <w:tcPr/>
          <w:p>
            <w:pPr>
              <w:pStyle w:val="Compact"/>
              <w:spacing w:line="240" w:lineRule="auto"/>
            </w:pPr>
            <w:r>
              <w:rPr>
                <w:rFonts w:ascii="Times New Roman" w:hAnsi="Times New Roman"/>
                <w:sz w:val="20"/>
              </w:rPr>
              <w:t xml:space="preserve">beta_blocker_cyp2d6_metabolism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pharmacokinetic_cyp2d6</w:t>
            </w:r>
          </w:p>
        </w:tc>
        <w:tc>
          <w:tcPr/>
          <w:p>
            <w:pPr>
              <w:pStyle w:val="Compact"/>
              <w:spacing w:line="240" w:lineRule="auto"/>
            </w:pPr>
            <w:r>
              <w:rPr>
                <w:rFonts w:ascii="Times New Roman" w:hAnsi="Times New Roman"/>
                <w:sz w:val="20"/>
              </w:rPr>
              <w:t xml:space="preserve">beta_blocker</w:t>
            </w:r>
          </w:p>
        </w:tc>
        <w:tc>
          <w:tcPr/>
          <w:p>
            <w:pPr>
              <w:pStyle w:val="Compact"/>
              <w:spacing w:line="240" w:lineRule="auto"/>
            </w:pPr>
            <w:r>
              <w:rPr>
                <w:rFonts w:ascii="Times New Roman" w:hAnsi="Times New Roman"/>
                <w:sz w:val="20"/>
              </w:rPr>
              <w:t xml:space="preserve">cyp2d6_inhibitor</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nsaid_acei_arb_antagonism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nsaid</w:t>
            </w:r>
          </w:p>
        </w:tc>
        <w:tc>
          <w:tcPr/>
          <w:p>
            <w:pPr>
              <w:pStyle w:val="Compact"/>
              <w:spacing w:line="240" w:lineRule="auto"/>
            </w:pPr>
            <w:r>
              <w:rPr>
                <w:rFonts w:ascii="Times New Roman" w:hAnsi="Times New Roman"/>
                <w:sz w:val="20"/>
              </w:rPr>
              <w:t xml:space="preserve">ace_inhibitor</w:t>
            </w:r>
          </w:p>
        </w:tc>
        <w:tc>
          <w:tcPr/>
          <w:p>
            <w:pPr>
              <w:pStyle w:val="Compact"/>
              <w:spacing w:line="240" w:lineRule="auto"/>
            </w:pPr>
            <w:r>
              <w:rPr>
                <w:rFonts w:ascii="Times New Roman" w:hAnsi="Times New Roman"/>
                <w:sz w:val="20"/>
              </w:rPr>
              <w:t xml:space="preserve">angiotensin_ii_receptor_antagonist</w:t>
            </w:r>
          </w:p>
        </w:tc>
      </w:tr>
      <w:tr>
        <w:tc>
          <w:tcPr/>
          <w:p>
            <w:pPr>
              <w:pStyle w:val="Compact"/>
              <w:spacing w:line="240" w:lineRule="auto"/>
            </w:pPr>
            <w:r>
              <w:rPr>
                <w:rFonts w:ascii="Times New Roman" w:hAnsi="Times New Roman"/>
                <w:sz w:val="20"/>
              </w:rPr>
              <w:t xml:space="preserve">corticosteroid_nti_interaction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pharmacodynamic_endocrine</w:t>
            </w:r>
          </w:p>
        </w:tc>
        <w:tc>
          <w:tcPr/>
          <w:p>
            <w:pPr>
              <w:pStyle w:val="Compact"/>
              <w:spacing w:line="240" w:lineRule="auto"/>
            </w:pPr>
            <w:r>
              <w:rPr>
                <w:rFonts w:ascii="Times New Roman" w:hAnsi="Times New Roman"/>
                <w:sz w:val="20"/>
              </w:rPr>
              <w:t xml:space="preserve">corticosteroid</w:t>
            </w:r>
          </w:p>
        </w:tc>
        <w:tc>
          <w:tcPr/>
          <w:p>
            <w:pPr>
              <w:pStyle w:val="Compact"/>
              <w:spacing w:line="240" w:lineRule="auto"/>
            </w:pPr>
            <w:r>
              <w:rPr>
                <w:rFonts w:ascii="Times New Roman" w:hAnsi="Times New Roman"/>
                <w:sz w:val="20"/>
              </w:rPr>
              <w:t xml:space="preserve">narrow_therapeutic_index</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sympathomimetic_tca_hypertension</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sympathomimetic</w:t>
            </w:r>
          </w:p>
        </w:tc>
        <w:tc>
          <w:tcPr/>
          <w:p>
            <w:pPr>
              <w:pStyle w:val="Compact"/>
              <w:spacing w:line="240" w:lineRule="auto"/>
            </w:pPr>
            <w:r>
              <w:rPr>
                <w:rFonts w:ascii="Times New Roman" w:hAnsi="Times New Roman"/>
                <w:sz w:val="20"/>
              </w:rPr>
              <w:t xml:space="preserve">net_inhibitor</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anticholinergic_qt_prolongation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pharmacodynamic_cardiotoxic</w:t>
            </w:r>
          </w:p>
        </w:tc>
        <w:tc>
          <w:tcPr/>
          <w:p>
            <w:pPr>
              <w:pStyle w:val="Compact"/>
              <w:spacing w:line="240" w:lineRule="auto"/>
            </w:pPr>
            <w:r>
              <w:rPr>
                <w:rFonts w:ascii="Times New Roman" w:hAnsi="Times New Roman"/>
                <w:sz w:val="20"/>
              </w:rPr>
              <w:t xml:space="preserve">anticholinergic</w:t>
            </w:r>
          </w:p>
        </w:tc>
        <w:tc>
          <w:tcPr/>
          <w:p>
            <w:pPr>
              <w:pStyle w:val="Compact"/>
              <w:spacing w:line="240" w:lineRule="auto"/>
            </w:pPr>
            <w:r>
              <w:rPr>
                <w:rFonts w:ascii="Times New Roman" w:hAnsi="Times New Roman"/>
                <w:sz w:val="20"/>
              </w:rPr>
              <w:t xml:space="preserve">qt_prolonging</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moderate_abs_antiplatelet</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systemic_absorption_medium</w:t>
            </w:r>
          </w:p>
        </w:tc>
        <w:tc>
          <w:tcPr/>
          <w:p>
            <w:pPr>
              <w:pStyle w:val="Compact"/>
              <w:spacing w:line="240" w:lineRule="auto"/>
            </w:pPr>
            <w:r>
              <w:rPr>
                <w:rFonts w:ascii="Times New Roman" w:hAnsi="Times New Roman"/>
                <w:sz w:val="20"/>
              </w:rPr>
              <w:t xml:space="preserve">antiplatelet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moderate_abs_beta_blocker</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pharmacodynamic_cardiovascular</w:t>
            </w:r>
          </w:p>
        </w:tc>
        <w:tc>
          <w:tcPr/>
          <w:p>
            <w:pPr>
              <w:pStyle w:val="Compact"/>
              <w:spacing w:line="240" w:lineRule="auto"/>
            </w:pPr>
            <w:r>
              <w:rPr>
                <w:rFonts w:ascii="Times New Roman" w:hAnsi="Times New Roman"/>
                <w:sz w:val="20"/>
              </w:rPr>
              <w:t xml:space="preserve">systemic_absorption_medium</w:t>
            </w:r>
          </w:p>
        </w:tc>
        <w:tc>
          <w:tcPr/>
          <w:p>
            <w:pPr>
              <w:pStyle w:val="Compact"/>
              <w:spacing w:line="240" w:lineRule="auto"/>
            </w:pPr>
            <w:r>
              <w:rPr>
                <w:rFonts w:ascii="Times New Roman" w:hAnsi="Times New Roman"/>
                <w:sz w:val="20"/>
              </w:rPr>
              <w:t xml:space="preserve">beta_blocker_systemic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moderate_abs_anticoagulant</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systemic_absorption_medium</w:t>
            </w:r>
          </w:p>
        </w:tc>
        <w:tc>
          <w:tcPr/>
          <w:p>
            <w:pPr>
              <w:pStyle w:val="Compact"/>
              <w:spacing w:line="240" w:lineRule="auto"/>
            </w:pPr>
            <w:r>
              <w:rPr>
                <w:rFonts w:ascii="Times New Roman" w:hAnsi="Times New Roman"/>
                <w:sz w:val="20"/>
              </w:rPr>
              <w:t xml:space="preserve">anticoagulant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moderate_abs_cyp2d6</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pharmacokinetic_cyp2d6</w:t>
            </w:r>
          </w:p>
        </w:tc>
        <w:tc>
          <w:tcPr/>
          <w:p>
            <w:pPr>
              <w:pStyle w:val="Compact"/>
              <w:spacing w:line="240" w:lineRule="auto"/>
            </w:pPr>
            <w:r>
              <w:rPr>
                <w:rFonts w:ascii="Times New Roman" w:hAnsi="Times New Roman"/>
                <w:sz w:val="20"/>
              </w:rPr>
              <w:t xml:space="preserve">systemic_absorption_medium</w:t>
            </w:r>
          </w:p>
        </w:tc>
        <w:tc>
          <w:tcPr/>
          <w:p>
            <w:pPr>
              <w:pStyle w:val="Compact"/>
              <w:spacing w:line="240" w:lineRule="auto"/>
            </w:pPr>
            <w:r>
              <w:rPr>
                <w:rFonts w:ascii="Times New Roman" w:hAnsi="Times New Roman"/>
                <w:sz w:val="20"/>
              </w:rPr>
              <w:t xml:space="preserve">cyp2d6_substrate</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moderate_abs_diuretic</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pharmacokinetic_metabolic</w:t>
            </w:r>
          </w:p>
        </w:tc>
        <w:tc>
          <w:tcPr/>
          <w:p>
            <w:pPr>
              <w:pStyle w:val="Compact"/>
              <w:spacing w:line="240" w:lineRule="auto"/>
            </w:pPr>
            <w:r>
              <w:rPr>
                <w:rFonts w:ascii="Times New Roman" w:hAnsi="Times New Roman"/>
                <w:sz w:val="20"/>
              </w:rPr>
              <w:t xml:space="preserve">systemic_absorption_medium</w:t>
            </w:r>
          </w:p>
        </w:tc>
        <w:tc>
          <w:tcPr/>
          <w:p>
            <w:pPr>
              <w:pStyle w:val="Compact"/>
              <w:spacing w:line="240" w:lineRule="auto"/>
            </w:pPr>
            <w:r>
              <w:rPr>
                <w:rFonts w:ascii="Times New Roman" w:hAnsi="Times New Roman"/>
                <w:sz w:val="20"/>
              </w:rPr>
              <w:t xml:space="preserve">diuretic</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alpha2_agonist_antiplatelet</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alpha2_agonist</w:t>
            </w:r>
          </w:p>
        </w:tc>
        <w:tc>
          <w:tcPr/>
          <w:p>
            <w:pPr>
              <w:pStyle w:val="Compact"/>
              <w:spacing w:line="240" w:lineRule="auto"/>
            </w:pPr>
            <w:r>
              <w:rPr>
                <w:rFonts w:ascii="Times New Roman" w:hAnsi="Times New Roman"/>
                <w:sz w:val="20"/>
              </w:rPr>
              <w:t xml:space="preserve">antiplatelet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low_abs_antiplatelet</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systemic_absorption_low</w:t>
            </w:r>
          </w:p>
        </w:tc>
        <w:tc>
          <w:tcPr/>
          <w:p>
            <w:pPr>
              <w:pStyle w:val="Compact"/>
              <w:spacing w:line="240" w:lineRule="auto"/>
            </w:pPr>
            <w:r>
              <w:rPr>
                <w:rFonts w:ascii="Times New Roman" w:hAnsi="Times New Roman"/>
                <w:sz w:val="20"/>
              </w:rPr>
              <w:t xml:space="preserve">antiplatelet</w:t>
            </w:r>
          </w:p>
        </w:tc>
        <w:tc>
          <w:tcPr/>
          <w:p>
            <w:pPr>
              <w:pStyle w:val="Compact"/>
              <w:spacing w:line="240" w:lineRule="auto"/>
            </w:pPr>
            <w:r>
              <w:rPr>
                <w:rFonts w:ascii="Times New Roman" w:hAnsi="Times New Roman"/>
                <w:sz w:val="20"/>
              </w:rPr>
              <w:t xml:space="preserve">any</w:t>
            </w:r>
          </w:p>
        </w:tc>
      </w:tr>
      <w:tr>
        <w:tc>
          <w:tcPr/>
          <w:p>
            <w:pPr>
              <w:pStyle w:val="Compact"/>
              <w:spacing w:line="240" w:lineRule="auto"/>
            </w:pPr>
            <w:r>
              <w:rPr>
                <w:rFonts w:ascii="Times New Roman" w:hAnsi="Times New Roman"/>
                <w:sz w:val="20"/>
              </w:rPr>
              <w:t xml:space="preserve">low_abs_anticoagulant</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pharmacodynamic_hemorrhagic</w:t>
            </w:r>
          </w:p>
        </w:tc>
        <w:tc>
          <w:tcPr/>
          <w:p>
            <w:pPr>
              <w:pStyle w:val="Compact"/>
              <w:spacing w:line="240" w:lineRule="auto"/>
            </w:pPr>
            <w:r>
              <w:rPr>
                <w:rFonts w:ascii="Times New Roman" w:hAnsi="Times New Roman"/>
                <w:sz w:val="20"/>
              </w:rPr>
              <w:t xml:space="preserve">systemic_absorption_low</w:t>
            </w:r>
          </w:p>
        </w:tc>
        <w:tc>
          <w:tcPr/>
          <w:p>
            <w:pPr>
              <w:pStyle w:val="Compact"/>
              <w:spacing w:line="240" w:lineRule="auto"/>
            </w:pPr>
            <w:r>
              <w:rPr>
                <w:rFonts w:ascii="Times New Roman" w:hAnsi="Times New Roman"/>
                <w:sz w:val="20"/>
              </w:rPr>
              <w:t xml:space="preserve">anticoagulant</w:t>
            </w:r>
          </w:p>
        </w:tc>
        <w:tc>
          <w:tcPr/>
          <w:p>
            <w:pPr>
              <w:pStyle w:val="Compact"/>
              <w:spacing w:line="240" w:lineRule="auto"/>
            </w:pPr>
            <w:r>
              <w:rPr>
                <w:rFonts w:ascii="Times New Roman" w:hAnsi="Times New Roman"/>
                <w:sz w:val="20"/>
              </w:rPr>
              <w:t xml:space="preserve">any</w:t>
            </w:r>
          </w:p>
        </w:tc>
      </w:tr>
    </w:tbl>
    <w:p>
      <w:pPr>
        <w:pStyle w:val="BodyText"/>
        <w:spacing w:line="360" w:lineRule="auto"/>
      </w:pPr>
      <w:r>
        <w:rPr>
          <w:rFonts w:ascii="Times New Roman" w:hAnsi="Times New Roman"/>
          <w:b/>
          <w:bCs/>
        </w:rPr>
        <w:t xml:space="preserve">Table S3.</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40" w:lineRule="auto"/>
            </w:pPr>
            <w:r>
              <w:rPr>
                <w:rFonts w:ascii="Times New Roman" w:hAnsi="Times New Roman"/>
                <w:sz w:val="20"/>
              </w:rPr>
              <w:t xml:space="preserve">dataset_id</w:t>
            </w:r>
          </w:p>
        </w:tc>
        <w:tc>
          <w:tcPr/>
          <w:p>
            <w:pPr>
              <w:pStyle w:val="Compact"/>
              <w:spacing w:line="240" w:lineRule="auto"/>
            </w:pPr>
            <w:r>
              <w:rPr>
                <w:rFonts w:ascii="Times New Roman" w:hAnsi="Times New Roman"/>
                <w:sz w:val="20"/>
              </w:rPr>
              <w:t xml:space="preserve">method</w:t>
            </w:r>
          </w:p>
        </w:tc>
        <w:tc>
          <w:tcPr/>
          <w:p>
            <w:pPr>
              <w:pStyle w:val="Compact"/>
              <w:spacing w:line="240" w:lineRule="auto"/>
            </w:pPr>
            <w:r>
              <w:rPr>
                <w:rFonts w:ascii="Times New Roman" w:hAnsi="Times New Roman"/>
                <w:sz w:val="20"/>
              </w:rPr>
              <w:t xml:space="preserve">n</w:t>
            </w:r>
          </w:p>
        </w:tc>
        <w:tc>
          <w:tcPr/>
          <w:p>
            <w:pPr>
              <w:pStyle w:val="Compact"/>
              <w:spacing w:line="240" w:lineRule="auto"/>
            </w:pPr>
            <w:r>
              <w:rPr>
                <w:rFonts w:ascii="Times New Roman" w:hAnsi="Times New Roman"/>
                <w:sz w:val="20"/>
              </w:rPr>
              <w:t xml:space="preserve">sensitivity_high</w:t>
            </w:r>
          </w:p>
        </w:tc>
        <w:tc>
          <w:tcPr/>
          <w:p>
            <w:pPr>
              <w:pStyle w:val="Compact"/>
              <w:spacing w:line="240" w:lineRule="auto"/>
            </w:pPr>
            <w:r>
              <w:rPr>
                <w:rFonts w:ascii="Times New Roman" w:hAnsi="Times New Roman"/>
                <w:sz w:val="20"/>
              </w:rPr>
              <w:t xml:space="preserve">specificity_high</w:t>
            </w:r>
          </w:p>
        </w:tc>
        <w:tc>
          <w:tcPr/>
          <w:p>
            <w:pPr>
              <w:pStyle w:val="Compact"/>
              <w:spacing w:line="240" w:lineRule="auto"/>
            </w:pPr>
            <w:r>
              <w:rPr>
                <w:rFonts w:ascii="Times New Roman" w:hAnsi="Times New Roman"/>
                <w:sz w:val="20"/>
              </w:rPr>
              <w:t xml:space="preserve">f1_high</w:t>
            </w:r>
          </w:p>
        </w:tc>
        <w:tc>
          <w:tcPr/>
          <w:p>
            <w:pPr>
              <w:pStyle w:val="Compact"/>
              <w:spacing w:line="240" w:lineRule="auto"/>
            </w:pPr>
            <w:r>
              <w:rPr>
                <w:rFonts w:ascii="Times New Roman" w:hAnsi="Times New Roman"/>
                <w:sz w:val="20"/>
              </w:rPr>
              <w:t xml:space="preserve">accuracy_3level</w:t>
            </w:r>
          </w:p>
        </w:tc>
        <w:tc>
          <w:tcPr/>
          <w:p>
            <w:pPr>
              <w:pStyle w:val="Compact"/>
              <w:spacing w:line="240" w:lineRule="auto"/>
            </w:pPr>
            <w:r>
              <w:rPr>
                <w:rFonts w:ascii="Times New Roman" w:hAnsi="Times New Roman"/>
                <w:sz w:val="20"/>
              </w:rPr>
              <w:t xml:space="preserve">cohens_kappa</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pure_llm</w:t>
            </w:r>
          </w:p>
        </w:tc>
        <w:tc>
          <w:tcPr/>
          <w:p>
            <w:pPr>
              <w:pStyle w:val="Compact"/>
              <w:spacing w:line="240" w:lineRule="auto"/>
            </w:pPr>
            <w:r>
              <w:rPr>
                <w:rFonts w:ascii="Times New Roman" w:hAnsi="Times New Roman"/>
                <w:sz w:val="20"/>
              </w:rPr>
              <w:t xml:space="preserve">118</w:t>
            </w:r>
          </w:p>
        </w:tc>
        <w:tc>
          <w:tcPr/>
          <w:p>
            <w:pPr>
              <w:pStyle w:val="Compact"/>
              <w:spacing w:line="240" w:lineRule="auto"/>
            </w:pPr>
            <w:r>
              <w:rPr>
                <w:rFonts w:ascii="Times New Roman" w:hAnsi="Times New Roman"/>
                <w:sz w:val="20"/>
              </w:rPr>
              <w:t xml:space="preserve">0.771</w:t>
            </w:r>
          </w:p>
        </w:tc>
        <w:tc>
          <w:tcPr/>
          <w:p>
            <w:pPr>
              <w:pStyle w:val="Compact"/>
              <w:spacing w:line="240" w:lineRule="auto"/>
            </w:pPr>
            <w:r>
              <w:rPr>
                <w:rFonts w:ascii="Times New Roman" w:hAnsi="Times New Roman"/>
                <w:sz w:val="20"/>
              </w:rPr>
              <w:t xml:space="preserve">0.542</w:t>
            </w:r>
          </w:p>
        </w:tc>
        <w:tc>
          <w:tcPr/>
          <w:p>
            <w:pPr>
              <w:pStyle w:val="Compact"/>
              <w:spacing w:line="240" w:lineRule="auto"/>
            </w:pPr>
            <w:r>
              <w:rPr>
                <w:rFonts w:ascii="Times New Roman" w:hAnsi="Times New Roman"/>
                <w:sz w:val="20"/>
              </w:rPr>
              <w:t xml:space="preserve">0.476</w:t>
            </w:r>
          </w:p>
        </w:tc>
        <w:tc>
          <w:tcPr/>
          <w:p>
            <w:pPr>
              <w:pStyle w:val="Compact"/>
              <w:spacing w:line="240" w:lineRule="auto"/>
            </w:pPr>
            <w:r>
              <w:rPr>
                <w:rFonts w:ascii="Times New Roman" w:hAnsi="Times New Roman"/>
                <w:sz w:val="20"/>
              </w:rPr>
              <w:t xml:space="preserve">0.475</w:t>
            </w:r>
          </w:p>
        </w:tc>
        <w:tc>
          <w:tcPr/>
          <w:p>
            <w:pPr>
              <w:pStyle w:val="Compact"/>
              <w:spacing w:line="240" w:lineRule="auto"/>
            </w:pPr>
            <w:r>
              <w:rPr>
                <w:rFonts w:ascii="Times New Roman" w:hAnsi="Times New Roman"/>
                <w:sz w:val="20"/>
              </w:rPr>
              <w:t xml:space="preserve">0.256</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naive_rag</w:t>
            </w:r>
          </w:p>
        </w:tc>
        <w:tc>
          <w:tcPr/>
          <w:p>
            <w:pPr>
              <w:pStyle w:val="Compact"/>
              <w:spacing w:line="240" w:lineRule="auto"/>
            </w:pPr>
            <w:r>
              <w:rPr>
                <w:rFonts w:ascii="Times New Roman" w:hAnsi="Times New Roman"/>
                <w:sz w:val="20"/>
              </w:rPr>
              <w:t xml:space="preserve">118</w:t>
            </w:r>
          </w:p>
        </w:tc>
        <w:tc>
          <w:tcPr/>
          <w:p>
            <w:pPr>
              <w:pStyle w:val="Compact"/>
              <w:spacing w:line="240" w:lineRule="auto"/>
            </w:pPr>
            <w:r>
              <w:rPr>
                <w:rFonts w:ascii="Times New Roman" w:hAnsi="Times New Roman"/>
                <w:sz w:val="20"/>
              </w:rPr>
              <w:t xml:space="preserve">0.757</w:t>
            </w:r>
          </w:p>
        </w:tc>
        <w:tc>
          <w:tcPr/>
          <w:p>
            <w:pPr>
              <w:pStyle w:val="Compact"/>
              <w:spacing w:line="240" w:lineRule="auto"/>
            </w:pPr>
            <w:r>
              <w:rPr>
                <w:rFonts w:ascii="Times New Roman" w:hAnsi="Times New Roman"/>
                <w:sz w:val="20"/>
              </w:rPr>
              <w:t xml:space="preserve">0.462</w:t>
            </w:r>
          </w:p>
        </w:tc>
        <w:tc>
          <w:tcPr/>
          <w:p>
            <w:pPr>
              <w:pStyle w:val="Compact"/>
              <w:spacing w:line="240" w:lineRule="auto"/>
            </w:pPr>
            <w:r>
              <w:rPr>
                <w:rFonts w:ascii="Times New Roman" w:hAnsi="Times New Roman"/>
                <w:sz w:val="20"/>
              </w:rPr>
              <w:t xml:space="preserve">0.434</w:t>
            </w:r>
          </w:p>
        </w:tc>
        <w:tc>
          <w:tcPr/>
          <w:p>
            <w:pPr>
              <w:pStyle w:val="Compact"/>
              <w:spacing w:line="240" w:lineRule="auto"/>
            </w:pPr>
            <w:r>
              <w:rPr>
                <w:rFonts w:ascii="Times New Roman" w:hAnsi="Times New Roman"/>
                <w:sz w:val="20"/>
              </w:rPr>
              <w:t xml:space="preserve">0.415</w:t>
            </w:r>
          </w:p>
        </w:tc>
        <w:tc>
          <w:tcPr/>
          <w:p>
            <w:pPr>
              <w:pStyle w:val="Compact"/>
              <w:spacing w:line="240" w:lineRule="auto"/>
            </w:pPr>
            <w:r>
              <w:rPr>
                <w:rFonts w:ascii="Times New Roman" w:hAnsi="Times New Roman"/>
                <w:sz w:val="20"/>
              </w:rPr>
              <w:t xml:space="preserve">0.182</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lightrag</w:t>
            </w:r>
          </w:p>
        </w:tc>
        <w:tc>
          <w:tcPr/>
          <w:p>
            <w:pPr>
              <w:pStyle w:val="Compact"/>
              <w:spacing w:line="240" w:lineRule="auto"/>
            </w:pPr>
            <w:r>
              <w:rPr>
                <w:rFonts w:ascii="Times New Roman" w:hAnsi="Times New Roman"/>
                <w:sz w:val="20"/>
              </w:rPr>
              <w:t xml:space="preserve">118</w:t>
            </w:r>
          </w:p>
        </w:tc>
        <w:tc>
          <w:tcPr/>
          <w:p>
            <w:pPr>
              <w:pStyle w:val="Compact"/>
              <w:spacing w:line="240" w:lineRule="auto"/>
            </w:pPr>
            <w:r>
              <w:rPr>
                <w:rFonts w:ascii="Times New Roman" w:hAnsi="Times New Roman"/>
                <w:sz w:val="20"/>
              </w:rPr>
              <w:t xml:space="preserve">0.793</w:t>
            </w:r>
          </w:p>
        </w:tc>
        <w:tc>
          <w:tcPr/>
          <w:p>
            <w:pPr>
              <w:pStyle w:val="Compact"/>
              <w:spacing w:line="240" w:lineRule="auto"/>
            </w:pPr>
            <w:r>
              <w:rPr>
                <w:rFonts w:ascii="Times New Roman" w:hAnsi="Times New Roman"/>
                <w:sz w:val="20"/>
              </w:rPr>
              <w:t xml:space="preserve">0.936</w:t>
            </w:r>
          </w:p>
        </w:tc>
        <w:tc>
          <w:tcPr/>
          <w:p>
            <w:pPr>
              <w:pStyle w:val="Compact"/>
              <w:spacing w:line="240" w:lineRule="auto"/>
            </w:pPr>
            <w:r>
              <w:rPr>
                <w:rFonts w:ascii="Times New Roman" w:hAnsi="Times New Roman"/>
                <w:sz w:val="20"/>
              </w:rPr>
              <w:t xml:space="preserve">0.794</w:t>
            </w:r>
          </w:p>
        </w:tc>
        <w:tc>
          <w:tcPr/>
          <w:p>
            <w:pPr>
              <w:pStyle w:val="Compact"/>
              <w:spacing w:line="240" w:lineRule="auto"/>
            </w:pPr>
            <w:r>
              <w:rPr>
                <w:rFonts w:ascii="Times New Roman" w:hAnsi="Times New Roman"/>
                <w:sz w:val="20"/>
              </w:rPr>
              <w:t xml:space="preserve">0.741</w:t>
            </w:r>
          </w:p>
        </w:tc>
        <w:tc>
          <w:tcPr/>
          <w:p>
            <w:pPr>
              <w:pStyle w:val="Compact"/>
              <w:spacing w:line="240" w:lineRule="auto"/>
            </w:pPr>
            <w:r>
              <w:rPr>
                <w:rFonts w:ascii="Times New Roman" w:hAnsi="Times New Roman"/>
                <w:sz w:val="20"/>
              </w:rPr>
              <w:t xml:space="preserve">0.609</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full_system</w:t>
            </w:r>
          </w:p>
        </w:tc>
        <w:tc>
          <w:tcPr/>
          <w:p>
            <w:pPr>
              <w:pStyle w:val="Compact"/>
              <w:spacing w:line="240" w:lineRule="auto"/>
            </w:pPr>
            <w:r>
              <w:rPr>
                <w:rFonts w:ascii="Times New Roman" w:hAnsi="Times New Roman"/>
                <w:sz w:val="20"/>
              </w:rPr>
              <w:t xml:space="preserve">118</w:t>
            </w:r>
          </w:p>
        </w:tc>
        <w:tc>
          <w:tcPr/>
          <w:p>
            <w:pPr>
              <w:pStyle w:val="Compact"/>
              <w:spacing w:line="240" w:lineRule="auto"/>
            </w:pPr>
            <w:r>
              <w:rPr>
                <w:rFonts w:ascii="Times New Roman" w:hAnsi="Times New Roman"/>
                <w:sz w:val="20"/>
              </w:rPr>
              <w:t xml:space="preserve">1.0</w:t>
            </w:r>
          </w:p>
        </w:tc>
        <w:tc>
          <w:tcPr/>
          <w:p>
            <w:pPr>
              <w:pStyle w:val="Compact"/>
              <w:spacing w:line="240" w:lineRule="auto"/>
            </w:pPr>
            <w:r>
              <w:rPr>
                <w:rFonts w:ascii="Times New Roman" w:hAnsi="Times New Roman"/>
                <w:sz w:val="20"/>
              </w:rPr>
              <w:t xml:space="preserve">0.989</w:t>
            </w:r>
          </w:p>
        </w:tc>
        <w:tc>
          <w:tcPr/>
          <w:p>
            <w:pPr>
              <w:pStyle w:val="Compact"/>
              <w:spacing w:line="240" w:lineRule="auto"/>
            </w:pPr>
            <w:r>
              <w:rPr>
                <w:rFonts w:ascii="Times New Roman" w:hAnsi="Times New Roman"/>
                <w:sz w:val="20"/>
              </w:rPr>
              <w:t xml:space="preserve">0.983</w:t>
            </w:r>
          </w:p>
        </w:tc>
        <w:tc>
          <w:tcPr/>
          <w:p>
            <w:pPr>
              <w:pStyle w:val="Compact"/>
              <w:spacing w:line="240" w:lineRule="auto"/>
            </w:pPr>
            <w:r>
              <w:rPr>
                <w:rFonts w:ascii="Times New Roman" w:hAnsi="Times New Roman"/>
                <w:sz w:val="20"/>
              </w:rPr>
              <w:t xml:space="preserve">0.915</w:t>
            </w:r>
          </w:p>
        </w:tc>
        <w:tc>
          <w:tcPr/>
          <w:p>
            <w:pPr>
              <w:pStyle w:val="Compact"/>
              <w:spacing w:line="240" w:lineRule="auto"/>
            </w:pPr>
            <w:r>
              <w:rPr>
                <w:rFonts w:ascii="Times New Roman" w:hAnsi="Times New Roman"/>
                <w:sz w:val="20"/>
              </w:rPr>
              <w:t xml:space="preserve">0.87</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pure_llm</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0.848</w:t>
            </w:r>
          </w:p>
        </w:tc>
        <w:tc>
          <w:tcPr/>
          <w:p>
            <w:pPr>
              <w:pStyle w:val="Compact"/>
              <w:spacing w:line="240" w:lineRule="auto"/>
            </w:pPr>
            <w:r>
              <w:rPr>
                <w:rFonts w:ascii="Times New Roman" w:hAnsi="Times New Roman"/>
                <w:sz w:val="20"/>
              </w:rPr>
              <w:t xml:space="preserve">0.705</w:t>
            </w:r>
          </w:p>
        </w:tc>
        <w:tc>
          <w:tcPr/>
          <w:p>
            <w:pPr>
              <w:pStyle w:val="Compact"/>
              <w:spacing w:line="240" w:lineRule="auto"/>
            </w:pPr>
            <w:r>
              <w:rPr>
                <w:rFonts w:ascii="Times New Roman" w:hAnsi="Times New Roman"/>
                <w:sz w:val="20"/>
              </w:rPr>
              <w:t xml:space="preserve">0.642</w:t>
            </w:r>
          </w:p>
        </w:tc>
        <w:tc>
          <w:tcPr/>
          <w:p>
            <w:pPr>
              <w:pStyle w:val="Compact"/>
              <w:spacing w:line="240" w:lineRule="auto"/>
            </w:pPr>
            <w:r>
              <w:rPr>
                <w:rFonts w:ascii="Times New Roman" w:hAnsi="Times New Roman"/>
                <w:sz w:val="20"/>
              </w:rPr>
              <w:t xml:space="preserve">0.63</w:t>
            </w:r>
          </w:p>
        </w:tc>
        <w:tc>
          <w:tcPr/>
          <w:p>
            <w:pPr>
              <w:pStyle w:val="Compact"/>
              <w:spacing w:line="240" w:lineRule="auto"/>
            </w:pPr>
            <w:r>
              <w:rPr>
                <w:rFonts w:ascii="Times New Roman" w:hAnsi="Times New Roman"/>
                <w:sz w:val="20"/>
              </w:rPr>
              <w:t xml:space="preserve">0.396</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naive_rag</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0.848</w:t>
            </w:r>
          </w:p>
        </w:tc>
        <w:tc>
          <w:tcPr/>
          <w:p>
            <w:pPr>
              <w:pStyle w:val="Compact"/>
              <w:spacing w:line="240" w:lineRule="auto"/>
            </w:pPr>
            <w:r>
              <w:rPr>
                <w:rFonts w:ascii="Times New Roman" w:hAnsi="Times New Roman"/>
                <w:sz w:val="20"/>
              </w:rPr>
              <w:t xml:space="preserve">0.579</w:t>
            </w:r>
          </w:p>
        </w:tc>
        <w:tc>
          <w:tcPr/>
          <w:p>
            <w:pPr>
              <w:pStyle w:val="Compact"/>
              <w:spacing w:line="240" w:lineRule="auto"/>
            </w:pPr>
            <w:r>
              <w:rPr>
                <w:rFonts w:ascii="Times New Roman" w:hAnsi="Times New Roman"/>
                <w:sz w:val="20"/>
              </w:rPr>
              <w:t xml:space="preserve">0.57</w:t>
            </w:r>
          </w:p>
        </w:tc>
        <w:tc>
          <w:tcPr/>
          <w:p>
            <w:pPr>
              <w:pStyle w:val="Compact"/>
              <w:spacing w:line="240" w:lineRule="auto"/>
            </w:pPr>
            <w:r>
              <w:rPr>
                <w:rFonts w:ascii="Times New Roman" w:hAnsi="Times New Roman"/>
                <w:sz w:val="20"/>
              </w:rPr>
              <w:t xml:space="preserve">0.535</w:t>
            </w:r>
          </w:p>
        </w:tc>
        <w:tc>
          <w:tcPr/>
          <w:p>
            <w:pPr>
              <w:pStyle w:val="Compact"/>
              <w:spacing w:line="240" w:lineRule="auto"/>
            </w:pPr>
            <w:r>
              <w:rPr>
                <w:rFonts w:ascii="Times New Roman" w:hAnsi="Times New Roman"/>
                <w:sz w:val="20"/>
              </w:rPr>
              <w:t xml:space="preserve">0.29</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lightrag</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0.296</w:t>
            </w:r>
          </w:p>
        </w:tc>
        <w:tc>
          <w:tcPr/>
          <w:p>
            <w:pPr>
              <w:pStyle w:val="Compact"/>
              <w:spacing w:line="240" w:lineRule="auto"/>
            </w:pPr>
            <w:r>
              <w:rPr>
                <w:rFonts w:ascii="Times New Roman" w:hAnsi="Times New Roman"/>
                <w:sz w:val="20"/>
              </w:rPr>
              <w:t xml:space="preserve">0.949</w:t>
            </w:r>
          </w:p>
        </w:tc>
        <w:tc>
          <w:tcPr/>
          <w:p>
            <w:pPr>
              <w:pStyle w:val="Compact"/>
              <w:spacing w:line="240" w:lineRule="auto"/>
            </w:pPr>
            <w:r>
              <w:rPr>
                <w:rFonts w:ascii="Times New Roman" w:hAnsi="Times New Roman"/>
                <w:sz w:val="20"/>
              </w:rPr>
              <w:t xml:space="preserve">0.413</w:t>
            </w:r>
          </w:p>
        </w:tc>
        <w:tc>
          <w:tcPr/>
          <w:p>
            <w:pPr>
              <w:pStyle w:val="Compact"/>
              <w:spacing w:line="240" w:lineRule="auto"/>
            </w:pPr>
            <w:r>
              <w:rPr>
                <w:rFonts w:ascii="Times New Roman" w:hAnsi="Times New Roman"/>
                <w:sz w:val="20"/>
              </w:rPr>
              <w:t xml:space="preserve">0.6</w:t>
            </w:r>
          </w:p>
        </w:tc>
        <w:tc>
          <w:tcPr/>
          <w:p>
            <w:pPr>
              <w:pStyle w:val="Compact"/>
              <w:spacing w:line="240" w:lineRule="auto"/>
            </w:pPr>
            <w:r>
              <w:rPr>
                <w:rFonts w:ascii="Times New Roman" w:hAnsi="Times New Roman"/>
                <w:sz w:val="20"/>
              </w:rPr>
              <w:t xml:space="preserve">0.239</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full_system</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0.44</w:t>
            </w:r>
          </w:p>
        </w:tc>
        <w:tc>
          <w:tcPr/>
          <w:p>
            <w:pPr>
              <w:pStyle w:val="Compact"/>
              <w:spacing w:line="240" w:lineRule="auto"/>
            </w:pPr>
            <w:r>
              <w:rPr>
                <w:rFonts w:ascii="Times New Roman" w:hAnsi="Times New Roman"/>
                <w:sz w:val="20"/>
              </w:rPr>
              <w:t xml:space="preserve">0.955</w:t>
            </w:r>
          </w:p>
        </w:tc>
        <w:tc>
          <w:tcPr/>
          <w:p>
            <w:pPr>
              <w:pStyle w:val="Compact"/>
              <w:spacing w:line="240" w:lineRule="auto"/>
            </w:pPr>
            <w:r>
              <w:rPr>
                <w:rFonts w:ascii="Times New Roman" w:hAnsi="Times New Roman"/>
                <w:sz w:val="20"/>
              </w:rPr>
              <w:t xml:space="preserve">0.564</w:t>
            </w:r>
          </w:p>
        </w:tc>
        <w:tc>
          <w:tcPr/>
          <w:p>
            <w:pPr>
              <w:pStyle w:val="Compact"/>
              <w:spacing w:line="240" w:lineRule="auto"/>
            </w:pPr>
            <w:r>
              <w:rPr>
                <w:rFonts w:ascii="Times New Roman" w:hAnsi="Times New Roman"/>
                <w:sz w:val="20"/>
              </w:rPr>
              <w:t xml:space="preserve">0.707</w:t>
            </w:r>
          </w:p>
        </w:tc>
        <w:tc>
          <w:tcPr/>
          <w:p>
            <w:pPr>
              <w:pStyle w:val="Compact"/>
              <w:spacing w:line="240" w:lineRule="auto"/>
            </w:pPr>
            <w:r>
              <w:rPr>
                <w:rFonts w:ascii="Times New Roman" w:hAnsi="Times New Roman"/>
                <w:sz w:val="20"/>
              </w:rPr>
              <w:t xml:space="preserve">0.489</w:t>
            </w:r>
          </w:p>
        </w:tc>
      </w:tr>
    </w:tbl>
    <w:p>
      <w:pPr>
        <w:pStyle w:val="BodyText"/>
        <w:spacing w:line="360" w:lineRule="auto"/>
      </w:pPr>
      <w:r>
        <w:rPr>
          <w:rFonts w:ascii="Times New Roman" w:hAnsi="Times New Roman"/>
        </w:rPr>
        <w:t xml:space="preserve">Note: exact accuracy is on the three-level scale (high/medium/low); LLM outputs that failed parsing were scored as errors (none occurred). Mean over five temperature conditions; full_system SD = 0 (deterministic).</w:t>
      </w:r>
    </w:p>
    <w:p>
      <w:pPr>
        <w:pStyle w:val="BodyText"/>
        <w:spacing w:line="360" w:lineRule="auto"/>
      </w:pPr>
      <w:r>
        <w:rPr>
          <w:rFonts w:ascii="Times New Roman" w:hAnsi="Times New Roman"/>
          <w:b/>
          <w:bCs/>
        </w:rPr>
        <w:t xml:space="preserve">Table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pPr>
            <w:r>
              <w:rPr>
                <w:rFonts w:ascii="Times New Roman" w:hAnsi="Times New Roman"/>
                <w:sz w:val="20"/>
              </w:rPr>
              <w:t xml:space="preserve">dataset_id</w:t>
            </w:r>
          </w:p>
        </w:tc>
        <w:tc>
          <w:tcPr/>
          <w:p>
            <w:pPr>
              <w:pStyle w:val="Compact"/>
              <w:spacing w:line="240" w:lineRule="auto"/>
            </w:pPr>
            <w:r>
              <w:rPr>
                <w:rFonts w:ascii="Times New Roman" w:hAnsi="Times New Roman"/>
                <w:sz w:val="20"/>
              </w:rPr>
              <w:t xml:space="preserve">gold_level</w:t>
            </w:r>
          </w:p>
        </w:tc>
        <w:tc>
          <w:tcPr/>
          <w:p>
            <w:pPr>
              <w:pStyle w:val="Compact"/>
              <w:spacing w:line="240" w:lineRule="auto"/>
            </w:pPr>
            <w:r>
              <w:rPr>
                <w:rFonts w:ascii="Times New Roman" w:hAnsi="Times New Roman"/>
                <w:sz w:val="20"/>
              </w:rPr>
              <w:t xml:space="preserve">count</w:t>
            </w:r>
          </w:p>
        </w:tc>
        <w:tc>
          <w:tcPr/>
          <w:p>
            <w:pPr>
              <w:pStyle w:val="Compact"/>
              <w:spacing w:line="240" w:lineRule="auto"/>
            </w:pPr>
            <w:r>
              <w:rPr>
                <w:rFonts w:ascii="Times New Roman" w:hAnsi="Times New Roman"/>
                <w:sz w:val="20"/>
              </w:rPr>
              <w:t xml:space="preserve">percentage</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28</w:t>
            </w:r>
          </w:p>
        </w:tc>
        <w:tc>
          <w:tcPr/>
          <w:p>
            <w:pPr>
              <w:pStyle w:val="Compact"/>
              <w:spacing w:line="240" w:lineRule="auto"/>
            </w:pPr>
            <w:r>
              <w:rPr>
                <w:rFonts w:ascii="Times New Roman" w:hAnsi="Times New Roman"/>
                <w:sz w:val="20"/>
              </w:rPr>
              <w:t xml:space="preserve">23.7%</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51</w:t>
            </w:r>
          </w:p>
        </w:tc>
        <w:tc>
          <w:tcPr/>
          <w:p>
            <w:pPr>
              <w:pStyle w:val="Compact"/>
              <w:spacing w:line="240" w:lineRule="auto"/>
            </w:pPr>
            <w:r>
              <w:rPr>
                <w:rFonts w:ascii="Times New Roman" w:hAnsi="Times New Roman"/>
                <w:sz w:val="20"/>
              </w:rPr>
              <w:t xml:space="preserve">43.2%</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39</w:t>
            </w:r>
          </w:p>
        </w:tc>
        <w:tc>
          <w:tcPr/>
          <w:p>
            <w:pPr>
              <w:pStyle w:val="Compact"/>
              <w:spacing w:line="240" w:lineRule="auto"/>
            </w:pPr>
            <w:r>
              <w:rPr>
                <w:rFonts w:ascii="Times New Roman" w:hAnsi="Times New Roman"/>
                <w:sz w:val="20"/>
              </w:rPr>
              <w:t xml:space="preserve">33.1%</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25</w:t>
            </w:r>
          </w:p>
        </w:tc>
        <w:tc>
          <w:tcPr/>
          <w:p>
            <w:pPr>
              <w:pStyle w:val="Compact"/>
              <w:spacing w:line="240" w:lineRule="auto"/>
            </w:pPr>
            <w:r>
              <w:rPr>
                <w:rFonts w:ascii="Times New Roman" w:hAnsi="Times New Roman"/>
                <w:sz w:val="20"/>
              </w:rPr>
              <w:t xml:space="preserve">27.2%</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19</w:t>
            </w:r>
          </w:p>
        </w:tc>
        <w:tc>
          <w:tcPr/>
          <w:p>
            <w:pPr>
              <w:pStyle w:val="Compact"/>
              <w:spacing w:line="240" w:lineRule="auto"/>
            </w:pPr>
            <w:r>
              <w:rPr>
                <w:rFonts w:ascii="Times New Roman" w:hAnsi="Times New Roman"/>
                <w:sz w:val="20"/>
              </w:rPr>
              <w:t xml:space="preserve">20.7%</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48</w:t>
            </w:r>
          </w:p>
        </w:tc>
        <w:tc>
          <w:tcPr/>
          <w:p>
            <w:pPr>
              <w:pStyle w:val="Compact"/>
              <w:spacing w:line="240" w:lineRule="auto"/>
            </w:pPr>
            <w:r>
              <w:rPr>
                <w:rFonts w:ascii="Times New Roman" w:hAnsi="Times New Roman"/>
                <w:sz w:val="20"/>
              </w:rPr>
              <w:t xml:space="preserve">52.2%</w:t>
            </w:r>
          </w:p>
        </w:tc>
      </w:tr>
      <w:tr>
        <w:tc>
          <w:tcPr/>
          <w:p>
            <w:pPr>
              <w:pStyle w:val="Compact"/>
              <w:spacing w:line="240" w:lineRule="auto"/>
            </w:pPr>
            <w:r>
              <w:rPr>
                <w:rFonts w:ascii="Times New Roman" w:hAnsi="Times New Roman"/>
                <w:sz w:val="20"/>
              </w:rPr>
              <w:t xml:space="preserve">blind_l1</w:t>
            </w:r>
          </w:p>
        </w:tc>
        <w:tc>
          <w:tcPr/>
          <w:p>
            <w:pPr>
              <w:pStyle w:val="Compact"/>
              <w:spacing w:line="240" w:lineRule="auto"/>
            </w:pPr>
            <w:r>
              <w:rPr>
                <w:rFonts w:ascii="Times New Roman" w:hAnsi="Times New Roman"/>
                <w:sz w:val="20"/>
              </w:rPr>
              <w:t xml:space="preserve">total</w:t>
            </w:r>
          </w:p>
        </w:tc>
        <w:tc>
          <w:tcPr/>
          <w:p>
            <w:pPr>
              <w:pStyle w:val="Compact"/>
              <w:spacing w:line="240" w:lineRule="auto"/>
            </w:pPr>
            <w:r>
              <w:rPr>
                <w:rFonts w:ascii="Times New Roman" w:hAnsi="Times New Roman"/>
                <w:sz w:val="20"/>
              </w:rPr>
              <w:t xml:space="preserve">118</w:t>
            </w:r>
          </w:p>
        </w:tc>
        <w:tc>
          <w:tcPr/>
          <w:p>
            <w:pPr>
              <w:pStyle w:val="Compact"/>
              <w:spacing w:line="240" w:lineRule="auto"/>
            </w:pPr>
            <w:r>
              <w:rPr>
                <w:rFonts w:ascii="Times New Roman" w:hAnsi="Times New Roman"/>
                <w:sz w:val="20"/>
              </w:rPr>
              <w:t xml:space="preserve">100.0%</w:t>
            </w:r>
          </w:p>
        </w:tc>
      </w:tr>
      <w:tr>
        <w:tc>
          <w:tcPr/>
          <w:p>
            <w:pPr>
              <w:pStyle w:val="Compact"/>
              <w:spacing w:line="240" w:lineRule="auto"/>
            </w:pPr>
            <w:r>
              <w:rPr>
                <w:rFonts w:ascii="Times New Roman" w:hAnsi="Times New Roman"/>
                <w:sz w:val="20"/>
              </w:rPr>
              <w:t xml:space="preserve">blind_v3_ddinter</w:t>
            </w:r>
          </w:p>
        </w:tc>
        <w:tc>
          <w:tcPr/>
          <w:p>
            <w:pPr>
              <w:pStyle w:val="Compact"/>
              <w:spacing w:line="240" w:lineRule="auto"/>
            </w:pPr>
            <w:r>
              <w:rPr>
                <w:rFonts w:ascii="Times New Roman" w:hAnsi="Times New Roman"/>
                <w:sz w:val="20"/>
              </w:rPr>
              <w:t xml:space="preserve">total</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100.0%</w:t>
            </w:r>
          </w:p>
        </w:tc>
      </w:tr>
      <w:tr>
        <w:tc>
          <w:tcPr/>
          <w:p>
            <w:pPr>
              <w:pStyle w:val="Compact"/>
              <w:spacing w:line="240" w:lineRule="auto"/>
            </w:pPr>
            <w:r>
              <w:rPr>
                <w:rFonts w:ascii="Times New Roman" w:hAnsi="Times New Roman"/>
                <w:sz w:val="20"/>
              </w:rPr>
              <w:t xml:space="preserve">all</w:t>
            </w:r>
          </w:p>
        </w:tc>
        <w:tc>
          <w:tcPr/>
          <w:p>
            <w:pPr>
              <w:pStyle w:val="Compact"/>
              <w:spacing w:line="240" w:lineRule="auto"/>
            </w:pPr>
            <w:r>
              <w:rPr>
                <w:rFonts w:ascii="Times New Roman" w:hAnsi="Times New Roman"/>
                <w:sz w:val="20"/>
              </w:rPr>
              <w:t xml:space="preserve">total</w:t>
            </w:r>
          </w:p>
        </w:tc>
        <w:tc>
          <w:tcPr/>
          <w:p>
            <w:pPr>
              <w:pStyle w:val="Compact"/>
              <w:spacing w:line="240" w:lineRule="auto"/>
            </w:pPr>
            <w:r>
              <w:rPr>
                <w:rFonts w:ascii="Times New Roman" w:hAnsi="Times New Roman"/>
                <w:sz w:val="20"/>
              </w:rPr>
              <w:t xml:space="preserve">210</w:t>
            </w:r>
          </w:p>
        </w:tc>
        <w:tc>
          <w:tcPr/>
          <w:p>
            <w:pPr>
              <w:pStyle w:val="Compact"/>
              <w:spacing w:line="240" w:lineRule="auto"/>
            </w:pPr>
            <w:r>
              <w:rPr>
                <w:rFonts w:ascii="Times New Roman" w:hAnsi="Times New Roman"/>
                <w:sz w:val="20"/>
              </w:rPr>
              <w:t xml:space="preserve">-</w:t>
            </w:r>
          </w:p>
        </w:tc>
      </w:tr>
    </w:tbl>
    <w:p>
      <w:pPr>
        <w:pStyle w:val="BodyText"/>
        <w:spacing w:line="360" w:lineRule="auto"/>
      </w:pPr>
      <w:r>
        <w:rPr>
          <w:rFonts w:ascii="Times New Roman" w:hAnsi="Times New Roman"/>
          <w:b/>
          <w:bCs/>
        </w:rPr>
        <w:t xml:space="preserve">Table S5.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pPr>
            <w:r>
              <w:rPr>
                <w:rFonts w:ascii="Times New Roman" w:hAnsi="Times New Roman"/>
                <w:sz w:val="20"/>
              </w:rPr>
              <w:t xml:space="preserve">stratum</w:t>
            </w:r>
          </w:p>
        </w:tc>
        <w:tc>
          <w:tcPr/>
          <w:p>
            <w:pPr>
              <w:pStyle w:val="Compact"/>
              <w:spacing w:line="240" w:lineRule="auto"/>
            </w:pPr>
            <w:r>
              <w:rPr>
                <w:rFonts w:ascii="Times New Roman" w:hAnsi="Times New Roman"/>
                <w:sz w:val="20"/>
              </w:rPr>
              <w:t xml:space="preserve">n</w:t>
            </w:r>
          </w:p>
        </w:tc>
        <w:tc>
          <w:tcPr/>
          <w:p>
            <w:pPr>
              <w:pStyle w:val="Compact"/>
              <w:spacing w:line="240" w:lineRule="auto"/>
            </w:pPr>
            <w:r>
              <w:rPr>
                <w:rFonts w:ascii="Times New Roman" w:hAnsi="Times New Roman"/>
                <w:sz w:val="20"/>
              </w:rPr>
              <w:t xml:space="preserve">system agreement</w:t>
            </w:r>
          </w:p>
        </w:tc>
      </w:tr>
      <w:tr>
        <w:tc>
          <w:tcPr/>
          <w:p>
            <w:pPr>
              <w:pStyle w:val="Compact"/>
              <w:spacing w:line="240" w:lineRule="auto"/>
            </w:pPr>
            <w:r>
              <w:rPr>
                <w:rFonts w:ascii="Times New Roman" w:hAnsi="Times New Roman"/>
                <w:sz w:val="20"/>
              </w:rPr>
              <w:t xml:space="preserve">All 92 (vs corrected gold)</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65 (0.707)</w:t>
            </w:r>
          </w:p>
        </w:tc>
      </w:tr>
      <w:tr>
        <w:tc>
          <w:tcPr/>
          <w:p>
            <w:pPr>
              <w:pStyle w:val="Compact"/>
              <w:spacing w:line="240" w:lineRule="auto"/>
            </w:pPr>
            <w:r>
              <w:rPr>
                <w:rFonts w:ascii="Times New Roman" w:hAnsi="Times New Roman"/>
                <w:sz w:val="20"/>
              </w:rPr>
              <w:t xml:space="preserve">All 92 (vs uncorrected DDInter severity)</w:t>
            </w:r>
          </w:p>
        </w:tc>
        <w:tc>
          <w:tcPr/>
          <w:p>
            <w:pPr>
              <w:pStyle w:val="Compact"/>
              <w:spacing w:line="240" w:lineRule="auto"/>
            </w:pPr>
            <w:r>
              <w:rPr>
                <w:rFonts w:ascii="Times New Roman" w:hAnsi="Times New Roman"/>
                <w:sz w:val="20"/>
              </w:rPr>
              <w:t xml:space="preserve">92</w:t>
            </w:r>
          </w:p>
        </w:tc>
        <w:tc>
          <w:tcPr/>
          <w:p>
            <w:pPr>
              <w:pStyle w:val="Compact"/>
              <w:spacing w:line="240" w:lineRule="auto"/>
            </w:pPr>
            <w:r>
              <w:rPr>
                <w:rFonts w:ascii="Times New Roman" w:hAnsi="Times New Roman"/>
                <w:sz w:val="20"/>
              </w:rPr>
              <w:t xml:space="preserve">37 (0.402)</w:t>
            </w:r>
          </w:p>
        </w:tc>
      </w:tr>
      <w:tr>
        <w:tc>
          <w:tcPr/>
          <w:p>
            <w:pPr>
              <w:pStyle w:val="Compact"/>
              <w:spacing w:line="240" w:lineRule="auto"/>
            </w:pPr>
            <w:r>
              <w:rPr>
                <w:rFonts w:ascii="Times New Roman" w:hAnsi="Times New Roman"/>
                <w:sz w:val="20"/>
              </w:rPr>
              <w:t xml:space="preserve">Absorption-corrected cases</w:t>
            </w:r>
          </w:p>
        </w:tc>
        <w:tc>
          <w:tcPr/>
          <w:p>
            <w:pPr>
              <w:pStyle w:val="Compact"/>
              <w:spacing w:line="240" w:lineRule="auto"/>
            </w:pPr>
            <w:r>
              <w:rPr>
                <w:rFonts w:ascii="Times New Roman" w:hAnsi="Times New Roman"/>
                <w:sz w:val="20"/>
              </w:rPr>
              <w:t xml:space="preserve">30</w:t>
            </w:r>
          </w:p>
        </w:tc>
        <w:tc>
          <w:tcPr/>
          <w:p>
            <w:pPr>
              <w:pStyle w:val="Compact"/>
              <w:spacing w:line="240" w:lineRule="auto"/>
            </w:pPr>
            <w:r>
              <w:rPr>
                <w:rFonts w:ascii="Times New Roman" w:hAnsi="Times New Roman"/>
                <w:sz w:val="20"/>
              </w:rPr>
              <w:t xml:space="preserve">28 (0.933)</w:t>
            </w:r>
          </w:p>
        </w:tc>
      </w:tr>
      <w:tr>
        <w:tc>
          <w:tcPr/>
          <w:p>
            <w:pPr>
              <w:pStyle w:val="Compact"/>
              <w:spacing w:line="240" w:lineRule="auto"/>
            </w:pPr>
            <w:r>
              <w:rPr>
                <w:rFonts w:ascii="Times New Roman" w:hAnsi="Times New Roman"/>
                <w:sz w:val="20"/>
              </w:rPr>
              <w:t xml:space="preserve">Kept cases</w:t>
            </w:r>
          </w:p>
        </w:tc>
        <w:tc>
          <w:tcPr/>
          <w:p>
            <w:pPr>
              <w:pStyle w:val="Compact"/>
              <w:spacing w:line="240" w:lineRule="auto"/>
            </w:pPr>
            <w:r>
              <w:rPr>
                <w:rFonts w:ascii="Times New Roman" w:hAnsi="Times New Roman"/>
                <w:sz w:val="20"/>
              </w:rPr>
              <w:t xml:space="preserve">62</w:t>
            </w:r>
          </w:p>
        </w:tc>
        <w:tc>
          <w:tcPr/>
          <w:p>
            <w:pPr>
              <w:pStyle w:val="Compact"/>
              <w:spacing w:line="240" w:lineRule="auto"/>
            </w:pPr>
            <w:r>
              <w:rPr>
                <w:rFonts w:ascii="Times New Roman" w:hAnsi="Times New Roman"/>
                <w:sz w:val="20"/>
              </w:rPr>
              <w:t xml:space="preserve">37 (0.597)</w:t>
            </w:r>
          </w:p>
        </w:tc>
      </w:tr>
    </w:tbl>
    <w:p>
      <w:pPr>
        <w:spacing w:line="360" w:lineRule="auto"/>
      </w:pP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40" w:lineRule="auto"/>
            </w:pPr>
            <w:r>
              <w:rPr>
                <w:rFonts w:ascii="Times New Roman" w:hAnsi="Times New Roman"/>
                <w:sz w:val="20"/>
              </w:rPr>
              <w:t xml:space="preserve">disagreement direction</w:t>
            </w:r>
          </w:p>
        </w:tc>
        <w:tc>
          <w:tcPr/>
          <w:p>
            <w:pPr>
              <w:pStyle w:val="Compact"/>
              <w:spacing w:line="240" w:lineRule="auto"/>
            </w:pPr>
            <w:r>
              <w:rPr>
                <w:rFonts w:ascii="Times New Roman" w:hAnsi="Times New Roman"/>
                <w:sz w:val="20"/>
              </w:rPr>
              <w:t xml:space="preserve">n</w:t>
            </w:r>
          </w:p>
        </w:tc>
      </w:tr>
      <w:tr>
        <w:tc>
          <w:tcPr/>
          <w:p>
            <w:pPr>
              <w:pStyle w:val="Compact"/>
              <w:spacing w:line="240" w:lineRule="auto"/>
            </w:pPr>
            <w:r>
              <w:rPr>
                <w:rFonts w:ascii="Times New Roman" w:hAnsi="Times New Roman"/>
                <w:sz w:val="20"/>
              </w:rPr>
              <w:t xml:space="preserve">high-&gt;low</w:t>
            </w:r>
          </w:p>
        </w:tc>
        <w:tc>
          <w:tcPr/>
          <w:p>
            <w:pPr>
              <w:pStyle w:val="Compact"/>
              <w:spacing w:line="240" w:lineRule="auto"/>
            </w:pPr>
            <w:r>
              <w:rPr>
                <w:rFonts w:ascii="Times New Roman" w:hAnsi="Times New Roman"/>
                <w:sz w:val="20"/>
              </w:rPr>
              <w:t xml:space="preserve">6</w:t>
            </w:r>
          </w:p>
        </w:tc>
      </w:tr>
      <w:tr>
        <w:tc>
          <w:tcPr/>
          <w:p>
            <w:pPr>
              <w:pStyle w:val="Compact"/>
              <w:spacing w:line="240" w:lineRule="auto"/>
            </w:pPr>
            <w:r>
              <w:rPr>
                <w:rFonts w:ascii="Times New Roman" w:hAnsi="Times New Roman"/>
                <w:sz w:val="20"/>
              </w:rPr>
              <w:t xml:space="preserve">high-&gt;medium</w:t>
            </w:r>
          </w:p>
        </w:tc>
        <w:tc>
          <w:tcPr/>
          <w:p>
            <w:pPr>
              <w:pStyle w:val="Compact"/>
              <w:spacing w:line="240" w:lineRule="auto"/>
            </w:pPr>
            <w:r>
              <w:rPr>
                <w:rFonts w:ascii="Times New Roman" w:hAnsi="Times New Roman"/>
                <w:sz w:val="20"/>
              </w:rPr>
              <w:t xml:space="preserve">8</w:t>
            </w:r>
          </w:p>
        </w:tc>
      </w:tr>
      <w:tr>
        <w:tc>
          <w:tcPr/>
          <w:p>
            <w:pPr>
              <w:pStyle w:val="Compact"/>
              <w:spacing w:line="240" w:lineRule="auto"/>
            </w:pPr>
            <w:r>
              <w:rPr>
                <w:rFonts w:ascii="Times New Roman" w:hAnsi="Times New Roman"/>
                <w:sz w:val="20"/>
              </w:rPr>
              <w:t xml:space="preserve">medium-&gt;low</w:t>
            </w:r>
          </w:p>
        </w:tc>
        <w:tc>
          <w:tcPr/>
          <w:p>
            <w:pPr>
              <w:pStyle w:val="Compact"/>
              <w:spacing w:line="240" w:lineRule="auto"/>
            </w:pPr>
            <w:r>
              <w:rPr>
                <w:rFonts w:ascii="Times New Roman" w:hAnsi="Times New Roman"/>
                <w:sz w:val="20"/>
              </w:rPr>
              <w:t xml:space="preserve">9</w:t>
            </w:r>
          </w:p>
        </w:tc>
      </w:tr>
      <w:tr>
        <w:tc>
          <w:tcPr/>
          <w:p>
            <w:pPr>
              <w:pStyle w:val="Compact"/>
              <w:spacing w:line="240" w:lineRule="auto"/>
            </w:pPr>
            <w:r>
              <w:rPr>
                <w:rFonts w:ascii="Times New Roman" w:hAnsi="Times New Roman"/>
                <w:sz w:val="20"/>
              </w:rPr>
              <w:t xml:space="preserve">medium-&gt;high</w:t>
            </w:r>
          </w:p>
        </w:tc>
        <w:tc>
          <w:tcPr/>
          <w:p>
            <w:pPr>
              <w:pStyle w:val="Compact"/>
              <w:spacing w:line="240" w:lineRule="auto"/>
            </w:pPr>
            <w:r>
              <w:rPr>
                <w:rFonts w:ascii="Times New Roman" w:hAnsi="Times New Roman"/>
                <w:sz w:val="20"/>
              </w:rPr>
              <w:t xml:space="preserve">2</w:t>
            </w:r>
          </w:p>
        </w:tc>
      </w:tr>
      <w:tr>
        <w:tc>
          <w:tcPr/>
          <w:p>
            <w:pPr>
              <w:pStyle w:val="Compact"/>
              <w:spacing w:line="240" w:lineRule="auto"/>
            </w:pPr>
            <w:r>
              <w:rPr>
                <w:rFonts w:ascii="Times New Roman" w:hAnsi="Times New Roman"/>
                <w:sz w:val="20"/>
              </w:rPr>
              <w:t xml:space="preserve">low-&gt;medium</w:t>
            </w:r>
          </w:p>
        </w:tc>
        <w:tc>
          <w:tcPr/>
          <w:p>
            <w:pPr>
              <w:pStyle w:val="Compact"/>
              <w:spacing w:line="240" w:lineRule="auto"/>
            </w:pPr>
            <w:r>
              <w:rPr>
                <w:rFonts w:ascii="Times New Roman" w:hAnsi="Times New Roman"/>
                <w:sz w:val="20"/>
              </w:rPr>
              <w:t xml:space="preserve">1</w:t>
            </w:r>
          </w:p>
        </w:tc>
      </w:tr>
      <w:tr>
        <w:tc>
          <w:tcPr/>
          <w:p>
            <w:pPr>
              <w:pStyle w:val="Compact"/>
              <w:spacing w:line="240" w:lineRule="auto"/>
            </w:pPr>
            <w:r>
              <w:rPr>
                <w:rFonts w:ascii="Times New Roman" w:hAnsi="Times New Roman"/>
                <w:sz w:val="20"/>
              </w:rPr>
              <w:t xml:space="preserve">low-&gt;high</w:t>
            </w:r>
          </w:p>
        </w:tc>
        <w:tc>
          <w:tcPr/>
          <w:p>
            <w:pPr>
              <w:pStyle w:val="Compact"/>
              <w:spacing w:line="240" w:lineRule="auto"/>
            </w:pPr>
            <w:r>
              <w:rPr>
                <w:rFonts w:ascii="Times New Roman" w:hAnsi="Times New Roman"/>
                <w:sz w:val="20"/>
              </w:rPr>
              <w:t xml:space="preserve">1</w:t>
            </w:r>
          </w:p>
        </w:tc>
      </w:tr>
      <w:tr>
        <w:tc>
          <w:tcPr/>
          <w:p>
            <w:pPr>
              <w:pStyle w:val="Compact"/>
              <w:spacing w:line="240" w:lineRule="auto"/>
            </w:pPr>
            <w:r>
              <w:rPr>
                <w:rFonts w:ascii="Times New Roman" w:hAnsi="Times New Roman"/>
                <w:b/>
                <w:bCs/>
                <w:sz w:val="20"/>
              </w:rPr>
              <w:t xml:space="preserve">total disagreements</w:t>
            </w:r>
          </w:p>
        </w:tc>
        <w:tc>
          <w:tcPr/>
          <w:p>
            <w:pPr>
              <w:pStyle w:val="Compact"/>
              <w:spacing w:line="240" w:lineRule="auto"/>
            </w:pPr>
            <w:r>
              <w:rPr>
                <w:rFonts w:ascii="Times New Roman" w:hAnsi="Times New Roman"/>
                <w:b/>
                <w:bCs/>
                <w:sz w:val="20"/>
              </w:rPr>
              <w:t xml:space="preserve">27</w:t>
            </w:r>
          </w:p>
        </w:tc>
      </w:tr>
    </w:tbl>
    <w:p>
      <w:pPr>
        <w:pStyle w:val="BodyText"/>
        <w:spacing w:line="360" w:lineRule="auto"/>
      </w:pPr>
      <w:r>
        <w:rPr>
          <w:rFonts w:ascii="Times New Roman" w:hAnsi="Times New Roman"/>
          <w:b/>
          <w:bCs/>
        </w:rPr>
        <w:t xml:space="preserve">Table S6.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40" w:lineRule="auto"/>
            </w:pPr>
            <w:r>
              <w:rPr>
                <w:rFonts w:ascii="Times New Roman" w:hAnsi="Times New Roman"/>
                <w:sz w:val="20"/>
              </w:rPr>
              <w:t xml:space="preserve">case</w:t>
            </w:r>
          </w:p>
        </w:tc>
        <w:tc>
          <w:tcPr/>
          <w:p>
            <w:pPr>
              <w:pStyle w:val="Compact"/>
              <w:spacing w:line="240" w:lineRule="auto"/>
            </w:pPr>
            <w:r>
              <w:rPr>
                <w:rFonts w:ascii="Times New Roman" w:hAnsi="Times New Roman"/>
                <w:sz w:val="20"/>
              </w:rPr>
              <w:t xml:space="preserve">ophthalmic</w:t>
            </w:r>
          </w:p>
        </w:tc>
        <w:tc>
          <w:tcPr/>
          <w:p>
            <w:pPr>
              <w:pStyle w:val="Compact"/>
              <w:spacing w:line="240" w:lineRule="auto"/>
            </w:pPr>
            <w:r>
              <w:rPr>
                <w:rFonts w:ascii="Times New Roman" w:hAnsi="Times New Roman"/>
                <w:sz w:val="20"/>
              </w:rPr>
              <w:t xml:space="preserve">systemic</w:t>
            </w:r>
          </w:p>
        </w:tc>
        <w:tc>
          <w:tcPr/>
          <w:p>
            <w:pPr>
              <w:pStyle w:val="Compact"/>
              <w:spacing w:line="240" w:lineRule="auto"/>
            </w:pPr>
            <w:r>
              <w:rPr>
                <w:rFonts w:ascii="Times New Roman" w:hAnsi="Times New Roman"/>
                <w:sz w:val="20"/>
              </w:rPr>
              <w:t xml:space="preserve">gold</w:t>
            </w:r>
          </w:p>
        </w:tc>
        <w:tc>
          <w:tcPr/>
          <w:p>
            <w:pPr>
              <w:pStyle w:val="Compact"/>
              <w:spacing w:line="240" w:lineRule="auto"/>
            </w:pPr>
            <w:r>
              <w:rPr>
                <w:rFonts w:ascii="Times New Roman" w:hAnsi="Times New Roman"/>
                <w:sz w:val="20"/>
              </w:rPr>
              <w:t xml:space="preserve">system</w:t>
            </w:r>
          </w:p>
        </w:tc>
        <w:tc>
          <w:tcPr/>
          <w:p>
            <w:pPr>
              <w:pStyle w:val="Compact"/>
              <w:spacing w:line="240" w:lineRule="auto"/>
            </w:pPr>
            <w:r>
              <w:rPr>
                <w:rFonts w:ascii="Times New Roman" w:hAnsi="Times New Roman"/>
                <w:sz w:val="20"/>
              </w:rPr>
              <w:t xml:space="preserve">expert1</w:t>
            </w:r>
          </w:p>
        </w:tc>
        <w:tc>
          <w:tcPr/>
          <w:p>
            <w:pPr>
              <w:pStyle w:val="Compact"/>
              <w:spacing w:line="240" w:lineRule="auto"/>
            </w:pPr>
            <w:r>
              <w:rPr>
                <w:rFonts w:ascii="Times New Roman" w:hAnsi="Times New Roman"/>
                <w:sz w:val="20"/>
              </w:rPr>
              <w:t xml:space="preserve">expert2</w:t>
            </w:r>
          </w:p>
        </w:tc>
      </w:tr>
      <w:tr>
        <w:tc>
          <w:tcPr/>
          <w:p>
            <w:pPr>
              <w:pStyle w:val="Compact"/>
              <w:spacing w:line="240" w:lineRule="auto"/>
            </w:pPr>
            <w:r>
              <w:rPr>
                <w:rFonts w:ascii="Times New Roman" w:hAnsi="Times New Roman"/>
                <w:sz w:val="20"/>
              </w:rPr>
              <w:t xml:space="preserve">R01</w:t>
            </w:r>
          </w:p>
        </w:tc>
        <w:tc>
          <w:tcPr/>
          <w:p>
            <w:pPr>
              <w:pStyle w:val="Compact"/>
              <w:spacing w:line="240" w:lineRule="auto"/>
            </w:pPr>
            <w:r>
              <w:rPr>
                <w:rFonts w:ascii="Times New Roman" w:hAnsi="Times New Roman"/>
                <w:sz w:val="20"/>
              </w:rPr>
              <w:t xml:space="preserve">Ketorolac</w:t>
            </w:r>
          </w:p>
        </w:tc>
        <w:tc>
          <w:tcPr/>
          <w:p>
            <w:pPr>
              <w:pStyle w:val="Compact"/>
              <w:spacing w:line="240" w:lineRule="auto"/>
            </w:pPr>
            <w:r>
              <w:rPr>
                <w:rFonts w:ascii="Times New Roman" w:hAnsi="Times New Roman"/>
                <w:sz w:val="20"/>
              </w:rPr>
              <w:t xml:space="preserve">Enoxaparin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r>
      <w:tr>
        <w:tc>
          <w:tcPr/>
          <w:p>
            <w:pPr>
              <w:pStyle w:val="Compact"/>
              <w:spacing w:line="240" w:lineRule="auto"/>
            </w:pPr>
            <w:r>
              <w:rPr>
                <w:rFonts w:ascii="Times New Roman" w:hAnsi="Times New Roman"/>
                <w:sz w:val="20"/>
              </w:rPr>
              <w:t xml:space="preserve">R02</w:t>
            </w:r>
          </w:p>
        </w:tc>
        <w:tc>
          <w:tcPr/>
          <w:p>
            <w:pPr>
              <w:pStyle w:val="Compact"/>
              <w:spacing w:line="240" w:lineRule="auto"/>
            </w:pPr>
            <w:r>
              <w:rPr>
                <w:rFonts w:ascii="Times New Roman" w:hAnsi="Times New Roman"/>
                <w:sz w:val="20"/>
              </w:rPr>
              <w:t xml:space="preserve">Brimonidine</w:t>
            </w:r>
          </w:p>
        </w:tc>
        <w:tc>
          <w:tcPr/>
          <w:p>
            <w:pPr>
              <w:pStyle w:val="Compact"/>
              <w:spacing w:line="240" w:lineRule="auto"/>
            </w:pPr>
            <w:r>
              <w:rPr>
                <w:rFonts w:ascii="Times New Roman" w:hAnsi="Times New Roman"/>
                <w:sz w:val="20"/>
              </w:rPr>
              <w:t xml:space="preserve">Tramadol</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r>
      <w:tr>
        <w:tc>
          <w:tcPr/>
          <w:p>
            <w:pPr>
              <w:pStyle w:val="Compact"/>
              <w:spacing w:line="240" w:lineRule="auto"/>
            </w:pPr>
            <w:r>
              <w:rPr>
                <w:rFonts w:ascii="Times New Roman" w:hAnsi="Times New Roman"/>
                <w:sz w:val="20"/>
              </w:rPr>
              <w:t xml:space="preserve">R03</w:t>
            </w:r>
          </w:p>
        </w:tc>
        <w:tc>
          <w:tcPr/>
          <w:p>
            <w:pPr>
              <w:pStyle w:val="Compact"/>
              <w:spacing w:line="240" w:lineRule="auto"/>
            </w:pPr>
            <w:r>
              <w:rPr>
                <w:rFonts w:ascii="Times New Roman" w:hAnsi="Times New Roman"/>
                <w:sz w:val="20"/>
              </w:rPr>
              <w:t xml:space="preserve">Dexamethasone</w:t>
            </w:r>
          </w:p>
        </w:tc>
        <w:tc>
          <w:tcPr/>
          <w:p>
            <w:pPr>
              <w:pStyle w:val="Compact"/>
              <w:spacing w:line="240" w:lineRule="auto"/>
            </w:pPr>
            <w:r>
              <w:rPr>
                <w:rFonts w:ascii="Times New Roman" w:hAnsi="Times New Roman"/>
                <w:sz w:val="20"/>
              </w:rPr>
              <w:t xml:space="preserve">Rifampicin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r>
      <w:tr>
        <w:tc>
          <w:tcPr/>
          <w:p>
            <w:pPr>
              <w:pStyle w:val="Compact"/>
              <w:spacing w:line="240" w:lineRule="auto"/>
            </w:pPr>
            <w:r>
              <w:rPr>
                <w:rFonts w:ascii="Times New Roman" w:hAnsi="Times New Roman"/>
                <w:sz w:val="20"/>
              </w:rPr>
              <w:t xml:space="preserve">R04</w:t>
            </w:r>
          </w:p>
        </w:tc>
        <w:tc>
          <w:tcPr/>
          <w:p>
            <w:pPr>
              <w:pStyle w:val="Compact"/>
              <w:spacing w:line="240" w:lineRule="auto"/>
            </w:pPr>
            <w:r>
              <w:rPr>
                <w:rFonts w:ascii="Times New Roman" w:hAnsi="Times New Roman"/>
                <w:sz w:val="20"/>
              </w:rPr>
              <w:t xml:space="preserve">Atropine</w:t>
            </w:r>
          </w:p>
        </w:tc>
        <w:tc>
          <w:tcPr/>
          <w:p>
            <w:pPr>
              <w:pStyle w:val="Compact"/>
              <w:spacing w:line="240" w:lineRule="auto"/>
            </w:pPr>
            <w:r>
              <w:rPr>
                <w:rFonts w:ascii="Times New Roman" w:hAnsi="Times New Roman"/>
                <w:sz w:val="20"/>
              </w:rPr>
              <w:t xml:space="preserve">Tramadol</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r>
      <w:tr>
        <w:tc>
          <w:tcPr/>
          <w:p>
            <w:pPr>
              <w:pStyle w:val="Compact"/>
              <w:spacing w:line="240" w:lineRule="auto"/>
            </w:pPr>
            <w:r>
              <w:rPr>
                <w:rFonts w:ascii="Times New Roman" w:hAnsi="Times New Roman"/>
                <w:sz w:val="20"/>
              </w:rPr>
              <w:t xml:space="preserve">R05</w:t>
            </w:r>
          </w:p>
        </w:tc>
        <w:tc>
          <w:tcPr/>
          <w:p>
            <w:pPr>
              <w:pStyle w:val="Compact"/>
              <w:spacing w:line="240" w:lineRule="auto"/>
            </w:pPr>
            <w:r>
              <w:rPr>
                <w:rFonts w:ascii="Times New Roman" w:hAnsi="Times New Roman"/>
                <w:sz w:val="20"/>
              </w:rPr>
              <w:t xml:space="preserve">Scopolamine</w:t>
            </w:r>
          </w:p>
        </w:tc>
        <w:tc>
          <w:tcPr/>
          <w:p>
            <w:pPr>
              <w:pStyle w:val="Compact"/>
              <w:spacing w:line="240" w:lineRule="auto"/>
            </w:pPr>
            <w:r>
              <w:rPr>
                <w:rFonts w:ascii="Times New Roman" w:hAnsi="Times New Roman"/>
                <w:sz w:val="20"/>
              </w:rPr>
              <w:t xml:space="preserve">Amitriptyline</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r>
      <w:tr>
        <w:tc>
          <w:tcPr/>
          <w:p>
            <w:pPr>
              <w:pStyle w:val="Compact"/>
              <w:spacing w:line="240" w:lineRule="auto"/>
            </w:pPr>
            <w:r>
              <w:rPr>
                <w:rFonts w:ascii="Times New Roman" w:hAnsi="Times New Roman"/>
                <w:sz w:val="20"/>
              </w:rPr>
              <w:t xml:space="preserve">R06</w:t>
            </w:r>
          </w:p>
        </w:tc>
        <w:tc>
          <w:tcPr/>
          <w:p>
            <w:pPr>
              <w:pStyle w:val="Compact"/>
              <w:spacing w:line="240" w:lineRule="auto"/>
            </w:pPr>
            <w:r>
              <w:rPr>
                <w:rFonts w:ascii="Times New Roman" w:hAnsi="Times New Roman"/>
                <w:sz w:val="20"/>
              </w:rPr>
              <w:t xml:space="preserve">Atropine</w:t>
            </w:r>
          </w:p>
        </w:tc>
        <w:tc>
          <w:tcPr/>
          <w:p>
            <w:pPr>
              <w:pStyle w:val="Compact"/>
              <w:spacing w:line="240" w:lineRule="auto"/>
            </w:pPr>
            <w:r>
              <w:rPr>
                <w:rFonts w:ascii="Times New Roman" w:hAnsi="Times New Roman"/>
                <w:sz w:val="20"/>
              </w:rPr>
              <w:t xml:space="preserve">Oxycodone</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high</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r>
      <w:tr>
        <w:tc>
          <w:tcPr/>
          <w:p>
            <w:pPr>
              <w:pStyle w:val="Compact"/>
              <w:spacing w:line="240" w:lineRule="auto"/>
            </w:pPr>
            <w:r>
              <w:rPr>
                <w:rFonts w:ascii="Times New Roman" w:hAnsi="Times New Roman"/>
                <w:sz w:val="20"/>
              </w:rPr>
              <w:t xml:space="preserve">R07</w:t>
            </w:r>
          </w:p>
        </w:tc>
        <w:tc>
          <w:tcPr/>
          <w:p>
            <w:pPr>
              <w:pStyle w:val="Compact"/>
              <w:spacing w:line="240" w:lineRule="auto"/>
            </w:pPr>
            <w:r>
              <w:rPr>
                <w:rFonts w:ascii="Times New Roman" w:hAnsi="Times New Roman"/>
                <w:sz w:val="20"/>
              </w:rPr>
              <w:t xml:space="preserve">Levofloxacin</w:t>
            </w:r>
          </w:p>
        </w:tc>
        <w:tc>
          <w:tcPr/>
          <w:p>
            <w:pPr>
              <w:pStyle w:val="Compact"/>
              <w:spacing w:line="240" w:lineRule="auto"/>
            </w:pPr>
            <w:r>
              <w:rPr>
                <w:rFonts w:ascii="Times New Roman" w:hAnsi="Times New Roman"/>
                <w:sz w:val="20"/>
              </w:rPr>
              <w:t xml:space="preserve">Sotalol</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r>
      <w:tr>
        <w:tc>
          <w:tcPr/>
          <w:p>
            <w:pPr>
              <w:pStyle w:val="Compact"/>
              <w:spacing w:line="240" w:lineRule="auto"/>
            </w:pPr>
            <w:r>
              <w:rPr>
                <w:rFonts w:ascii="Times New Roman" w:hAnsi="Times New Roman"/>
                <w:sz w:val="20"/>
              </w:rPr>
              <w:t xml:space="preserve">R08</w:t>
            </w:r>
          </w:p>
        </w:tc>
        <w:tc>
          <w:tcPr/>
          <w:p>
            <w:pPr>
              <w:pStyle w:val="Compact"/>
              <w:spacing w:line="240" w:lineRule="auto"/>
            </w:pPr>
            <w:r>
              <w:rPr>
                <w:rFonts w:ascii="Times New Roman" w:hAnsi="Times New Roman"/>
                <w:sz w:val="20"/>
              </w:rPr>
              <w:t xml:space="preserve">Betaxolol</w:t>
            </w:r>
          </w:p>
        </w:tc>
        <w:tc>
          <w:tcPr/>
          <w:p>
            <w:pPr>
              <w:pStyle w:val="Compact"/>
              <w:spacing w:line="240" w:lineRule="auto"/>
            </w:pPr>
            <w:r>
              <w:rPr>
                <w:rFonts w:ascii="Times New Roman" w:hAnsi="Times New Roman"/>
                <w:sz w:val="20"/>
              </w:rPr>
              <w:t xml:space="preserve">Verapamil</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high</w:t>
            </w:r>
          </w:p>
        </w:tc>
      </w:tr>
      <w:tr>
        <w:tc>
          <w:tcPr/>
          <w:p>
            <w:pPr>
              <w:pStyle w:val="Compact"/>
              <w:spacing w:line="240" w:lineRule="auto"/>
            </w:pPr>
            <w:r>
              <w:rPr>
                <w:rFonts w:ascii="Times New Roman" w:hAnsi="Times New Roman"/>
                <w:sz w:val="20"/>
              </w:rPr>
              <w:t xml:space="preserve">R09</w:t>
            </w:r>
          </w:p>
        </w:tc>
        <w:tc>
          <w:tcPr/>
          <w:p>
            <w:pPr>
              <w:pStyle w:val="Compact"/>
              <w:spacing w:line="240" w:lineRule="auto"/>
            </w:pPr>
            <w:r>
              <w:rPr>
                <w:rFonts w:ascii="Times New Roman" w:hAnsi="Times New Roman"/>
                <w:sz w:val="20"/>
              </w:rPr>
              <w:t xml:space="preserve">Ketorolac</w:t>
            </w:r>
          </w:p>
        </w:tc>
        <w:tc>
          <w:tcPr/>
          <w:p>
            <w:pPr>
              <w:pStyle w:val="Compact"/>
              <w:spacing w:line="240" w:lineRule="auto"/>
            </w:pPr>
            <w:r>
              <w:rPr>
                <w:rFonts w:ascii="Times New Roman" w:hAnsi="Times New Roman"/>
                <w:sz w:val="20"/>
              </w:rPr>
              <w:t xml:space="preserve">Rivaroxaban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r>
      <w:tr>
        <w:tc>
          <w:tcPr/>
          <w:p>
            <w:pPr>
              <w:pStyle w:val="Compact"/>
              <w:spacing w:line="240" w:lineRule="auto"/>
            </w:pPr>
            <w:r>
              <w:rPr>
                <w:rFonts w:ascii="Times New Roman" w:hAnsi="Times New Roman"/>
                <w:sz w:val="20"/>
              </w:rPr>
              <w:t xml:space="preserve">R10</w:t>
            </w:r>
          </w:p>
        </w:tc>
        <w:tc>
          <w:tcPr/>
          <w:p>
            <w:pPr>
              <w:pStyle w:val="Compact"/>
              <w:spacing w:line="240" w:lineRule="auto"/>
            </w:pPr>
            <w:r>
              <w:rPr>
                <w:rFonts w:ascii="Times New Roman" w:hAnsi="Times New Roman"/>
                <w:sz w:val="20"/>
              </w:rPr>
              <w:t xml:space="preserve">Fluorometholone</w:t>
            </w:r>
          </w:p>
        </w:tc>
        <w:tc>
          <w:tcPr/>
          <w:p>
            <w:pPr>
              <w:pStyle w:val="Compact"/>
              <w:spacing w:line="240" w:lineRule="auto"/>
            </w:pPr>
            <w:r>
              <w:rPr>
                <w:rFonts w:ascii="Times New Roman" w:hAnsi="Times New Roman"/>
                <w:sz w:val="20"/>
              </w:rPr>
              <w:t xml:space="preserve">Prednisone</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r>
      <w:tr>
        <w:tc>
          <w:tcPr/>
          <w:p>
            <w:pPr>
              <w:pStyle w:val="Compact"/>
              <w:spacing w:line="240" w:lineRule="auto"/>
            </w:pPr>
            <w:r>
              <w:rPr>
                <w:rFonts w:ascii="Times New Roman" w:hAnsi="Times New Roman"/>
                <w:sz w:val="20"/>
              </w:rPr>
              <w:t xml:space="preserve">R11</w:t>
            </w:r>
          </w:p>
        </w:tc>
        <w:tc>
          <w:tcPr/>
          <w:p>
            <w:pPr>
              <w:pStyle w:val="Compact"/>
              <w:spacing w:line="240" w:lineRule="auto"/>
            </w:pPr>
            <w:r>
              <w:rPr>
                <w:rFonts w:ascii="Times New Roman" w:hAnsi="Times New Roman"/>
                <w:sz w:val="20"/>
              </w:rPr>
              <w:t xml:space="preserve">Fluorometholone</w:t>
            </w:r>
          </w:p>
        </w:tc>
        <w:tc>
          <w:tcPr/>
          <w:p>
            <w:pPr>
              <w:pStyle w:val="Compact"/>
              <w:spacing w:line="240" w:lineRule="auto"/>
            </w:pPr>
            <w:r>
              <w:rPr>
                <w:rFonts w:ascii="Times New Roman" w:hAnsi="Times New Roman"/>
                <w:sz w:val="20"/>
              </w:rPr>
              <w:t xml:space="preserve">Glimepiride</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r>
      <w:tr>
        <w:tc>
          <w:tcPr/>
          <w:p>
            <w:pPr>
              <w:pStyle w:val="Compact"/>
              <w:spacing w:line="240" w:lineRule="auto"/>
            </w:pPr>
            <w:r>
              <w:rPr>
                <w:rFonts w:ascii="Times New Roman" w:hAnsi="Times New Roman"/>
                <w:sz w:val="20"/>
              </w:rPr>
              <w:t xml:space="preserve">R12</w:t>
            </w:r>
          </w:p>
        </w:tc>
        <w:tc>
          <w:tcPr/>
          <w:p>
            <w:pPr>
              <w:pStyle w:val="Compact"/>
              <w:spacing w:line="240" w:lineRule="auto"/>
            </w:pPr>
            <w:r>
              <w:rPr>
                <w:rFonts w:ascii="Times New Roman" w:hAnsi="Times New Roman"/>
                <w:sz w:val="20"/>
              </w:rPr>
              <w:t xml:space="preserve">Ketorolac</w:t>
            </w:r>
          </w:p>
        </w:tc>
        <w:tc>
          <w:tcPr/>
          <w:p>
            <w:pPr>
              <w:pStyle w:val="Compact"/>
              <w:spacing w:line="240" w:lineRule="auto"/>
            </w:pPr>
            <w:r>
              <w:rPr>
                <w:rFonts w:ascii="Times New Roman" w:hAnsi="Times New Roman"/>
                <w:sz w:val="20"/>
              </w:rPr>
              <w:t xml:space="preserve">Warfarin</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medium</w:t>
            </w:r>
          </w:p>
        </w:tc>
        <w:tc>
          <w:tcPr/>
          <w:p>
            <w:pPr>
              <w:pStyle w:val="Compact"/>
              <w:spacing w:line="240" w:lineRule="auto"/>
            </w:pPr>
            <w:r>
              <w:rPr>
                <w:rFonts w:ascii="Times New Roman" w:hAnsi="Times New Roman"/>
                <w:sz w:val="20"/>
              </w:rPr>
              <w:t xml:space="preserve">low</w:t>
            </w:r>
          </w:p>
        </w:tc>
        <w:tc>
          <w:tcPr/>
          <w:p>
            <w:pPr>
              <w:pStyle w:val="Compact"/>
              <w:spacing w:line="240" w:lineRule="auto"/>
            </w:pPr>
            <w:r>
              <w:rPr>
                <w:rFonts w:ascii="Times New Roman" w:hAnsi="Times New Roman"/>
                <w:sz w:val="20"/>
              </w:rPr>
              <w:t xml:space="preserve">low</w:t>
            </w:r>
          </w:p>
        </w:tc>
      </w:tr>
    </w:tbl>
    <w:bookmarkEnd w:id="22"/>
    <w:bookmarkStart w:id="23" w:name="s4.-figure-legends"/>
    <w:p>
      <w:pPr>
        <w:pStyle w:val="Heading2"/>
        <w:spacing w:line="360" w:lineRule="auto"/>
      </w:pPr>
      <w:r>
        <w:rPr>
          <w:rFonts w:ascii="Times New Roman" w:hAnsi="Times New Roman"/>
        </w:rPr>
        <w:t xml:space="preserve">S4. Figure legends</w:t>
      </w:r>
    </w:p>
    <w:bookmarkEnd w:id="23"/>
    <w:bookmarkEnd w:id="24"/>
    <w:bookmarkStart w:id="27" w:name="X1547e90aeb1083910aaa55d06afd896d54a5e6c"/>
    <w:p>
      <w:pPr>
        <w:pStyle w:val="Heading1"/>
        <w:spacing w:line="360" w:lineRule="auto"/>
      </w:pPr>
      <w:r>
        <w:rPr>
          <w:rFonts w:ascii="Times New Roman" w:hAnsi="Times New Roman"/>
        </w:rPr>
        <w:t xml:space="preserve">Figure Legends (v3.1 — revised after Round-1 review; verified against source data)</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1. System architecture of the ophthalmic drug–drug interaction clinical decision support system.</w:t>
      </w:r>
    </w:p>
    <w:p>
      <w:pPr>
        <w:pStyle w:val="BodyText"/>
        <w:spacing w:line="360" w:lineRule="auto"/>
      </w:pPr>
      <w:r>
        <w:rPr>
          <w:rFonts w:ascii="Times New Roman" w:hAnsi="Times New Roman"/>
        </w:rPr>
        <w:t xml:space="preserve">The system evaluates drug–drug interaction (DDI) risk between ophthalmic topical drugs (113 agents) and systemic medications (232 agents) through a three-layer deterministic cascade: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the L1 rule engine (40 citation-verified mechanism rules plus 3 patient-factor policies,</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w:t>
      </w:r>
      <w:r>
        <w:rPr>
          <w:rFonts w:ascii="Times New Roman" w:hAnsi="Times New Roman"/>
        </w:rPr>
        <w:t xml:space="preserve"> </w:t>
      </w:r>
      <w:r>
        <w:rPr>
          <w:rFonts w:ascii="Times New Roman" w:hAnsi="Times New Roman"/>
        </w:rPr>
        <w:t xml:space="preserve">the L2 class-matrix layer (20 ophthalmic × 37 systemic drug classes, 82 cells with absorption-scaled upgrades,</w:t>
      </w:r>
      <w:r>
        <w:rPr>
          <w:rFonts w:ascii="Times New Roman" w:hAnsi="Times New Roman"/>
        </w:rPr>
        <w:t xml:space="preserve"> </w:t>
      </w:r>
      <w:r>
        <w:rPr>
          <w:rStyle w:val="VerbatimChar"/>
          <w:rFonts w:ascii="Times New Roman" w:hAnsi="Times New Roman"/>
        </w:rPr>
        <w:t xml:space="preserve">configs/class_matrix.yaml</w:t>
      </w:r>
      <w:r>
        <w:rPr>
          <w:rFonts w:ascii="Times New Roman" w:hAnsi="Times New Roman"/>
        </w:rPr>
        <w:t xml:space="preserve">), and</w:t>
      </w:r>
      <w:r>
        <w:rPr>
          <w:rFonts w:ascii="Times New Roman" w:hAnsi="Times New Roman"/>
        </w:rPr>
        <w:t xml:space="preserve"> </w:t>
      </w:r>
      <w:r>
        <w:rPr>
          <w:rFonts w:ascii="Times New Roman" w:hAnsi="Times New Roman"/>
          <w:b/>
          <w:bCs/>
        </w:rPr>
        <w:t xml:space="preserve">(c)</w:t>
      </w:r>
      <w:r>
        <w:rPr>
          <w:rFonts w:ascii="Times New Roman" w:hAnsi="Times New Roman"/>
        </w:rPr>
        <w:t xml:space="preserve"> </w:t>
      </w:r>
      <w:r>
        <w:rPr>
          <w:rFonts w:ascii="Times New Roman" w:hAnsi="Times New Roman"/>
        </w:rPr>
        <w:t xml:space="preserve">the L3 G19 hard constraint (low/very-low systemic absorption with no rule hit → low), with a traceable default of low risk for known drugs without rule or matrix signals; unknown or ambiguous medications are rejected with an explicit error rather than scored. The evidence store (1,307 verified evidence chunks; LightRAG index) supports retrieval-augmented baselines and the interactive screening interface; the production path (</w:t>
      </w:r>
      <w:r>
        <w:rPr>
          <w:rStyle w:val="VerbatimChar"/>
          <w:rFonts w:ascii="Times New Roman" w:hAnsi="Times New Roman"/>
        </w:rPr>
        <w:t xml:space="preserve">full_system</w:t>
      </w:r>
      <w:r>
        <w:rPr>
          <w:rFonts w:ascii="Times New Roman" w:hAnsi="Times New Roman"/>
        </w:rPr>
        <w:t xml:space="preserve">) is fully deterministic with zero LLM calls, and every decision returns matched rule IDs and a decision path for clinical auditability.</w:t>
      </w:r>
    </w:p>
    <w:p>
      <w:pPr>
        <w:pStyle w:val="BodyText"/>
        <w:spacing w:line="360" w:lineRule="auto"/>
      </w:pPr>
      <w:r>
        <w:rPr>
          <w:rFonts w:ascii="Times New Roman" w:hAnsi="Times New Roman"/>
        </w:rPr>
        <w:t xml:space="preserve">Abbreviations: L1/L2/L3, cascade layers 1–3; G19, gate 19 hard constraint; DDI, drug–drug interaction; KG, knowledge graph.</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2. Performance comparison across four methods and two validation sets.</w:t>
      </w:r>
    </w:p>
    <w:p>
      <w:pPr>
        <w:pStyle w:val="BodyText"/>
        <w:spacing w:line="360" w:lineRule="auto"/>
      </w:pPr>
      <w:r>
        <w:rPr>
          <w:rFonts w:ascii="Times New Roman" w:hAnsi="Times New Roman"/>
        </w:rPr>
        <w:t xml:space="preserve">Forest plots show high-risk sensitivity (mean ± SD over five temperature conditions) of the deterministic system (</w:t>
      </w:r>
      <w:r>
        <w:rPr>
          <w:rStyle w:val="VerbatimChar"/>
          <w:rFonts w:ascii="Times New Roman" w:hAnsi="Times New Roman"/>
        </w:rPr>
        <w:t xml:space="preserve">full_system</w:t>
      </w:r>
      <w:r>
        <w:rPr>
          <w:rFonts w:ascii="Times New Roman" w:hAnsi="Times New Roman"/>
        </w:rPr>
        <w:t xml:space="preserve">) versus three LLM baselines —</w:t>
      </w:r>
      <w:r>
        <w:rPr>
          <w:rFonts w:ascii="Times New Roman" w:hAnsi="Times New Roman"/>
        </w:rPr>
        <w:t xml:space="preserve"> </w:t>
      </w:r>
      <w:r>
        <w:rPr>
          <w:rStyle w:val="VerbatimChar"/>
          <w:rFonts w:ascii="Times New Roman" w:hAnsi="Times New Roman"/>
        </w:rPr>
        <w:t xml:space="preserve">pure_llm</w:t>
      </w:r>
      <w:r>
        <w:rPr>
          <w:rFonts w:ascii="Times New Roman" w:hAnsi="Times New Roman"/>
        </w:rPr>
        <w:t xml:space="preserve"> </w:t>
      </w:r>
      <w:r>
        <w:rPr>
          <w:rFonts w:ascii="Times New Roman" w:hAnsi="Times New Roman"/>
        </w:rPr>
        <w:t xml:space="preserve">(single LLM call with domain-general system prompt, no retrieved evidence),</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(BM25 evidence retrieval), and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(knowledge-graph context) — on the L1 literature-derived gold (118 cases; panel a) and the DDInter-derived audit set (92 cases; panel b).</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achieves sensitivity 1.000 (28/28) on the L1 set versus 0.793 for lightrag and 0.771 for pure_llm, and 0.440 (11/25) on the audit set; exact three-level accuracy was 0.915 (108/118; Wilson 95% CI 0.851–0.953; Cohen’s κ = 0.870, bootstrap CI 0.791–0.947) on L1 and 0.707 (65/92; CI 0.607–0.790; κ = 0.489) on the audit set. Error bars represent SD across temperature conditions;</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shows zero variance (deterministic by construction).</w:t>
      </w:r>
    </w:p>
    <w:p>
      <w:pPr>
        <w:pStyle w:val="BodyText"/>
        <w:spacing w:line="360" w:lineRule="auto"/>
      </w:pPr>
      <w:r>
        <w:rPr>
          <w:rFonts w:ascii="Times New Roman" w:hAnsi="Times New Roman"/>
        </w:rPr>
        <w:t xml:space="preserve">Abbreviations: LLM, large language model; BM25, Best Matching 25 retrieval; SD, standard deviation; κ, Cohen’s kappa; CI, confidence interval.</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3. Expert–system agreement and inter-rater reliability (two clinical experts, 12 cases).</w:t>
      </w:r>
    </w:p>
    <w:p>
      <w:pPr>
        <w:pStyle w:val="BodyText"/>
        <w:spacing w:line="360" w:lineRule="auto"/>
      </w:pPr>
      <w:r>
        <w:rPr>
          <w:rFonts w:ascii="Times New Roman" w:hAnsi="Times New Roman"/>
        </w:rPr>
        <w:t xml:space="preserve">Panel a shows Cohen’s κ and raw agreement between the two ophthalmology experts (inter-rater: agreement 91.7%, κ = 0.846) and between each expert and the system (expert 1: agreement 41.7%, κ = 0.125; expert 2: agreement 33.3%, κ = 0.010). Panel b plots agreement against κ for the four pairwise comparisons. The observed expert–system κ values are positive but near zero, and the maximum achievable unweighted κ given the marginal distributions is 0.625; quadratic-weighted κ was 0.500 (expert 1) and 0.461 (expert 2). The disagreement was systematic: expert 1 rated 7 of 12 cases one tier lower and none higher; expert 2 rated 7 lower and 1 higher; neither expert rated any of the four system-high cases as high. Experts judged from clinical practice without mechanism-level assessment (expert feedback). The expert–gold kappas are identical to the expert–system values (0.125 and 0.010) because the system matched its gold on all 12 cases, indicating that the divergence reflects clinical prior versus evidence-graded gold rather than a system-specific artifact. This is reported as a perspective gap, not as evidence of system calibration.</w:t>
      </w:r>
    </w:p>
    <w:p>
      <w:pPr>
        <w:pStyle w:val="BodyText"/>
        <w:spacing w:line="360" w:lineRule="auto"/>
      </w:pPr>
      <w:r>
        <w:rPr>
          <w:rFonts w:ascii="Times New Roman" w:hAnsi="Times New Roman"/>
        </w:rPr>
        <w:t xml:space="preserve">Abbreviations: E1/E2, expert 1/2; κ, Cohen’s kappa; sys, system.</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4. Worked demo case: ophthalmic × systemic risk evaluation (Timolol × Atenolol).</w:t>
      </w:r>
    </w:p>
    <w:p>
      <w:pPr>
        <w:pStyle w:val="BodyText"/>
        <w:spacing w:line="360" w:lineRule="auto"/>
      </w:pPr>
      <w:r>
        <w:rPr>
          <w:rFonts w:ascii="Times New Roman" w:hAnsi="Times New Roman"/>
        </w:rPr>
        <w:t xml:space="preserve">Panel a shows the rule signals triggered for the demo case (glaucoma patient on topical timolol with oral atenolol):</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w:t>
      </w:r>
      <w:r>
        <w:rPr>
          <w:rFonts w:ascii="Times New Roman" w:hAnsi="Times New Roman"/>
        </w:rPr>
        <w:t xml:space="preserve">(high) and</w:t>
      </w:r>
      <w:r>
        <w:rPr>
          <w:rFonts w:ascii="Times New Roman" w:hAnsi="Times New Roman"/>
        </w:rPr>
        <w:t xml:space="preserve"> </w:t>
      </w:r>
      <w:r>
        <w:rPr>
          <w:rStyle w:val="VerbatimChar"/>
          <w:rFonts w:ascii="Times New Roman" w:hAnsi="Times New Roman"/>
        </w:rPr>
        <w:t xml:space="preserve">systemic_absorption_high_risk</w:t>
      </w:r>
      <w:r>
        <w:rPr>
          <w:rFonts w:ascii="Times New Roman" w:hAnsi="Times New Roman"/>
        </w:rPr>
        <w:t xml:space="preserve">, with severity weights. Panel b shows the final risk distribution across the curated demo cases (3 high / 3 medium / 2 low). The cascade output (high) is fully traceable: matched rule IDs, decision path (</w:t>
      </w:r>
      <w:r>
        <w:rPr>
          <w:rStyle w:val="VerbatimChar"/>
          <w:rFonts w:ascii="Times New Roman" w:hAnsi="Times New Roman"/>
        </w:rPr>
        <w:t xml:space="preserve">rule</w:t>
      </w:r>
      <w:r>
        <w:rPr>
          <w:rFonts w:ascii="Times New Roman" w:hAnsi="Times New Roman"/>
        </w:rPr>
        <w:t xml:space="preserve">), and the clinical recommendation (monitor HR/BP; consider beta1-selective agent with punctal occlusion) are returned to the clinician.</w:t>
      </w:r>
    </w:p>
    <w:p>
      <w:pPr>
        <w:pStyle w:val="BodyText"/>
        <w:spacing w:line="360" w:lineRule="auto"/>
      </w:pPr>
      <w:r>
        <w:rPr>
          <w:rFonts w:ascii="Times New Roman" w:hAnsi="Times New Roman"/>
        </w:rPr>
        <w:t xml:space="preserve">Abbreviations: HR, heart rate; BP, blood pressure.</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5. Step-by-step reasoning trace across the cascade layers (Timolol × Atenolol).</w:t>
      </w:r>
    </w:p>
    <w:p>
      <w:pPr>
        <w:pStyle w:val="BodyText"/>
        <w:spacing w:line="360" w:lineRule="auto"/>
      </w:pPr>
      <w:r>
        <w:rPr>
          <w:rFonts w:ascii="Times New Roman" w:hAnsi="Times New Roman"/>
        </w:rPr>
        <w:t xml:space="preserve">The scatter plot shows per-step latency (milliseconds) of the five cascade steps: L1 rule matching (matched</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severity high), L2 class-matrix upgrade check (non-selective beta-blocker with high systemic absorption → upgrade applied), L3 G19 hard-constraint check (not triggered; absorption = high), MAX-MATCH decision (final = high), and LLM arbitration (not used in the deterministic path, 0 LLM calls). Total inference time is approximately 2 ms per case on a single CPU, enabling real-time screening.</w:t>
      </w:r>
    </w:p>
    <w:p>
      <w:pPr>
        <w:pStyle w:val="BodyText"/>
        <w:spacing w:line="360" w:lineRule="auto"/>
      </w:pPr>
      <w:r>
        <w:rPr>
          <w:rFonts w:ascii="Times New Roman" w:hAnsi="Times New Roman"/>
        </w:rPr>
        <w:t xml:space="preserve">Abbreviations: L1/L2/L3, cascade layers; G19, hard constraint; ms, milliseconds.</w:t>
      </w:r>
    </w:p>
    <w:bookmarkStart w:id="25" w:name="s5.-evaluation-reproducibility"/>
    <w:p>
      <w:pPr>
        <w:pStyle w:val="Heading2"/>
        <w:spacing w:line="360" w:lineRule="auto"/>
      </w:pPr>
      <w:r>
        <w:rPr>
          <w:rFonts w:ascii="Times New Roman" w:hAnsi="Times New Roman"/>
        </w:rPr>
        <w:t xml:space="preserve">S5. Evaluation reproducibility</w:t>
      </w:r>
    </w:p>
    <w:p>
      <w:pPr>
        <w:pStyle w:val="Compact"/>
        <w:numPr>
          <w:ilvl w:val="0"/>
          <w:numId w:val="1003"/>
        </w:numPr>
        <w:spacing w:line="360" w:lineRule="auto"/>
      </w:pPr>
      <w:r>
        <w:rPr>
          <w:rFonts w:ascii="Times New Roman" w:hAnsi="Times New Roman"/>
        </w:rPr>
        <w:t xml:space="preserve">Five temperature conditions: 0.0, 0.3, 0.6, 0.9, 1.2</w:t>
      </w:r>
    </w:p>
    <w:p>
      <w:pPr>
        <w:pStyle w:val="Compact"/>
        <w:numPr>
          <w:ilvl w:val="0"/>
          <w:numId w:val="1003"/>
        </w:numPr>
        <w:spacing w:line="360" w:lineRule="auto"/>
      </w:pPr>
      <w:r>
        <w:rPr>
          <w:rFonts w:ascii="Times New Roman" w:hAnsi="Times New Roman"/>
        </w:rPr>
        <w:t xml:space="preserve">Prediction rows: 9,600; API failures: 0</w:t>
      </w:r>
    </w:p>
    <w:p>
      <w:pPr>
        <w:pStyle w:val="Compact"/>
        <w:numPr>
          <w:ilvl w:val="0"/>
          <w:numId w:val="1003"/>
        </w:numPr>
        <w:spacing w:line="360" w:lineRule="auto"/>
      </w:pPr>
      <w:r>
        <w:rPr>
          <w:rFonts w:ascii="Times New Roman" w:hAnsi="Times New Roman"/>
        </w:rPr>
        <w:t xml:space="preserve">Engine/rules/evidence/index SHA-256 fingerprints recorded in the project log</w:t>
      </w:r>
    </w:p>
    <w:p>
      <w:pPr>
        <w:pStyle w:val="Compact"/>
        <w:numPr>
          <w:ilvl w:val="0"/>
          <w:numId w:val="1003"/>
        </w:numPr>
        <w:spacing w:line="360" w:lineRule="auto"/>
      </w:pPr>
      <w:r>
        <w:rPr>
          <w:rFonts w:ascii="Times New Roman" w:hAnsi="Times New Roman"/>
        </w:rPr>
        <w:t xml:space="preserve">Statistical tests: exact McNemar, Wilson 95% CI, bootstrap CI for kappa, Clopper-Pearson for proportions</w:t>
      </w:r>
    </w:p>
    <w:bookmarkEnd w:id="25"/>
    <w:bookmarkStart w:id="26" w:name="s6.-abbreviations"/>
    <w:p>
      <w:pPr>
        <w:pStyle w:val="Heading2"/>
        <w:spacing w:line="360" w:lineRule="auto"/>
      </w:pPr>
      <w:r>
        <w:rPr>
          <w:rFonts w:ascii="Times New Roman" w:hAnsi="Times New Roman"/>
        </w:rPr>
        <w:t xml:space="preserve">S6. Abbreviations</w:t>
      </w:r>
    </w:p>
    <w:p>
      <w:pPr>
        <w:pStyle w:val="FirstParagraph"/>
        <w:spacing w:line="360" w:lineRule="auto"/>
      </w:pPr>
      <w:r>
        <w:rPr>
          <w:rFonts w:ascii="Times New Roman" w:hAnsi="Times New Roman"/>
        </w:rPr>
        <w:t xml:space="preserve">DDI, drug-drug interaction; LLM, large language model; BM25, Best Matching 25; CI, confidence interval; SD, standard deviation; KG, knowledge graph; L1/L2/L3, cascade layers; G19, gate 19 hard constraint; κ, Cohen’s kappa.</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2026-08-26T16:00:29Z</dcterms:created>
  <dcterms:modified xsi:type="dcterms:W3CDTF">2026-08-26T16:00:29Z</dcterms:modified>
</cp:coreProperties>
</file>

<file path=docProps/custom.xml><?xml version="1.0" encoding="utf-8"?>
<Properties xmlns="http://schemas.openxmlformats.org/officeDocument/2006/custom-properties" xmlns:vt="http://schemas.openxmlformats.org/officeDocument/2006/docPropsVTypes"/>
</file>