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How far that assumption diverges from absorption-aware assessment at registry scale has not been quantified, and it is not known whether an evidence-graded assessment agrees with the judgment of prescribing clinicians.</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carrying at least one source record; an absorption-scaled class matrix; a hard-constraint layer), covering 113 ophthalmic and 232 systemic agents, and used it to compare three ways of assigning ophthalmic–systemic DDI risk. Against DDInter severity for all 1,933 registry-matched pairs, 75.3% were graded lower once absorption was modelled (346 downgraded from high; 18.0% of all pairs), and 80.5% of downgrades were attributable to low systemic absorption. On a 118-case literature-derived gold the cascade reached 0.907 exact accuracy (107/118; kappa 0.857) versus 0.415–0.737 for three LLM baselines, with significant McNemar tests. On a semi-independent 92-case audit set it reached 0.674 accuracy but the lowest high-risk sensitivity of the four methods (0.320, 8 of 25). Two independent ophthalmologists reviewed the assigned grades for 12 cases with both the proposed gold and the system grade visible, agreed closely with each other (kappa 0.846), and yet did not endorse most grades, placing a consistent one-tier divergence between their clinical judgment and the evidence-graded assessment; because the system reproduced its gold on all 12 cases, this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naive keyword retrieval (BM25) degraded accuracy below the plain-LLM baseline in this domain [20], while graph-based retrieval (LightRAG) provided measurable but incomplete gains [21].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347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study team comprises the two named authors, both clinicians,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citation-verified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39"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0.174, with a kappa gap of 0.261, indicating that the deterministic knowledge engineering contributed more than retrieval augmentation alone. Naive BM25 retrieval was consistently worse than the plain-LLM baseline, indicating that keyword retrieval injects noise in this domain.</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347 pairs downgraded from high (37 to medium, 315 to low; 18.0%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determinism-and-temperature-sensitivity"/>
    <w:p>
      <w:pPr>
        <w:pStyle w:val="Heading3"/>
        <w:spacing w:line="480" w:lineRule="auto"/>
      </w:pPr>
      <w:r>
        <w:rPr>
          <w:rFonts w:ascii="Times New Roman" w:hAnsi="Times New Roman"/>
          <w:b/>
        </w:rPr>
        <w:t xml:space="preserve">3.6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6"/>
    <w:bookmarkStart w:id="37" w:name="X914a3bd05d2c0ce9c9f6dde65cc59a344f8ad46"/>
    <w:p>
      <w:pPr>
        <w:pStyle w:val="Heading3"/>
        <w:spacing w:line="480" w:lineRule="auto"/>
      </w:pPr>
      <w:r>
        <w:rPr>
          <w:rFonts w:ascii="Times New Roman" w:hAnsi="Times New Roman"/>
          <w:b/>
        </w:rPr>
        <w:t xml:space="preserve">3.7 Expert grade review (two ophthalmologists, 12 cases)</w:t>
      </w:r>
    </w:p>
    <w:p>
      <w:pPr>
        <w:pStyle w:val="FirstParagraph"/>
        <w:spacing w:line="480" w:lineRule="auto"/>
      </w:pPr>
      <w:r>
        <w:rPr>
          <w:rFonts w:ascii="Times New Roman" w:hAnsi="Times New Roman"/>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7"/>
    <w:bookmarkStart w:id="38" w:name="limitations"/>
    <w:p>
      <w:pPr>
        <w:pStyle w:val="Heading3"/>
        <w:spacing w:line="480" w:lineRule="auto"/>
      </w:pPr>
      <w:r>
        <w:rPr>
          <w:rFonts w:ascii="Times New Roman" w:hAnsi="Times New Roman"/>
          <w:b/>
        </w:rPr>
        <w:t xml:space="preserve">3.8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8"/>
    <w:bookmarkEnd w:id="39"/>
    <w:bookmarkStart w:id="45" w:name="discussion"/>
    <w:p>
      <w:pPr>
        <w:pStyle w:val="Heading2"/>
        <w:spacing w:line="480" w:lineRule="auto"/>
      </w:pPr>
      <w:r>
        <w:rPr>
          <w:rFonts w:ascii="Times New Roman" w:hAnsi="Times New Roman"/>
          <w:b/>
        </w:rPr>
        <w:t xml:space="preserve">4. Discussion</w:t>
      </w:r>
    </w:p>
    <w:bookmarkStart w:id="40"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0"/>
    <w:bookmarkStart w:id="41"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 In the 1,933-pair DDInter audit (Section 3.4), 75.3% of matched pairs were graded lower by the system, including 347 pairs downgraded from high (18.0%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naive keyword retrieval (BM25) degraded accuracy below the plain-LLM baseline in this domain, and the graph-context baseline (named lightrag; Section 2.4) captured only part of the gain; both effects held even though all LLM baselines received an identical system prompt containing the key absorption facts.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1"/>
    <w:bookmarkStart w:id="42"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2"/>
    <w:bookmarkStart w:id="43"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3"/>
    <w:bookmarkStart w:id="44"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4"/>
    <w:bookmarkEnd w:id="45"/>
    <w:bookmarkStart w:id="46"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6"/>
    <w:bookmarkStart w:id="47"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7"/>
    <w:bookmarkStart w:id="56" w:name="declarations"/>
    <w:p>
      <w:pPr>
        <w:pStyle w:val="Heading2"/>
        <w:spacing w:line="480" w:lineRule="auto"/>
      </w:pPr>
      <w:r>
        <w:rPr>
          <w:rFonts w:ascii="Times New Roman" w:hAnsi="Times New Roman"/>
          <w:b/>
        </w:rPr>
        <w:t xml:space="preserve">Declarations</w:t>
      </w:r>
    </w:p>
    <w:bookmarkStart w:id="48"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8"/>
    <w:bookmarkStart w:id="49"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49"/>
    <w:bookmarkStart w:id="50"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0"/>
    <w:bookmarkStart w:id="51"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1"/>
    <w:bookmarkStart w:id="52"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2"/>
    <w:bookmarkStart w:id="53"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Yi X: Conceptualization, Supervision, Project administration, Funding acquisition, Resources, Writing - review &amp; editing. All authors contributed to the article and approved the submitted version.</w:t>
      </w:r>
    </w:p>
    <w:bookmarkEnd w:id="53"/>
    <w:bookmarkStart w:id="54"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4"/>
    <w:bookmarkStart w:id="55"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5"/>
    <w:bookmarkEnd w:id="56"/>
    <w:bookmarkStart w:id="57"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70"/>
        <w:gridCol w:w="1170"/>
        <w:gridCol w:w="1170"/>
        <w:gridCol w:w="1170"/>
        <w:gridCol w:w="1170"/>
        <w:gridCol w:w="1170"/>
        <w:gridCol w:w="1170"/>
        <w:gridCol w:w="1170"/>
      </w:tblGrid>
      <w:tr>
        <w:tc>
          <w:tcPr>
            <w:tcW w:type="dxa" w:w="1170"/>
          </w:tcPr>
          <w:p>
            <w:pPr>
              <w:spacing w:line="240" w:lineRule="auto"/>
            </w:pPr>
            <w:r>
              <w:rPr>
                <w:rFonts w:ascii="Times New Roman" w:hAnsi="Times New Roman"/>
                <w:b/>
                <w:sz w:val="18"/>
              </w:rPr>
              <w:t>dataset_id</w:t>
            </w:r>
          </w:p>
        </w:tc>
        <w:tc>
          <w:tcPr>
            <w:tcW w:type="dxa" w:w="1170"/>
          </w:tcPr>
          <w:p>
            <w:pPr>
              <w:spacing w:line="240" w:lineRule="auto"/>
            </w:pPr>
            <w:r>
              <w:rPr>
                <w:rFonts w:ascii="Times New Roman" w:hAnsi="Times New Roman"/>
                <w:b/>
                <w:sz w:val="18"/>
              </w:rPr>
              <w:t>method</w:t>
            </w:r>
          </w:p>
        </w:tc>
        <w:tc>
          <w:tcPr>
            <w:tcW w:type="dxa" w:w="1170"/>
          </w:tcPr>
          <w:p>
            <w:pPr>
              <w:spacing w:line="240" w:lineRule="auto"/>
            </w:pPr>
            <w:r>
              <w:rPr>
                <w:rFonts w:ascii="Times New Roman" w:hAnsi="Times New Roman"/>
                <w:b/>
                <w:sz w:val="18"/>
              </w:rPr>
              <w:t>n</w:t>
            </w:r>
          </w:p>
        </w:tc>
        <w:tc>
          <w:tcPr>
            <w:tcW w:type="dxa" w:w="1170"/>
          </w:tcPr>
          <w:p>
            <w:pPr>
              <w:spacing w:line="240" w:lineRule="auto"/>
            </w:pPr>
            <w:r>
              <w:rPr>
                <w:rFonts w:ascii="Times New Roman" w:hAnsi="Times New Roman"/>
                <w:b/>
                <w:sz w:val="18"/>
              </w:rPr>
              <w:t>sensitivity_high</w:t>
            </w:r>
          </w:p>
        </w:tc>
        <w:tc>
          <w:tcPr>
            <w:tcW w:type="dxa" w:w="1170"/>
          </w:tcPr>
          <w:p>
            <w:pPr>
              <w:spacing w:line="240" w:lineRule="auto"/>
            </w:pPr>
            <w:r>
              <w:rPr>
                <w:rFonts w:ascii="Times New Roman" w:hAnsi="Times New Roman"/>
                <w:b/>
                <w:sz w:val="18"/>
              </w:rPr>
              <w:t>specificity_high</w:t>
            </w:r>
          </w:p>
        </w:tc>
        <w:tc>
          <w:tcPr>
            <w:tcW w:type="dxa" w:w="1170"/>
          </w:tcPr>
          <w:p>
            <w:pPr>
              <w:spacing w:line="240" w:lineRule="auto"/>
            </w:pPr>
            <w:r>
              <w:rPr>
                <w:rFonts w:ascii="Times New Roman" w:hAnsi="Times New Roman"/>
                <w:b/>
                <w:sz w:val="18"/>
              </w:rPr>
              <w:t>f1_high</w:t>
            </w:r>
          </w:p>
        </w:tc>
        <w:tc>
          <w:tcPr>
            <w:tcW w:type="dxa" w:w="1170"/>
          </w:tcPr>
          <w:p>
            <w:pPr>
              <w:spacing w:line="240" w:lineRule="auto"/>
            </w:pPr>
            <w:r>
              <w:rPr>
                <w:rFonts w:ascii="Times New Roman" w:hAnsi="Times New Roman"/>
                <w:b/>
                <w:sz w:val="18"/>
              </w:rPr>
              <w:t>accuracy_3level</w:t>
            </w:r>
          </w:p>
        </w:tc>
        <w:tc>
          <w:tcPr>
            <w:tcW w:type="dxa" w:w="1170"/>
          </w:tcPr>
          <w:p>
            <w:pPr>
              <w:spacing w:line="240" w:lineRule="auto"/>
            </w:pPr>
            <w:r>
              <w:rPr>
                <w:rFonts w:ascii="Times New Roman" w:hAnsi="Times New Roman"/>
                <w:b/>
                <w:sz w:val="18"/>
              </w:rPr>
              <w:t>cohens_kappa</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pure_llm</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0.771</w:t>
            </w:r>
          </w:p>
        </w:tc>
        <w:tc>
          <w:tcPr>
            <w:tcW w:type="dxa" w:w="1170"/>
          </w:tcPr>
          <w:p>
            <w:pPr>
              <w:spacing w:line="240" w:lineRule="auto"/>
            </w:pPr>
            <w:r>
              <w:rPr>
                <w:rFonts w:ascii="Times New Roman" w:hAnsi="Times New Roman"/>
                <w:sz w:val="18"/>
              </w:rPr>
              <w:t>0.542</w:t>
            </w:r>
          </w:p>
        </w:tc>
        <w:tc>
          <w:tcPr>
            <w:tcW w:type="dxa" w:w="1170"/>
          </w:tcPr>
          <w:p>
            <w:pPr>
              <w:spacing w:line="240" w:lineRule="auto"/>
            </w:pPr>
            <w:r>
              <w:rPr>
                <w:rFonts w:ascii="Times New Roman" w:hAnsi="Times New Roman"/>
                <w:sz w:val="18"/>
              </w:rPr>
              <w:t>0.476</w:t>
            </w:r>
          </w:p>
        </w:tc>
        <w:tc>
          <w:tcPr>
            <w:tcW w:type="dxa" w:w="1170"/>
          </w:tcPr>
          <w:p>
            <w:pPr>
              <w:spacing w:line="240" w:lineRule="auto"/>
            </w:pPr>
            <w:r>
              <w:rPr>
                <w:rFonts w:ascii="Times New Roman" w:hAnsi="Times New Roman"/>
                <w:sz w:val="18"/>
              </w:rPr>
              <w:t>0.475</w:t>
            </w:r>
          </w:p>
        </w:tc>
        <w:tc>
          <w:tcPr>
            <w:tcW w:type="dxa" w:w="1170"/>
          </w:tcPr>
          <w:p>
            <w:pPr>
              <w:spacing w:line="240" w:lineRule="auto"/>
            </w:pPr>
            <w:r>
              <w:rPr>
                <w:rFonts w:ascii="Times New Roman" w:hAnsi="Times New Roman"/>
                <w:sz w:val="18"/>
              </w:rPr>
              <w:t>0.256</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naive_rag</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0.757</w:t>
            </w:r>
          </w:p>
        </w:tc>
        <w:tc>
          <w:tcPr>
            <w:tcW w:type="dxa" w:w="1170"/>
          </w:tcPr>
          <w:p>
            <w:pPr>
              <w:spacing w:line="240" w:lineRule="auto"/>
            </w:pPr>
            <w:r>
              <w:rPr>
                <w:rFonts w:ascii="Times New Roman" w:hAnsi="Times New Roman"/>
                <w:sz w:val="18"/>
              </w:rPr>
              <w:t>0.462</w:t>
            </w:r>
          </w:p>
        </w:tc>
        <w:tc>
          <w:tcPr>
            <w:tcW w:type="dxa" w:w="1170"/>
          </w:tcPr>
          <w:p>
            <w:pPr>
              <w:spacing w:line="240" w:lineRule="auto"/>
            </w:pPr>
            <w:r>
              <w:rPr>
                <w:rFonts w:ascii="Times New Roman" w:hAnsi="Times New Roman"/>
                <w:sz w:val="18"/>
              </w:rPr>
              <w:t>0.434</w:t>
            </w:r>
          </w:p>
        </w:tc>
        <w:tc>
          <w:tcPr>
            <w:tcW w:type="dxa" w:w="1170"/>
          </w:tcPr>
          <w:p>
            <w:pPr>
              <w:spacing w:line="240" w:lineRule="auto"/>
            </w:pPr>
            <w:r>
              <w:rPr>
                <w:rFonts w:ascii="Times New Roman" w:hAnsi="Times New Roman"/>
                <w:sz w:val="18"/>
              </w:rPr>
              <w:t>0.415</w:t>
            </w:r>
          </w:p>
        </w:tc>
        <w:tc>
          <w:tcPr>
            <w:tcW w:type="dxa" w:w="1170"/>
          </w:tcPr>
          <w:p>
            <w:pPr>
              <w:spacing w:line="240" w:lineRule="auto"/>
            </w:pPr>
            <w:r>
              <w:rPr>
                <w:rFonts w:ascii="Times New Roman" w:hAnsi="Times New Roman"/>
                <w:sz w:val="18"/>
              </w:rPr>
              <w:t>0.182</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lightrag</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0.779</w:t>
            </w:r>
          </w:p>
        </w:tc>
        <w:tc>
          <w:tcPr>
            <w:tcW w:type="dxa" w:w="1170"/>
          </w:tcPr>
          <w:p>
            <w:pPr>
              <w:spacing w:line="240" w:lineRule="auto"/>
            </w:pPr>
            <w:r>
              <w:rPr>
                <w:rFonts w:ascii="Times New Roman" w:hAnsi="Times New Roman"/>
                <w:sz w:val="18"/>
              </w:rPr>
              <w:t>0.936</w:t>
            </w:r>
          </w:p>
        </w:tc>
        <w:tc>
          <w:tcPr>
            <w:tcW w:type="dxa" w:w="1170"/>
          </w:tcPr>
          <w:p>
            <w:pPr>
              <w:spacing w:line="240" w:lineRule="auto"/>
            </w:pPr>
            <w:r>
              <w:rPr>
                <w:rFonts w:ascii="Times New Roman" w:hAnsi="Times New Roman"/>
                <w:sz w:val="18"/>
              </w:rPr>
              <w:t>0.785</w:t>
            </w:r>
          </w:p>
        </w:tc>
        <w:tc>
          <w:tcPr>
            <w:tcW w:type="dxa" w:w="1170"/>
          </w:tcPr>
          <w:p>
            <w:pPr>
              <w:spacing w:line="240" w:lineRule="auto"/>
            </w:pPr>
            <w:r>
              <w:rPr>
                <w:rFonts w:ascii="Times New Roman" w:hAnsi="Times New Roman"/>
                <w:sz w:val="18"/>
              </w:rPr>
              <w:t>0.737</w:t>
            </w:r>
          </w:p>
        </w:tc>
        <w:tc>
          <w:tcPr>
            <w:tcW w:type="dxa" w:w="1170"/>
          </w:tcPr>
          <w:p>
            <w:pPr>
              <w:spacing w:line="240" w:lineRule="auto"/>
            </w:pPr>
            <w:r>
              <w:rPr>
                <w:rFonts w:ascii="Times New Roman" w:hAnsi="Times New Roman"/>
                <w:sz w:val="18"/>
              </w:rPr>
              <w:t>0.603</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full_system</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0.964</w:t>
            </w:r>
          </w:p>
        </w:tc>
        <w:tc>
          <w:tcPr>
            <w:tcW w:type="dxa" w:w="1170"/>
          </w:tcPr>
          <w:p>
            <w:pPr>
              <w:spacing w:line="240" w:lineRule="auto"/>
            </w:pPr>
            <w:r>
              <w:rPr>
                <w:rFonts w:ascii="Times New Roman" w:hAnsi="Times New Roman"/>
                <w:sz w:val="18"/>
              </w:rPr>
              <w:t>0.989</w:t>
            </w:r>
          </w:p>
        </w:tc>
        <w:tc>
          <w:tcPr>
            <w:tcW w:type="dxa" w:w="1170"/>
          </w:tcPr>
          <w:p>
            <w:pPr>
              <w:spacing w:line="240" w:lineRule="auto"/>
            </w:pPr>
            <w:r>
              <w:rPr>
                <w:rFonts w:ascii="Times New Roman" w:hAnsi="Times New Roman"/>
                <w:sz w:val="18"/>
              </w:rPr>
              <w:t>0.964</w:t>
            </w:r>
          </w:p>
        </w:tc>
        <w:tc>
          <w:tcPr>
            <w:tcW w:type="dxa" w:w="1170"/>
          </w:tcPr>
          <w:p>
            <w:pPr>
              <w:spacing w:line="240" w:lineRule="auto"/>
            </w:pPr>
            <w:r>
              <w:rPr>
                <w:rFonts w:ascii="Times New Roman" w:hAnsi="Times New Roman"/>
                <w:sz w:val="18"/>
              </w:rPr>
              <w:t>0.907</w:t>
            </w:r>
          </w:p>
        </w:tc>
        <w:tc>
          <w:tcPr>
            <w:tcW w:type="dxa" w:w="1170"/>
          </w:tcPr>
          <w:p>
            <w:pPr>
              <w:spacing w:line="240" w:lineRule="auto"/>
            </w:pPr>
            <w:r>
              <w:rPr>
                <w:rFonts w:ascii="Times New Roman" w:hAnsi="Times New Roman"/>
                <w:sz w:val="18"/>
              </w:rPr>
              <w:t>0.857</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pure_llm</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0.848</w:t>
            </w:r>
          </w:p>
        </w:tc>
        <w:tc>
          <w:tcPr>
            <w:tcW w:type="dxa" w:w="1170"/>
          </w:tcPr>
          <w:p>
            <w:pPr>
              <w:spacing w:line="240" w:lineRule="auto"/>
            </w:pPr>
            <w:r>
              <w:rPr>
                <w:rFonts w:ascii="Times New Roman" w:hAnsi="Times New Roman"/>
                <w:sz w:val="18"/>
              </w:rPr>
              <w:t>0.704</w:t>
            </w:r>
          </w:p>
        </w:tc>
        <w:tc>
          <w:tcPr>
            <w:tcW w:type="dxa" w:w="1170"/>
          </w:tcPr>
          <w:p>
            <w:pPr>
              <w:spacing w:line="240" w:lineRule="auto"/>
            </w:pPr>
            <w:r>
              <w:rPr>
                <w:rFonts w:ascii="Times New Roman" w:hAnsi="Times New Roman"/>
                <w:sz w:val="18"/>
              </w:rPr>
              <w:t>0.642</w:t>
            </w:r>
          </w:p>
        </w:tc>
        <w:tc>
          <w:tcPr>
            <w:tcW w:type="dxa" w:w="1170"/>
          </w:tcPr>
          <w:p>
            <w:pPr>
              <w:spacing w:line="240" w:lineRule="auto"/>
            </w:pPr>
            <w:r>
              <w:rPr>
                <w:rFonts w:ascii="Times New Roman" w:hAnsi="Times New Roman"/>
                <w:sz w:val="18"/>
              </w:rPr>
              <w:t>0.630</w:t>
            </w:r>
          </w:p>
        </w:tc>
        <w:tc>
          <w:tcPr>
            <w:tcW w:type="dxa" w:w="1170"/>
          </w:tcPr>
          <w:p>
            <w:pPr>
              <w:spacing w:line="240" w:lineRule="auto"/>
            </w:pPr>
            <w:r>
              <w:rPr>
                <w:rFonts w:ascii="Times New Roman" w:hAnsi="Times New Roman"/>
                <w:sz w:val="18"/>
              </w:rPr>
              <w:t>0.396</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naive_rag</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0.848</w:t>
            </w:r>
          </w:p>
        </w:tc>
        <w:tc>
          <w:tcPr>
            <w:tcW w:type="dxa" w:w="1170"/>
          </w:tcPr>
          <w:p>
            <w:pPr>
              <w:spacing w:line="240" w:lineRule="auto"/>
            </w:pPr>
            <w:r>
              <w:rPr>
                <w:rFonts w:ascii="Times New Roman" w:hAnsi="Times New Roman"/>
                <w:sz w:val="18"/>
              </w:rPr>
              <w:t>0.579</w:t>
            </w:r>
          </w:p>
        </w:tc>
        <w:tc>
          <w:tcPr>
            <w:tcW w:type="dxa" w:w="1170"/>
          </w:tcPr>
          <w:p>
            <w:pPr>
              <w:spacing w:line="240" w:lineRule="auto"/>
            </w:pPr>
            <w:r>
              <w:rPr>
                <w:rFonts w:ascii="Times New Roman" w:hAnsi="Times New Roman"/>
                <w:sz w:val="18"/>
              </w:rPr>
              <w:t>0.570</w:t>
            </w:r>
          </w:p>
        </w:tc>
        <w:tc>
          <w:tcPr>
            <w:tcW w:type="dxa" w:w="1170"/>
          </w:tcPr>
          <w:p>
            <w:pPr>
              <w:spacing w:line="240" w:lineRule="auto"/>
            </w:pPr>
            <w:r>
              <w:rPr>
                <w:rFonts w:ascii="Times New Roman" w:hAnsi="Times New Roman"/>
                <w:sz w:val="18"/>
              </w:rPr>
              <w:t>0.535</w:t>
            </w:r>
          </w:p>
        </w:tc>
        <w:tc>
          <w:tcPr>
            <w:tcW w:type="dxa" w:w="1170"/>
          </w:tcPr>
          <w:p>
            <w:pPr>
              <w:spacing w:line="240" w:lineRule="auto"/>
            </w:pPr>
            <w:r>
              <w:rPr>
                <w:rFonts w:ascii="Times New Roman" w:hAnsi="Times New Roman"/>
                <w:sz w:val="18"/>
              </w:rPr>
              <w:t>0.290</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lightrag</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0.264</w:t>
            </w:r>
          </w:p>
        </w:tc>
        <w:tc>
          <w:tcPr>
            <w:tcW w:type="dxa" w:w="1170"/>
          </w:tcPr>
          <w:p>
            <w:pPr>
              <w:spacing w:line="240" w:lineRule="auto"/>
            </w:pPr>
            <w:r>
              <w:rPr>
                <w:rFonts w:ascii="Times New Roman" w:hAnsi="Times New Roman"/>
                <w:sz w:val="18"/>
              </w:rPr>
              <w:t>0.949</w:t>
            </w:r>
          </w:p>
        </w:tc>
        <w:tc>
          <w:tcPr>
            <w:tcW w:type="dxa" w:w="1170"/>
          </w:tcPr>
          <w:p>
            <w:pPr>
              <w:spacing w:line="240" w:lineRule="auto"/>
            </w:pPr>
            <w:r>
              <w:rPr>
                <w:rFonts w:ascii="Times New Roman" w:hAnsi="Times New Roman"/>
                <w:sz w:val="18"/>
              </w:rPr>
              <w:t>0.377</w:t>
            </w:r>
          </w:p>
        </w:tc>
        <w:tc>
          <w:tcPr>
            <w:tcW w:type="dxa" w:w="1170"/>
          </w:tcPr>
          <w:p>
            <w:pPr>
              <w:spacing w:line="240" w:lineRule="auto"/>
            </w:pPr>
            <w:r>
              <w:rPr>
                <w:rFonts w:ascii="Times New Roman" w:hAnsi="Times New Roman"/>
                <w:sz w:val="18"/>
              </w:rPr>
              <w:t>0.591</w:t>
            </w:r>
          </w:p>
        </w:tc>
        <w:tc>
          <w:tcPr>
            <w:tcW w:type="dxa" w:w="1170"/>
          </w:tcPr>
          <w:p>
            <w:pPr>
              <w:spacing w:line="240" w:lineRule="auto"/>
            </w:pPr>
            <w:r>
              <w:rPr>
                <w:rFonts w:ascii="Times New Roman" w:hAnsi="Times New Roman"/>
                <w:sz w:val="18"/>
              </w:rPr>
              <w:t>0.220</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full_system</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0.320</w:t>
            </w:r>
          </w:p>
        </w:tc>
        <w:tc>
          <w:tcPr>
            <w:tcW w:type="dxa" w:w="1170"/>
          </w:tcPr>
          <w:p>
            <w:pPr>
              <w:spacing w:line="240" w:lineRule="auto"/>
            </w:pPr>
            <w:r>
              <w:rPr>
                <w:rFonts w:ascii="Times New Roman" w:hAnsi="Times New Roman"/>
                <w:sz w:val="18"/>
              </w:rPr>
              <w:t>0.955</w:t>
            </w:r>
          </w:p>
        </w:tc>
        <w:tc>
          <w:tcPr>
            <w:tcW w:type="dxa" w:w="1170"/>
          </w:tcPr>
          <w:p>
            <w:pPr>
              <w:spacing w:line="240" w:lineRule="auto"/>
            </w:pPr>
            <w:r>
              <w:rPr>
                <w:rFonts w:ascii="Times New Roman" w:hAnsi="Times New Roman"/>
                <w:sz w:val="18"/>
              </w:rPr>
              <w:t>0.444</w:t>
            </w:r>
          </w:p>
        </w:tc>
        <w:tc>
          <w:tcPr>
            <w:tcW w:type="dxa" w:w="1170"/>
          </w:tcPr>
          <w:p>
            <w:pPr>
              <w:spacing w:line="240" w:lineRule="auto"/>
            </w:pPr>
            <w:r>
              <w:rPr>
                <w:rFonts w:ascii="Times New Roman" w:hAnsi="Times New Roman"/>
                <w:sz w:val="18"/>
              </w:rPr>
              <w:t>0.674</w:t>
            </w:r>
          </w:p>
        </w:tc>
        <w:tc>
          <w:tcPr>
            <w:tcW w:type="dxa" w:w="1170"/>
          </w:tcPr>
          <w:p>
            <w:pPr>
              <w:spacing w:line="240" w:lineRule="auto"/>
            </w:pPr>
            <w:r>
              <w:rPr>
                <w:rFonts w:ascii="Times New Roman" w:hAnsi="Times New Roman"/>
                <w:sz w:val="18"/>
              </w:rPr>
              <w:t>0.428</w:t>
            </w:r>
          </w:p>
        </w:tc>
      </w:tr>
    </w:tbl>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3133380"/>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3133380"/>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7"/>
    <w:bookmarkEnd w:id="58"/>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2026-09-23T15:31:46Z</dcterms:created>
  <dcterms:modified xsi:type="dcterms:W3CDTF">2026-09-23T15:31:46Z</dcterms:modified>
</cp:coreProperties>
</file>

<file path=docProps/custom.xml><?xml version="1.0" encoding="utf-8"?>
<Properties xmlns="http://schemas.openxmlformats.org/officeDocument/2006/custom-properties" xmlns:vt="http://schemas.openxmlformats.org/officeDocument/2006/docPropsVTypes"/>
</file>