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How far that assumption diverges from absorption-aware assessment at registry scale has not been quantified, and it is not known whether an evidence-graded assessment agrees with the judgment of prescribing clinicians.</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carrying at least one source record; an absorption-scaled class matrix; a hard-constraint layer), covering 113 ophthalmic and 232 systemic agents, and used it to compare three ways of assigning ophthalmic–systemic DDI risk. Against DDInter severity for all 1,933 registry-matched pairs, 75.3% were graded lower once absorption was modelled (352 downgraded from high; 18.2% of all pairs), and 80.5% of downgrades were attributable to low systemic absorption. On a 118-case literature-derived gold the cascade reached 0.907 exact accuracy (107/118; kappa 0.857) versus 0.415–0.737 for three LLM baselines, with significant McNemar tests. When the baselines were re-run with a reasoning model and a 3000-token budget their label agreement rose (0.576–0.737) but high-risk sensitivity collapsed to 0.214–0.536 and specificity approached 1.000, because they adopt a conservative rarely-high-risk policy; the cascade retained 0.964 sensitivity. On a semi-independent 92-case audit set the cascade reached 0.674 accuracy with high-risk sensitivity 0.320 (8 of 25); the comparable figure free of the system’s own absorption assumption, restricted to the 62 cases kept at third-party severity, is 0.548 (34 of 62). One adequate-budget baseline scored higher on both (0.728 and 0.400), the single comparison in which a baseline outperforms the system. Two independent ophthalmologists reviewed the assigned grades for 12 cases with both the proposed gold and the system grade visible, agreed closely with each other (kappa 0.846), and yet did not endorse most grades, placing a consistent one-tier divergence between their clinical judgment and the evidence-graded assessment; because the system reproduced its gold on all 12 cases, this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v1.0-submission</w:t>
      </w:r>
      <w:r>
        <w:rPr>
          <w:rFonts w:ascii="Times New Roman" w:hAnsi="Times New Roman"/>
          <w:color w:val="C00000"/>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color w:val="C00000"/>
                <w:sz w:val="18"/>
              </w:rPr>
              <w:t>Kept cases (third-party-only)</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2026-09-23T18:43:45Z</dcterms:created>
  <dcterms:modified xsi:type="dcterms:W3CDTF">2026-09-23T18:43:45Z</dcterms:modified>
</cp:coreProperties>
</file>

<file path=docProps/custom.xml><?xml version="1.0" encoding="utf-8"?>
<Properties xmlns="http://schemas.openxmlformats.org/officeDocument/2006/custom-properties" xmlns:vt="http://schemas.openxmlformats.org/officeDocument/2006/docPropsVTypes"/>
</file>