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黑体" w:hAnsi="黑体" w:eastAsia="黑体"/>
          <w:b/>
          <w:sz w:val="36"/>
        </w:rPr>
        <w:t>一种面向隐私保护移动位置聚合的携证时空完整性验证方法及系统</w:t>
      </w:r>
    </w:p>
    <w:p>
      <w:pPr>
        <w:pStyle w:val="Heading1"/>
        <w:spacing w:before="200" w:after="120"/>
        <w:ind w:firstLine="0"/>
      </w:pPr>
      <w:r>
        <w:rPr>
          <w:rFonts w:ascii="黑体" w:hAnsi="黑体" w:eastAsia="黑体"/>
          <w:b/>
          <w:sz w:val="32"/>
        </w:rPr>
        <w:t>权利要求书</w:t>
      </w:r>
    </w:p>
    <w:p>
      <w:pPr>
        <w:spacing w:line="300" w:lineRule="auto" w:after="80"/>
        <w:ind w:firstLine="420"/>
      </w:pPr>
      <w:r>
        <w:rPr>
          <w:rFonts w:ascii="宋体" w:hAnsi="宋体" w:eastAsia="宋体"/>
          <w:b w:val="0"/>
          <w:sz w:val="24"/>
        </w:rPr>
        <w:t>1、一种面向隐私保护移动位置聚合的携证时空完整性验证方法，其特征在于，包括：获取用户终端在离散轮次内产生的移动位置数据及对应的时间轮次；对所述移动位置数据进行网格化编码，得到当前轮次的主格单元；基于注册认证结果、历史承诺链状态和混洗器签发的时间戳令牌，生成当前位置承诺、身份承诺、载荷绑定器以及承诺链更新值；在同一零知识证明电路中验证单步移动约束、滑动窗口锚距约束、网格编码约束以及证明与载荷的同主格绑定约束；混洗器在验证所述零知识证明、承诺链连续性和传输完整性摘要均通过后，将被接受的加密分片报告转发至至少两个互不共谋的聚合器；聚合器对被接受报告进行安全聚合，解码器对聚合结果执行差分隐私发布，输出隐私保护的位置热力图。</w:t>
      </w:r>
    </w:p>
    <w:p>
      <w:pPr>
        <w:spacing w:line="300" w:lineRule="auto" w:after="80"/>
        <w:ind w:firstLine="420"/>
      </w:pPr>
      <w:r>
        <w:rPr>
          <w:rFonts w:ascii="宋体" w:hAnsi="宋体" w:eastAsia="宋体"/>
          <w:b w:val="0"/>
          <w:sz w:val="24"/>
        </w:rPr>
        <w:t>2、根据权利要求1所述的方法，其特征在于，所述当前位置承诺为带盐位置承诺，用户终端对当前坐标和随机盐执行面向零知识电路优化的哈希运算，使服务端在不知道随机盐的情况下不能从承诺值恢复原始坐标。</w:t>
      </w:r>
    </w:p>
    <w:p>
      <w:pPr>
        <w:spacing w:line="300" w:lineRule="auto" w:after="80"/>
        <w:ind w:firstLine="420"/>
      </w:pPr>
      <w:r>
        <w:rPr>
          <w:rFonts w:ascii="宋体" w:hAnsi="宋体" w:eastAsia="宋体"/>
          <w:b w:val="0"/>
          <w:sz w:val="24"/>
        </w:rPr>
        <w:t>3、根据权利要求1所述的方法，其特征在于，所述承诺链将上一轮链值、当前位置承诺、时间戳槽、载荷绑定器、身份承诺和轮次索引共同写入同一哈希链更新式，并由混洗器检查上一接受链值和轮次单调性，以抵御历史报告重放。</w:t>
      </w:r>
    </w:p>
    <w:p>
      <w:pPr>
        <w:spacing w:line="300" w:lineRule="auto" w:after="80"/>
        <w:ind w:firstLine="420"/>
      </w:pPr>
      <w:r>
        <w:rPr>
          <w:rFonts w:ascii="宋体" w:hAnsi="宋体" w:eastAsia="宋体"/>
          <w:b w:val="0"/>
          <w:sz w:val="24"/>
        </w:rPr>
        <w:t>4、根据权利要求1所述的方法，其特征在于，所述滑动窗口锚距约束包括：验证当前位置相对于上一接受位置的平方位移不超过由速度级和时间间隔确定的单步上界，并验证当前位置相对于窗口锚点的平方距离不超过速度级窗口上界与公开策略上界中的较小者。</w:t>
      </w:r>
    </w:p>
    <w:p>
      <w:pPr>
        <w:spacing w:line="300" w:lineRule="auto" w:after="80"/>
        <w:ind w:firstLine="420"/>
      </w:pPr>
      <w:r>
        <w:rPr>
          <w:rFonts w:ascii="宋体" w:hAnsi="宋体" w:eastAsia="宋体"/>
          <w:b w:val="0"/>
          <w:sz w:val="24"/>
        </w:rPr>
        <w:t>5、根据权利要求1所述的方法，其特征在于，所述同主格绑定约束在同一零知识电路中从隐藏坐标推导主格单元索引，并验证该主格单元与发送至不同聚合器的分片承诺使用相同报告上下文，从而防止证明所对应的轨迹主格与密文载荷主格不一致。</w:t>
      </w:r>
    </w:p>
    <w:p>
      <w:pPr>
        <w:spacing w:line="300" w:lineRule="auto" w:after="80"/>
        <w:ind w:firstLine="420"/>
      </w:pPr>
      <w:r>
        <w:rPr>
          <w:rFonts w:ascii="宋体" w:hAnsi="宋体" w:eastAsia="宋体"/>
          <w:b w:val="0"/>
          <w:sz w:val="24"/>
        </w:rPr>
        <w:t>6、根据权利要求1所述的方法，其特征在于，用户终端在注册阶段向多个注册认证锚点提交注册请求，收集不少于阈值数量的有效签名后生成注册元组，并将初始位置承诺和速度级凭证纳入后续报告验证。</w:t>
      </w:r>
    </w:p>
    <w:p>
      <w:pPr>
        <w:spacing w:line="300" w:lineRule="auto" w:after="80"/>
        <w:ind w:firstLine="420"/>
      </w:pPr>
      <w:r>
        <w:rPr>
          <w:rFonts w:ascii="宋体" w:hAnsi="宋体" w:eastAsia="宋体"/>
          <w:b w:val="0"/>
          <w:sz w:val="24"/>
        </w:rPr>
        <w:t>7、根据权利要求1所述的方法，其特征在于，新注册用户或会话中断后的用户需经过预设轮数的热身验证；热身期间报告通过完整零知识验证并推进承诺链状态，但不进入聚合统计结果。</w:t>
      </w:r>
    </w:p>
    <w:p>
      <w:pPr>
        <w:spacing w:line="300" w:lineRule="auto" w:after="80"/>
        <w:ind w:firstLine="420"/>
      </w:pPr>
      <w:r>
        <w:rPr>
          <w:rFonts w:ascii="宋体" w:hAnsi="宋体" w:eastAsia="宋体"/>
          <w:b w:val="0"/>
          <w:sz w:val="24"/>
        </w:rPr>
        <w:t>8、根据权利要求1所述的方法，其特征在于，差分隐私发布步骤对被接受报告形成的一位热编码贡献向量进行裁剪、聚合和加噪，且完整性验证步骤位于差分隐私发布之前，不消耗差分隐私预算。</w:t>
      </w:r>
    </w:p>
    <w:p>
      <w:pPr>
        <w:spacing w:line="300" w:lineRule="auto" w:after="80"/>
        <w:ind w:firstLine="420"/>
      </w:pPr>
      <w:r>
        <w:rPr>
          <w:rFonts w:ascii="宋体" w:hAnsi="宋体" w:eastAsia="宋体"/>
          <w:b w:val="0"/>
          <w:sz w:val="24"/>
        </w:rPr>
        <w:t>9、根据权利要求1所述的方法，其特征在于，混洗器保存每个注册身份的上一接受链值、上一接受轮次、窗口锚点索引、热身状态、接受计数和拒绝计数，用于后续连续性检查和审计。</w:t>
      </w:r>
    </w:p>
    <w:p>
      <w:pPr>
        <w:spacing w:line="300" w:lineRule="auto" w:after="80"/>
        <w:ind w:firstLine="420"/>
      </w:pPr>
      <w:r>
        <w:rPr>
          <w:rFonts w:ascii="宋体" w:hAnsi="宋体" w:eastAsia="宋体"/>
          <w:b w:val="0"/>
          <w:sz w:val="24"/>
        </w:rPr>
        <w:t>10、一种面向隐私保护移动位置聚合的携证时空完整性验证系统，其特征在于，包括数据获取单元、注册认证单元、报告生成单元、零知识证明单元、混洗验证单元、安全聚合单元、差分隐私发布单元和审计单元；各单元被配置为执行权利要求1至9任一项所述的方法。</w:t>
      </w:r>
    </w:p>
    <w:p>
      <w:pPr>
        <w:sectPr>
          <w:pgSz w:w="11906" w:h="16838"/>
          <w:pgMar w:top="1247" w:right="1417" w:bottom="1134" w:left="1417" w:header="720" w:footer="720" w:gutter="0"/>
          <w:cols w:space="720"/>
          <w:docGrid w:linePitch="360"/>
        </w:sectPr>
      </w:pPr>
    </w:p>
    <w:p>
      <w:pPr>
        <w:pStyle w:val="Heading1"/>
        <w:spacing w:before="200" w:after="120"/>
        <w:ind w:firstLine="0"/>
      </w:pPr>
      <w:r>
        <w:rPr>
          <w:rFonts w:ascii="黑体" w:hAnsi="黑体" w:eastAsia="黑体"/>
          <w:b/>
          <w:sz w:val="32"/>
        </w:rPr>
        <w:t>说明书</w:t>
      </w:r>
    </w:p>
    <w:p>
      <w:pPr>
        <w:pStyle w:val="Heading2"/>
        <w:spacing w:before="120" w:after="120"/>
        <w:ind w:firstLine="0"/>
      </w:pPr>
      <w:r>
        <w:rPr>
          <w:rFonts w:ascii="黑体" w:hAnsi="黑体" w:eastAsia="黑体"/>
          <w:b/>
          <w:sz w:val="28"/>
        </w:rPr>
        <w:t>技术领域</w:t>
      </w:r>
    </w:p>
    <w:p>
      <w:pPr>
        <w:spacing w:line="300" w:lineRule="auto" w:after="80"/>
        <w:ind w:firstLine="420"/>
      </w:pPr>
      <w:r>
        <w:rPr>
          <w:rFonts w:ascii="宋体" w:hAnsi="宋体" w:eastAsia="宋体"/>
          <w:b w:val="0"/>
          <w:sz w:val="24"/>
        </w:rPr>
        <w:t>本发明涉及数据验证和隐私计算技术领域，尤其涉及一种面向隐私保护移动位置聚合的携证时空完整性验证方法及系统。</w:t>
      </w:r>
    </w:p>
    <w:p>
      <w:pPr>
        <w:pStyle w:val="Heading2"/>
        <w:spacing w:before="120" w:after="120"/>
        <w:ind w:firstLine="0"/>
      </w:pPr>
      <w:r>
        <w:rPr>
          <w:rFonts w:ascii="黑体" w:hAnsi="黑体" w:eastAsia="黑体"/>
          <w:b/>
          <w:sz w:val="28"/>
        </w:rPr>
        <w:t>背景技术</w:t>
      </w:r>
    </w:p>
    <w:p>
      <w:pPr>
        <w:spacing w:line="300" w:lineRule="auto" w:after="80"/>
        <w:ind w:firstLine="420"/>
      </w:pPr>
      <w:r>
        <w:rPr>
          <w:rFonts w:ascii="宋体" w:hAnsi="宋体" w:eastAsia="宋体"/>
          <w:b w:val="0"/>
          <w:sz w:val="24"/>
        </w:rPr>
        <w:t>移动互联网、车联网和城市物联网的发展使位置热力图成为交通规划、人群密度感知、公共资源调度和城市应急管理中的基础数据。该类应用依赖大量移动终端在连续时间轮次内产生的位置报告，但原始轨迹能够暴露家庭住址、工作地点、就医记录、出行规律等敏感信息，因而平台通常不能直接收集和长期保存原始坐标。</w:t>
      </w:r>
    </w:p>
    <w:p>
      <w:pPr>
        <w:spacing w:line="300" w:lineRule="auto" w:after="80"/>
        <w:ind w:firstLine="420"/>
      </w:pPr>
      <w:r>
        <w:rPr>
          <w:rFonts w:ascii="宋体" w:hAnsi="宋体" w:eastAsia="宋体"/>
          <w:b w:val="0"/>
          <w:sz w:val="24"/>
        </w:rPr>
        <w:t>现有隐私保护位置聚合方案主要包括本地差分隐私、洗牌式匿名分析以及安全多方聚合。上述方案能够降低单条报告暴露身份或坐标的风险，却通常只在单轮次内检查报告格式或载荷合法性，缺乏对同一用户跨轮报告的物理连续性验证。攻击者可利用该缺口发起传送攻击、渐进漂移攻击和重放攻击，使系统在不接触原始坐标的情况下仍然接收物理上不合理的连续报告。</w:t>
      </w:r>
    </w:p>
    <w:p>
      <w:pPr>
        <w:spacing w:line="300" w:lineRule="auto" w:after="80"/>
        <w:ind w:firstLine="420"/>
      </w:pPr>
      <w:r>
        <w:rPr>
          <w:rFonts w:ascii="宋体" w:hAnsi="宋体" w:eastAsia="宋体"/>
          <w:b w:val="0"/>
          <w:sz w:val="24"/>
        </w:rPr>
        <w:t>此外，零知识证明与聚合载荷在现有组合方案中往往相互独立：零知识证明证明的是隐藏轨迹满足某些约束，VDAF 或安全聚合载荷承载的是隐藏主格贡献，两者之间没有在同一电路陈述内强制使用同一主格。攻击者可以提交一份针对合法轨迹主格的证明，同时在密文载荷中写入另一目标主格的分片，形成证明-载荷替换旁路。该问题无法通过单独增强差分隐私机制或单独检查载荷格式解决。</w:t>
      </w:r>
    </w:p>
    <w:p>
      <w:pPr>
        <w:spacing w:line="300" w:lineRule="auto" w:after="80"/>
        <w:ind w:firstLine="420"/>
      </w:pPr>
      <w:r>
        <w:rPr>
          <w:rFonts w:ascii="宋体" w:hAnsi="宋体" w:eastAsia="宋体"/>
          <w:b w:val="0"/>
          <w:sz w:val="24"/>
        </w:rPr>
        <w:t>因此，亟需一种在不泄露原始坐标、不改变下游差分隐私语义的前提下，能够贯通数据获取、注册认证、跨轮完整性验证、载荷绑定、安全聚合和差分隐私发布的技术方案，使每份进入热力图统计的报告同时满足时空连续性、窗口漂移有界性和证明载荷一致性要求。</w:t>
      </w:r>
    </w:p>
    <w:p>
      <w:pPr>
        <w:pStyle w:val="Heading2"/>
        <w:spacing w:before="120" w:after="120"/>
        <w:ind w:firstLine="0"/>
      </w:pPr>
      <w:r>
        <w:rPr>
          <w:rFonts w:ascii="黑体" w:hAnsi="黑体" w:eastAsia="黑体"/>
          <w:b/>
          <w:sz w:val="28"/>
        </w:rPr>
        <w:t>发明内容</w:t>
      </w:r>
    </w:p>
    <w:p>
      <w:pPr>
        <w:spacing w:line="300" w:lineRule="auto" w:after="80"/>
        <w:ind w:firstLine="420"/>
      </w:pPr>
      <w:r>
        <w:rPr>
          <w:rFonts w:ascii="宋体" w:hAnsi="宋体" w:eastAsia="宋体"/>
          <w:b w:val="0"/>
          <w:sz w:val="24"/>
        </w:rPr>
        <w:t>为解决上述技术问题，本发明提供一种面向隐私保护移动位置聚合的携证时空完整性验证方法及系统。该方法以用户终端生成的移动位置数据为输入，以满足差分隐私的位置热力图为输出，在报告进入聚合统计之前，通过零知识证明和混洗器状态机共同验证报告的跨轮时空完整性。</w:t>
      </w:r>
    </w:p>
    <w:p>
      <w:pPr>
        <w:spacing w:line="300" w:lineRule="auto" w:after="80"/>
        <w:ind w:firstLine="420"/>
      </w:pPr>
      <w:r>
        <w:rPr>
          <w:rFonts w:ascii="宋体" w:hAnsi="宋体" w:eastAsia="宋体"/>
          <w:b w:val="0"/>
          <w:sz w:val="24"/>
        </w:rPr>
        <w:t>所述方法包括以下步骤：S1，获取用户终端在当前轮次采集的位置数据、时间轮次和系统公开参数；S2，对用户进行阈值注册认证并初始化身份承诺、初始位置承诺和承诺链状态；S3，将当前位置映射为主格单元，生成带盐位置承诺、四路载荷绑定器、传输完整性摘要和承诺链更新值；S4，根据上一接受位置、窗口锚点、速度级、时间间隔和策略上界构造 ADWC 谓词；S5，在同一零知识电路中验证位置承诺、单步移动、窗口锚距、模式成员资格、网格编码和同主格绑定约束；S6，混洗器验证证明、时间戳令牌、承诺链连续性和传输摘要，更新用户状态；S7，将通过验证的加密分片转发给互不共谋的聚合器，并由解码器生成聚合计数；S8，对聚合计数进行裁剪、阈值筛选和差分隐私加噪，发布隐私保护热力图及审计记录。</w:t>
      </w:r>
    </w:p>
    <w:p>
      <w:pPr>
        <w:spacing w:line="300" w:lineRule="auto" w:after="80"/>
        <w:ind w:firstLine="420"/>
      </w:pPr>
      <w:r>
        <w:rPr>
          <w:rFonts w:ascii="宋体" w:hAnsi="宋体" w:eastAsia="宋体"/>
          <w:b w:val="0"/>
          <w:sz w:val="24"/>
        </w:rPr>
        <w:t>本发明还提供相应系统，所述系统包括数据获取单元、注册认证单元、报告生成单元、零知识证明单元、混洗验证单元、安全聚合单元、差分隐私发布单元和审计单元。各单元按照上述步骤顺序协同，使数据从用户终端产生后，经验证、转发、聚合和发布形成闭环。</w:t>
      </w:r>
    </w:p>
    <w:p>
      <w:pPr>
        <w:spacing w:line="300" w:lineRule="auto" w:after="80"/>
        <w:ind w:firstLine="420"/>
      </w:pPr>
      <w:r>
        <w:rPr>
          <w:rFonts w:ascii="宋体" w:hAnsi="宋体" w:eastAsia="宋体"/>
          <w:b w:val="0"/>
          <w:sz w:val="24"/>
        </w:rPr>
        <w:t>本发明还提供一种计算机可读存储介质和终端设备，其中存储的指令由处理器执行时实现上述方法。</w:t>
      </w:r>
    </w:p>
    <w:p>
      <w:pPr>
        <w:pStyle w:val="Heading2"/>
        <w:spacing w:before="120" w:after="120"/>
        <w:ind w:firstLine="0"/>
      </w:pPr>
      <w:r>
        <w:rPr>
          <w:rFonts w:ascii="黑体" w:hAnsi="黑体" w:eastAsia="黑体"/>
          <w:b/>
          <w:sz w:val="28"/>
        </w:rPr>
        <w:t>有益效果</w:t>
      </w:r>
    </w:p>
    <w:p>
      <w:pPr>
        <w:spacing w:line="300" w:lineRule="auto" w:after="80"/>
        <w:ind w:firstLine="420"/>
      </w:pPr>
      <w:r>
        <w:rPr>
          <w:rFonts w:ascii="宋体" w:hAnsi="宋体" w:eastAsia="宋体"/>
          <w:b w:val="0"/>
          <w:sz w:val="24"/>
        </w:rPr>
        <w:t>第一，本发明在不暴露原始坐标的前提下，将跨轮承诺链、单步速度约束和滑动窗口锚距约束结合起来，使系统能够在零知识条件下识别物理上不合理的传送、重放和渐进漂移行为。与只检查单轮报告格式的方案相比，本发明把连续时间维度纳入可验证范围，能够保证进入聚合统计的报告具有可追溯的时空完整性。</w:t>
      </w:r>
    </w:p>
    <w:p>
      <w:pPr>
        <w:spacing w:line="300" w:lineRule="auto" w:after="80"/>
        <w:ind w:firstLine="420"/>
      </w:pPr>
      <w:r>
        <w:rPr>
          <w:rFonts w:ascii="宋体" w:hAnsi="宋体" w:eastAsia="宋体"/>
          <w:b w:val="0"/>
          <w:sz w:val="24"/>
        </w:rPr>
        <w:t>第二，本发明在同一零知识电路中从隐藏坐标推导主格单元，并将该主格单元与发送给不同聚合器的载荷绑定器强制关联，从而消除证明与密文载荷各自选择不同隐藏主格的旁路。该设计使证明对象和聚合对象在密码学语义上保持一致，防止攻击者用合法轨迹证明掩护错误载荷贡献。</w:t>
      </w:r>
    </w:p>
    <w:p>
      <w:pPr>
        <w:spacing w:line="300" w:lineRule="auto" w:after="80"/>
        <w:ind w:firstLine="420"/>
      </w:pPr>
      <w:r>
        <w:rPr>
          <w:rFonts w:ascii="宋体" w:hAnsi="宋体" w:eastAsia="宋体"/>
          <w:b w:val="0"/>
          <w:sz w:val="24"/>
        </w:rPr>
        <w:t>第三，本发明把完整性验证层设置在差分隐私发布层之前，完整性检查不消耗差分隐私预算，也不改变下游发布机制的隐私语义。系统可以与既有洗牌式分析、安全聚合和差分隐私热力图发布流程组合使用，并通过注册认证、热身控制和审计状态记录提供可部署、可核查的运行机制。</w:t>
      </w:r>
    </w:p>
    <w:p>
      <w:pPr>
        <w:pStyle w:val="Heading2"/>
        <w:spacing w:before="120" w:after="120"/>
        <w:ind w:firstLine="0"/>
      </w:pPr>
      <w:r>
        <w:rPr>
          <w:rFonts w:ascii="黑体" w:hAnsi="黑体" w:eastAsia="黑体"/>
          <w:b/>
          <w:sz w:val="28"/>
        </w:rPr>
        <w:t>附图说明</w:t>
      </w:r>
    </w:p>
    <w:p>
      <w:pPr>
        <w:spacing w:line="300" w:lineRule="auto" w:after="80"/>
      </w:pPr>
      <w:r>
        <w:rPr>
          <w:rFonts w:ascii="宋体" w:hAnsi="宋体" w:eastAsia="宋体"/>
          <w:b w:val="0"/>
          <w:sz w:val="24"/>
        </w:rPr>
        <w:t>图1是本发明实施例1的携证时空完整性验证方法流程示意图；</w:t>
      </w:r>
    </w:p>
    <w:p>
      <w:pPr>
        <w:spacing w:line="300" w:lineRule="auto" w:after="80"/>
      </w:pPr>
      <w:r>
        <w:rPr>
          <w:rFonts w:ascii="宋体" w:hAnsi="宋体" w:eastAsia="宋体"/>
          <w:b w:val="0"/>
          <w:sz w:val="24"/>
        </w:rPr>
        <w:t>图2是本发明实施例2的携证时空完整性验证系统结构示意图；</w:t>
      </w:r>
    </w:p>
    <w:p>
      <w:pPr>
        <w:spacing w:line="300" w:lineRule="auto" w:after="80"/>
      </w:pPr>
      <w:r>
        <w:rPr>
          <w:rFonts w:ascii="宋体" w:hAnsi="宋体" w:eastAsia="宋体"/>
          <w:b w:val="0"/>
          <w:sz w:val="24"/>
        </w:rPr>
        <w:t>图3是本发明实施例1中 ADWC 单步约束与窗口锚距约束的示意图；</w:t>
      </w:r>
    </w:p>
    <w:p>
      <w:pPr>
        <w:spacing w:line="300" w:lineRule="auto" w:after="80"/>
      </w:pPr>
      <w:r>
        <w:rPr>
          <w:rFonts w:ascii="宋体" w:hAnsi="宋体" w:eastAsia="宋体"/>
          <w:b w:val="0"/>
          <w:sz w:val="24"/>
        </w:rPr>
        <w:t>图4是本发明实施例1中证明-载荷同主格绑定的示意图；</w:t>
      </w:r>
    </w:p>
    <w:p>
      <w:pPr>
        <w:spacing w:line="300" w:lineRule="auto" w:after="80"/>
      </w:pPr>
      <w:r>
        <w:rPr>
          <w:rFonts w:ascii="宋体" w:hAnsi="宋体" w:eastAsia="宋体"/>
          <w:b w:val="0"/>
          <w:sz w:val="24"/>
        </w:rPr>
        <w:t>图5是本发明实验验证中消融实验、规模扩展、漂移防御和开销评估之间的关系示意图。</w:t>
      </w:r>
    </w:p>
    <w:p>
      <w:pPr>
        <w:pStyle w:val="Heading2"/>
        <w:spacing w:before="120" w:after="120"/>
        <w:ind w:firstLine="0"/>
      </w:pPr>
      <w:r>
        <w:rPr>
          <w:rFonts w:ascii="黑体" w:hAnsi="黑体" w:eastAsia="黑体"/>
          <w:b/>
          <w:sz w:val="28"/>
        </w:rPr>
        <w:t>具体实施方式</w:t>
      </w:r>
    </w:p>
    <w:p>
      <w:pPr>
        <w:spacing w:line="300" w:lineRule="auto" w:after="80"/>
        <w:ind w:firstLine="420"/>
      </w:pPr>
      <w:r>
        <w:rPr>
          <w:rFonts w:ascii="宋体" w:hAnsi="宋体" w:eastAsia="宋体"/>
          <w:b w:val="0"/>
          <w:sz w:val="24"/>
        </w:rPr>
        <w:t>以下结合附图对本发明作进一步详细说明。应当理解，以下实施例用于说明本发明，而非限定本发明的保护范围。</w:t>
      </w:r>
    </w:p>
    <w:p>
      <w:pPr>
        <w:pStyle w:val="Heading3"/>
        <w:spacing w:before="120" w:after="120"/>
        <w:ind w:firstLine="0"/>
      </w:pPr>
      <w:r>
        <w:rPr>
          <w:rFonts w:ascii="黑体" w:hAnsi="黑体" w:eastAsia="黑体"/>
          <w:b/>
          <w:sz w:val="28"/>
        </w:rPr>
        <w:t>实施例1：携证时空完整性验证方法</w:t>
      </w:r>
    </w:p>
    <w:p>
      <w:pPr>
        <w:spacing w:line="300" w:lineRule="auto" w:after="80"/>
        <w:ind w:firstLine="420"/>
      </w:pPr>
      <w:r>
        <w:rPr>
          <w:rFonts w:ascii="宋体" w:hAnsi="宋体" w:eastAsia="宋体"/>
          <w:b w:val="0"/>
          <w:sz w:val="24"/>
        </w:rPr>
        <w:t>参照图1，本实施例提供一种从位置数据获取到隐私热力图输出的顺序式方法。系统在离散轮次内运行，用户集合记为 U，网格集合记为 G，当前轮次记为 t，用户 u 在轮次 t 的私密坐标记为 (xᵤ,ₜ, yᵤ,ₜ)。</w:t>
      </w:r>
    </w:p>
    <w:p>
      <w:pPr>
        <w:spacing w:line="300" w:lineRule="auto" w:after="80"/>
      </w:pPr>
      <w:r>
        <w:rPr>
          <w:rFonts w:ascii="宋体" w:hAnsi="宋体" w:eastAsia="宋体"/>
          <w:b/>
          <w:sz w:val="24"/>
        </w:rPr>
        <w:t>S1，获取位置数据并完成网格化参数配置。</w:t>
      </w:r>
    </w:p>
    <w:p>
      <w:pPr>
        <w:spacing w:line="300" w:lineRule="auto" w:after="80"/>
        <w:ind w:firstLine="420"/>
      </w:pPr>
      <w:r>
        <w:rPr>
          <w:rFonts w:ascii="宋体" w:hAnsi="宋体" w:eastAsia="宋体"/>
          <w:b w:val="0"/>
          <w:sz w:val="24"/>
        </w:rPr>
        <w:t>用户终端在当前轮次采集定位模块输出的位置数据，所述位置数据至少包括经本地预处理后的二维坐标、采集时间、终端会话标识和可用速度级。系统将目标地理空间划分为规则网格，公开网格原点、单元边长、行列数量、轮次长度、速度级表和窗口参数。该步骤只确定后续编码规则，不向服务端暴露原始坐标。</w:t>
      </w:r>
    </w:p>
    <w:p>
      <w:pPr>
        <w:spacing w:line="300" w:lineRule="auto" w:after="80"/>
      </w:pPr>
      <w:r>
        <w:rPr>
          <w:rFonts w:ascii="宋体" w:hAnsi="宋体" w:eastAsia="宋体"/>
          <w:b/>
          <w:sz w:val="24"/>
        </w:rPr>
        <w:t>S2，进行注册认证并初始化跨轮状态。</w:t>
      </w:r>
    </w:p>
    <w:p>
      <w:pPr>
        <w:spacing w:line="300" w:lineRule="auto" w:after="80"/>
        <w:ind w:firstLine="420"/>
      </w:pPr>
      <w:r>
        <w:rPr>
          <w:rFonts w:ascii="宋体" w:hAnsi="宋体" w:eastAsia="宋体"/>
          <w:b w:val="0"/>
          <w:sz w:val="24"/>
        </w:rPr>
        <w:t>用户终端在首次参与前向多个注册认证锚点提交注册请求，获得不少于阈值数量的有效签名后形成注册元组。终端本地采样身份随机量和初始位置随机盐，生成身份承诺、初始位置承诺和初始承诺链值。混洗器保存该注册身份的上一接受链值、初始锚点索引、速度级凭证和热身计数。</w:t>
      </w:r>
    </w:p>
    <w:p>
      <w:pPr>
        <w:spacing w:line="300" w:lineRule="auto" w:after="80"/>
      </w:pPr>
      <w:r>
        <w:rPr>
          <w:rFonts w:ascii="宋体" w:hAnsi="宋体" w:eastAsia="宋体"/>
          <w:b/>
          <w:sz w:val="24"/>
        </w:rPr>
        <w:t>S3，生成当前位置承诺、载荷绑定器和报告上下文。</w:t>
      </w:r>
    </w:p>
    <w:p>
      <w:pPr>
        <w:spacing w:line="300" w:lineRule="auto" w:after="80"/>
        <w:ind w:firstLine="420"/>
      </w:pPr>
      <w:r>
        <w:rPr>
          <w:rFonts w:ascii="宋体" w:hAnsi="宋体" w:eastAsia="宋体"/>
          <w:b w:val="0"/>
          <w:sz w:val="24"/>
        </w:rPr>
        <w:t>在当前轮次，用户终端将私密坐标映射到主格单元，并对当前位置生成带盐承诺。终端根据主格单元生成发送给聚合器 A 和聚合器 R 的分片载荷，同时分别生成主格绑定器和内容绑定器。终端还请求混洗器签发时间戳令牌，使时间间隔由服务端控制，防止客户端通过虚报时间放宽速度约束。</w:t>
      </w:r>
    </w:p>
    <w:p>
      <w:pPr>
        <w:spacing w:line="300" w:lineRule="auto" w:after="80"/>
      </w:pPr>
      <w:r>
        <w:rPr>
          <w:rFonts w:ascii="宋体" w:hAnsi="宋体" w:eastAsia="宋体"/>
          <w:b/>
          <w:sz w:val="24"/>
        </w:rPr>
        <w:t>S4，构造 ADWC 谓词。</w:t>
      </w:r>
    </w:p>
    <w:p>
      <w:pPr>
        <w:spacing w:line="300" w:lineRule="auto" w:after="80"/>
        <w:ind w:firstLine="420"/>
      </w:pPr>
      <w:r>
        <w:rPr>
          <w:rFonts w:ascii="宋体" w:hAnsi="宋体" w:eastAsia="宋体"/>
          <w:b w:val="0"/>
          <w:sz w:val="24"/>
        </w:rPr>
        <w:t>终端读取上一接受位置承诺对应的见证、当前坐标见证和窗口锚点见证，计算单步平方位移和锚距平方位移。单步约束用于阻止瞬间传送，窗口锚距约束用于限制多轮渐进漂移。热身期与稳态期使用同一电路路径，区别仅在于是否将通过验证的报告计入聚合。</w:t>
      </w:r>
    </w:p>
    <w:p>
      <w:pPr>
        <w:spacing w:line="300" w:lineRule="auto" w:after="80"/>
      </w:pPr>
      <w:r>
        <w:rPr>
          <w:rFonts w:ascii="宋体" w:hAnsi="宋体" w:eastAsia="宋体"/>
          <w:b/>
          <w:sz w:val="24"/>
        </w:rPr>
        <w:t>S5，生成同一电路内的零知识证明。</w:t>
      </w:r>
    </w:p>
    <w:p>
      <w:pPr>
        <w:spacing w:line="300" w:lineRule="auto" w:after="80"/>
        <w:ind w:firstLine="420"/>
      </w:pPr>
      <w:r>
        <w:rPr>
          <w:rFonts w:ascii="宋体" w:hAnsi="宋体" w:eastAsia="宋体"/>
          <w:b w:val="0"/>
          <w:sz w:val="24"/>
        </w:rPr>
        <w:t>终端把位置承诺、身份承诺、模式承诺、时间间隔上界、载荷绑定器和传输摘要作为公开输入，把坐标、随机盐、主格单元开启值、分片摘要开启值和身份随机量作为私密见证，在同一零知识电路中生成证明。该电路同时验证 C1 至 C21 约束。</w:t>
      </w:r>
    </w:p>
    <w:p>
      <w:pPr>
        <w:spacing w:line="300" w:lineRule="auto" w:after="80"/>
      </w:pPr>
      <w:r>
        <w:rPr>
          <w:rFonts w:ascii="宋体" w:hAnsi="宋体" w:eastAsia="宋体"/>
          <w:b/>
          <w:sz w:val="24"/>
        </w:rPr>
        <w:t>S6，混洗器验证报告并更新状态。</w:t>
      </w:r>
    </w:p>
    <w:p>
      <w:pPr>
        <w:spacing w:line="300" w:lineRule="auto" w:after="80"/>
        <w:ind w:firstLine="420"/>
      </w:pPr>
      <w:r>
        <w:rPr>
          <w:rFonts w:ascii="宋体" w:hAnsi="宋体" w:eastAsia="宋体"/>
          <w:b w:val="0"/>
          <w:sz w:val="24"/>
        </w:rPr>
        <w:t>混洗器接收携证报告后，依次验证注册凭证、时间戳令牌、零知识证明、承诺链连续性、轮次单调性和传输完整性摘要。全部验证通过时，混洗器把上一接受链值更新为当前链值，并根据热身状态决定是否转发载荷；任一验证失败时拒绝报告并记录拒绝原因。</w:t>
      </w:r>
    </w:p>
    <w:p>
      <w:pPr>
        <w:spacing w:line="300" w:lineRule="auto" w:after="80"/>
      </w:pPr>
      <w:r>
        <w:rPr>
          <w:rFonts w:ascii="宋体" w:hAnsi="宋体" w:eastAsia="宋体"/>
          <w:b/>
          <w:sz w:val="24"/>
        </w:rPr>
        <w:t>S7，安全聚合被接受报告。</w:t>
      </w:r>
    </w:p>
    <w:p>
      <w:pPr>
        <w:spacing w:line="300" w:lineRule="auto" w:after="80"/>
        <w:ind w:firstLine="420"/>
      </w:pPr>
      <w:r>
        <w:rPr>
          <w:rFonts w:ascii="宋体" w:hAnsi="宋体" w:eastAsia="宋体"/>
          <w:b w:val="0"/>
          <w:sz w:val="24"/>
        </w:rPr>
        <w:t>对非热身且通过验证的报告，混洗器将对应加密分片分别转发给聚合器 A 和聚合器 R。两个聚合器只看到各自分片，不能单独恢复用户主格。解码器在聚合器输出的基础上恢复网格计数向量。</w:t>
      </w:r>
    </w:p>
    <w:p>
      <w:pPr>
        <w:spacing w:line="300" w:lineRule="auto" w:after="80"/>
      </w:pPr>
      <w:r>
        <w:rPr>
          <w:rFonts w:ascii="宋体" w:hAnsi="宋体" w:eastAsia="宋体"/>
          <w:b/>
          <w:sz w:val="24"/>
        </w:rPr>
        <w:t>S8，执行差分隐私发布并输出热力图。</w:t>
      </w:r>
    </w:p>
    <w:p>
      <w:pPr>
        <w:spacing w:line="300" w:lineRule="auto" w:after="80"/>
        <w:ind w:firstLine="420"/>
      </w:pPr>
      <w:r>
        <w:rPr>
          <w:rFonts w:ascii="宋体" w:hAnsi="宋体" w:eastAsia="宋体"/>
          <w:b w:val="0"/>
          <w:sz w:val="24"/>
        </w:rPr>
        <w:t>解码器对聚合计数进行贡献裁剪、阈值筛选和拉普拉斯噪声注入，生成满足差分隐私约束的热力图。审计单元记录每轮接受数量、拒绝数量、证明验证结果和隐私预算使用情况，但不记录用户原始坐标。</w:t>
      </w:r>
    </w:p>
    <w:p>
      <w:pPr>
        <w:pStyle w:val="Heading3"/>
        <w:spacing w:before="120" w:after="120"/>
        <w:ind w:firstLine="0"/>
      </w:pPr>
      <w:r>
        <w:rPr>
          <w:rFonts w:ascii="黑体" w:hAnsi="黑体" w:eastAsia="黑体"/>
          <w:b/>
          <w:sz w:val="28"/>
        </w:rPr>
        <w:t>关键计算过程和公式</w:t>
      </w:r>
    </w:p>
    <w:p>
      <w:pPr>
        <w:spacing w:line="300" w:lineRule="auto" w:after="80"/>
        <w:ind w:firstLine="420"/>
      </w:pPr>
      <w:r>
        <w:rPr>
          <w:rFonts w:ascii="宋体" w:hAnsi="宋体" w:eastAsia="宋体"/>
          <w:b w:val="0"/>
          <w:sz w:val="24"/>
        </w:rPr>
        <w:t>当前位置带盐承诺为：</w:t>
      </w:r>
    </w:p>
    <w:p>
      <w:pPr>
        <w:spacing w:before="40" w:after="120"/>
        <w:ind w:firstLine="0"/>
        <w:jc w:val="center"/>
      </w:pPr>
      <w:r>
        <w:rPr>
          <w:rFonts w:ascii="Cambria Math" w:hAnsi="Cambria Math" w:eastAsia="Cambria Math"/>
          <w:b w:val="0"/>
          <w:sz w:val="24"/>
        </w:rPr>
        <w:t>C_pos,t = Poseidon(x_t, y_t, rho_t)</w:t>
      </w:r>
    </w:p>
    <w:p>
      <w:pPr>
        <w:spacing w:line="300" w:lineRule="auto" w:after="80"/>
        <w:ind w:firstLine="420"/>
      </w:pPr>
      <w:r>
        <w:rPr>
          <w:rFonts w:ascii="宋体" w:hAnsi="宋体" w:eastAsia="宋体"/>
          <w:b w:val="0"/>
          <w:sz w:val="24"/>
        </w:rPr>
        <w:t>其中，x_t 和 y_t 为用户在轮次 t 的私密坐标，rho_t 为该轮随机盐，C_pos,t 为公开位置承诺。</w:t>
      </w:r>
    </w:p>
    <w:p>
      <w:pPr>
        <w:spacing w:line="300" w:lineRule="auto" w:after="80"/>
        <w:ind w:firstLine="420"/>
      </w:pPr>
      <w:r>
        <w:rPr>
          <w:rFonts w:ascii="宋体" w:hAnsi="宋体" w:eastAsia="宋体"/>
          <w:b w:val="0"/>
          <w:sz w:val="24"/>
        </w:rPr>
        <w:t>身份承诺为：</w:t>
      </w:r>
    </w:p>
    <w:p>
      <w:pPr>
        <w:spacing w:before="40" w:after="120"/>
        <w:ind w:firstLine="0"/>
        <w:jc w:val="center"/>
      </w:pPr>
      <w:r>
        <w:rPr>
          <w:rFonts w:ascii="Cambria Math" w:hAnsi="Cambria Math" w:eastAsia="Cambria Math"/>
          <w:b w:val="0"/>
          <w:sz w:val="24"/>
        </w:rPr>
        <w:t>C_id = Poseidon(uid, rho_id)</w:t>
      </w:r>
    </w:p>
    <w:p>
      <w:pPr>
        <w:spacing w:line="300" w:lineRule="auto" w:after="80"/>
        <w:ind w:firstLine="420"/>
      </w:pPr>
      <w:r>
        <w:rPr>
          <w:rFonts w:ascii="宋体" w:hAnsi="宋体" w:eastAsia="宋体"/>
          <w:b w:val="0"/>
          <w:sz w:val="24"/>
        </w:rPr>
        <w:t>其中，uid 为用户注册身份标识，rho_id 为身份随机量，C_id 用于绑定注册身份与后续报告。</w:t>
      </w:r>
    </w:p>
    <w:p>
      <w:pPr>
        <w:spacing w:before="40" w:after="120"/>
        <w:ind w:firstLine="0"/>
        <w:jc w:val="center"/>
      </w:pPr>
      <w:r>
        <w:rPr>
          <w:rFonts w:ascii="Cambria Math" w:hAnsi="Cambria Math" w:eastAsia="Cambria Math"/>
          <w:b w:val="0"/>
          <w:sz w:val="24"/>
        </w:rPr>
        <w:t>b_t = col_t + N_col · row_t</w:t>
      </w:r>
    </w:p>
    <w:p>
      <w:pPr>
        <w:spacing w:line="300" w:lineRule="auto" w:after="80"/>
        <w:ind w:firstLine="420"/>
      </w:pPr>
      <w:r>
        <w:rPr>
          <w:rFonts w:ascii="宋体" w:hAnsi="宋体" w:eastAsia="宋体"/>
          <w:b w:val="0"/>
          <w:sz w:val="24"/>
        </w:rPr>
        <w:t>主格单元索引计算为：</w:t>
      </w:r>
    </w:p>
    <w:p>
      <w:pPr>
        <w:spacing w:before="40" w:after="120"/>
        <w:ind w:firstLine="0"/>
        <w:jc w:val="center"/>
      </w:pPr>
      <w:r>
        <w:rPr>
          <w:rFonts w:ascii="Cambria Math" w:hAnsi="Cambria Math" w:eastAsia="Cambria Math"/>
          <w:b w:val="0"/>
          <w:sz w:val="24"/>
        </w:rPr>
        <w:t>col_t = floor((x_t − x_0) / g)，row_t = floor((y_t − y_0) / g)</w:t>
      </w:r>
    </w:p>
    <w:p>
      <w:pPr>
        <w:spacing w:line="300" w:lineRule="auto" w:after="80"/>
        <w:ind w:firstLine="420"/>
      </w:pPr>
      <w:r>
        <w:rPr>
          <w:rFonts w:ascii="宋体" w:hAnsi="宋体" w:eastAsia="宋体"/>
          <w:b w:val="0"/>
          <w:sz w:val="24"/>
        </w:rPr>
        <w:t>其中，g 为网格单元边长，(x_0, y_0) 为网格原点，N_col 为网格列数，b_t 为当前位置对应的主格单元。</w:t>
      </w:r>
    </w:p>
    <w:p>
      <w:pPr>
        <w:spacing w:line="300" w:lineRule="auto" w:after="80"/>
        <w:ind w:firstLine="420"/>
      </w:pPr>
      <w:r>
        <w:rPr>
          <w:rFonts w:ascii="宋体" w:hAnsi="宋体" w:eastAsia="宋体"/>
          <w:b w:val="0"/>
          <w:sz w:val="24"/>
        </w:rPr>
        <w:t>单步移动约束为：</w:t>
      </w:r>
    </w:p>
    <w:p>
      <w:pPr>
        <w:spacing w:before="40" w:after="120"/>
        <w:ind w:firstLine="0"/>
        <w:jc w:val="center"/>
      </w:pPr>
      <w:r>
        <w:rPr>
          <w:rFonts w:ascii="Cambria Math" w:hAnsi="Cambria Math" w:eastAsia="Cambria Math"/>
          <w:b w:val="0"/>
          <w:sz w:val="24"/>
        </w:rPr>
        <w:t>d_step,t² = (x_t − x_t−1)² + (y_t − y_t−1)² ≤ v_tau² · Delta_t²</w:t>
      </w:r>
    </w:p>
    <w:p>
      <w:pPr>
        <w:spacing w:line="300" w:lineRule="auto" w:after="80"/>
        <w:ind w:firstLine="420"/>
      </w:pPr>
      <w:r>
        <w:rPr>
          <w:rFonts w:ascii="宋体" w:hAnsi="宋体" w:eastAsia="宋体"/>
          <w:b w:val="0"/>
          <w:sz w:val="24"/>
        </w:rPr>
        <w:t>其中，v_tau 为速度级 tau 对应的最大速度，Delta_t 为混洗器签发的轮次间隔。</w:t>
      </w:r>
    </w:p>
    <w:p>
      <w:pPr>
        <w:spacing w:before="40" w:after="120"/>
        <w:ind w:firstLine="0"/>
        <w:jc w:val="center"/>
      </w:pPr>
      <w:r>
        <w:rPr>
          <w:rFonts w:ascii="Cambria Math" w:hAnsi="Cambria Math" w:eastAsia="Cambria Math"/>
          <w:b w:val="0"/>
          <w:sz w:val="24"/>
        </w:rPr>
        <w:t>a(t) = max(0, t − K)</w:t>
      </w:r>
    </w:p>
    <w:p>
      <w:pPr>
        <w:spacing w:line="300" w:lineRule="auto" w:after="80"/>
        <w:ind w:firstLine="420"/>
      </w:pPr>
      <w:r>
        <w:rPr>
          <w:rFonts w:ascii="宋体" w:hAnsi="宋体" w:eastAsia="宋体"/>
          <w:b w:val="0"/>
          <w:sz w:val="24"/>
        </w:rPr>
        <w:t>窗口锚点和锚距计算为：</w:t>
      </w:r>
    </w:p>
    <w:p>
      <w:pPr>
        <w:spacing w:before="40" w:after="120"/>
        <w:ind w:firstLine="0"/>
        <w:jc w:val="center"/>
      </w:pPr>
      <w:r>
        <w:rPr>
          <w:rFonts w:ascii="Cambria Math" w:hAnsi="Cambria Math" w:eastAsia="Cambria Math"/>
          <w:b w:val="0"/>
          <w:sz w:val="24"/>
        </w:rPr>
        <w:t>d_anchor,t² = (x_t − x_a(t))² + (y_t − y_a(t))²</w:t>
      </w:r>
    </w:p>
    <w:p>
      <w:pPr>
        <w:spacing w:before="40" w:after="120"/>
        <w:ind w:firstLine="0"/>
        <w:jc w:val="center"/>
      </w:pPr>
      <w:r>
        <w:rPr>
          <w:rFonts w:ascii="Cambria Math" w:hAnsi="Cambria Math" w:eastAsia="Cambria Math"/>
          <w:b w:val="0"/>
          <w:sz w:val="24"/>
        </w:rPr>
        <w:t>d_anchor,t² ≤ B_t</w:t>
      </w:r>
    </w:p>
    <w:p>
      <w:pPr>
        <w:spacing w:line="300" w:lineRule="auto" w:after="80"/>
        <w:ind w:firstLine="420"/>
      </w:pPr>
      <w:r>
        <w:rPr>
          <w:rFonts w:ascii="宋体" w:hAnsi="宋体" w:eastAsia="宋体"/>
          <w:b w:val="0"/>
          <w:sz w:val="24"/>
        </w:rPr>
        <w:t>锚距窗口连续性约束为：</w:t>
      </w:r>
    </w:p>
    <w:p>
      <w:pPr>
        <w:spacing w:before="40" w:after="120"/>
        <w:ind w:firstLine="0"/>
        <w:jc w:val="center"/>
      </w:pPr>
      <w:r>
        <w:rPr>
          <w:rFonts w:ascii="Cambria Math" w:hAnsi="Cambria Math" w:eastAsia="Cambria Math"/>
          <w:b w:val="0"/>
          <w:sz w:val="24"/>
        </w:rPr>
        <w:t>B_t = min(K² v_tau² Delta_t², B_policy)</w:t>
      </w:r>
    </w:p>
    <w:p>
      <w:pPr>
        <w:spacing w:line="300" w:lineRule="auto" w:after="80"/>
        <w:ind w:firstLine="420"/>
      </w:pPr>
      <w:r>
        <w:rPr>
          <w:rFonts w:ascii="宋体" w:hAnsi="宋体" w:eastAsia="宋体"/>
          <w:b w:val="0"/>
          <w:sz w:val="24"/>
        </w:rPr>
        <w:t>其中，K 为窗口长度，B_policy 为公开策略上界，B_t 为该轮可接受的锚距平方上界。</w:t>
      </w:r>
    </w:p>
    <w:p>
      <w:pPr>
        <w:spacing w:line="300" w:lineRule="auto" w:after="80"/>
        <w:ind w:firstLine="420"/>
      </w:pPr>
      <w:r>
        <w:rPr>
          <w:rFonts w:ascii="宋体" w:hAnsi="宋体" w:eastAsia="宋体"/>
          <w:b w:val="0"/>
          <w:sz w:val="24"/>
        </w:rPr>
        <w:t>承诺链更新式为：</w:t>
      </w:r>
    </w:p>
    <w:p>
      <w:pPr>
        <w:spacing w:before="40" w:after="120"/>
        <w:ind w:firstLine="0"/>
        <w:jc w:val="center"/>
      </w:pPr>
      <w:r>
        <w:rPr>
          <w:rFonts w:ascii="Cambria Math" w:hAnsi="Cambria Math" w:eastAsia="Cambria Math"/>
          <w:b w:val="0"/>
          <w:sz w:val="24"/>
        </w:rPr>
        <w:t>H_t = MiMC7(H_t−1, C_pos,t, ts_t, BA_grid, BA_share, BR_grid, BR_share, C_id, t)</w:t>
      </w:r>
    </w:p>
    <w:p>
      <w:pPr>
        <w:spacing w:line="300" w:lineRule="auto" w:after="80"/>
        <w:ind w:firstLine="420"/>
      </w:pPr>
      <w:r>
        <w:rPr>
          <w:rFonts w:ascii="宋体" w:hAnsi="宋体" w:eastAsia="宋体"/>
          <w:b w:val="0"/>
          <w:sz w:val="24"/>
        </w:rPr>
        <w:t>其中，H_t−1 为上一接受链值，ts_t 为时间戳槽，BA_grid、BA_share、BR_grid、BR_share 分别为发送给聚合器 A 和 R 的主格绑定器及内容绑定器。</w:t>
      </w:r>
    </w:p>
    <w:p>
      <w:pPr>
        <w:spacing w:line="300" w:lineRule="auto" w:after="80"/>
        <w:ind w:firstLine="420"/>
      </w:pPr>
      <w:r>
        <w:rPr>
          <w:rFonts w:ascii="宋体" w:hAnsi="宋体" w:eastAsia="宋体"/>
          <w:b w:val="0"/>
          <w:sz w:val="24"/>
        </w:rPr>
        <w:t>同主格绑定约束中的主格绑定器为：</w:t>
      </w:r>
    </w:p>
    <w:p>
      <w:pPr>
        <w:spacing w:before="40" w:after="120"/>
        <w:ind w:firstLine="0"/>
        <w:jc w:val="center"/>
      </w:pPr>
      <w:r>
        <w:rPr>
          <w:rFonts w:ascii="Cambria Math" w:hAnsi="Cambria Math" w:eastAsia="Cambria Math"/>
          <w:b w:val="0"/>
          <w:sz w:val="24"/>
        </w:rPr>
        <w:t>BA_grid = Com(b_t, ctx_t, r_A)，BR_grid = Com(b_t, ctx_t, r_R)</w:t>
      </w:r>
    </w:p>
    <w:p>
      <w:pPr>
        <w:spacing w:line="300" w:lineRule="auto" w:after="80"/>
        <w:ind w:firstLine="420"/>
      </w:pPr>
      <w:r>
        <w:rPr>
          <w:rFonts w:ascii="宋体" w:hAnsi="宋体" w:eastAsia="宋体"/>
          <w:b w:val="0"/>
          <w:sz w:val="24"/>
        </w:rPr>
        <w:t>同主格绑定约束中的分片内容绑定器为：</w:t>
      </w:r>
    </w:p>
    <w:p>
      <w:pPr>
        <w:spacing w:before="40" w:after="120"/>
        <w:ind w:firstLine="0"/>
        <w:jc w:val="center"/>
      </w:pPr>
      <w:r>
        <w:rPr>
          <w:rFonts w:ascii="Cambria Math" w:hAnsi="Cambria Math" w:eastAsia="Cambria Math"/>
          <w:b w:val="0"/>
          <w:sz w:val="24"/>
        </w:rPr>
        <w:t>BA_share = Com(DA, ctx_t, r′_A)，BR_share = Com(DR, ctx_t, r′_R)</w:t>
      </w:r>
    </w:p>
    <w:p>
      <w:pPr>
        <w:spacing w:line="300" w:lineRule="auto" w:after="80"/>
        <w:ind w:firstLine="420"/>
      </w:pPr>
      <w:r>
        <w:rPr>
          <w:rFonts w:ascii="宋体" w:hAnsi="宋体" w:eastAsia="宋体"/>
          <w:b w:val="0"/>
          <w:sz w:val="24"/>
        </w:rPr>
        <w:t>其中，ctx_t 为包含用户承诺、轮次、时间戳槽和系统参数版本的当前报告上下文；DA 与 DR 为发送给两个聚合器的分片内容摘要。C21 在同一零知识陈述内验证上述四个绑定器均与由隐藏坐标推导出的 b_t 一致。</w:t>
      </w:r>
    </w:p>
    <w:p>
      <w:pPr>
        <w:spacing w:line="300" w:lineRule="auto" w:after="80"/>
        <w:ind w:firstLine="420"/>
      </w:pPr>
      <w:r>
        <w:rPr>
          <w:rFonts w:ascii="宋体" w:hAnsi="宋体" w:eastAsia="宋体"/>
          <w:b w:val="0"/>
          <w:sz w:val="24"/>
        </w:rPr>
        <w:t>差分隐私发布满足：</w:t>
      </w:r>
    </w:p>
    <w:p>
      <w:pPr>
        <w:spacing w:before="40" w:after="120"/>
        <w:ind w:firstLine="0"/>
        <w:jc w:val="center"/>
      </w:pPr>
      <w:r>
        <w:rPr>
          <w:rFonts w:ascii="Cambria Math" w:hAnsi="Cambria Math" w:eastAsia="Cambria Math"/>
          <w:b w:val="0"/>
          <w:sz w:val="24"/>
        </w:rPr>
        <w:t>Pr[M(D) ∈ S] ≤ eᵋ · Pr[M(D′) ∈ S]</w:t>
      </w:r>
    </w:p>
    <w:p>
      <w:pPr>
        <w:spacing w:line="300" w:lineRule="auto" w:after="80"/>
        <w:ind w:firstLine="420"/>
      </w:pPr>
      <w:r>
        <w:rPr>
          <w:rFonts w:ascii="宋体" w:hAnsi="宋体" w:eastAsia="宋体"/>
          <w:b w:val="0"/>
          <w:sz w:val="24"/>
        </w:rPr>
        <w:t>其中，D 与 D′ 为仅相差一个用户记录的相邻数据集，S 为任意可测输出集合，ε 为隐私预算。</w:t>
      </w:r>
    </w:p>
    <w:p>
      <w:pPr>
        <w:pStyle w:val="Heading3"/>
        <w:spacing w:before="120" w:after="120"/>
        <w:ind w:firstLine="0"/>
      </w:pPr>
      <w:r>
        <w:rPr>
          <w:rFonts w:ascii="黑体" w:hAnsi="黑体" w:eastAsia="黑体"/>
          <w:b/>
          <w:sz w:val="28"/>
        </w:rPr>
        <w:t>电路约束划分</w:t>
      </w:r>
    </w:p>
    <w:tbl>
      <w:tblPr>
        <w:tblStyle w:val="TableGrid"/>
        <w:tblW w:type="auto" w:w="0"/>
        <w:jc w:val="center"/>
        <w:tblLook w:firstColumn="1" w:firstRow="1" w:lastColumn="0" w:lastRow="0" w:noHBand="0" w:noVBand="1" w:val="04A0"/>
      </w:tblPr>
      <w:tblGrid>
        <w:gridCol w:w="3024"/>
        <w:gridCol w:w="3024"/>
        <w:gridCol w:w="3024"/>
      </w:tblGrid>
      <w:tr>
        <w:tc>
          <w:tcPr>
            <w:tcW w:type="dxa" w:w="1474"/>
            <w:vAlign w:val="center"/>
            <w:shd w:fill="D9EAF7"/>
          </w:tcPr>
          <w:p>
            <w:pPr>
              <w:jc w:val="center"/>
            </w:pPr>
            <w:r/>
            <w:r>
              <w:rPr>
                <w:rFonts w:ascii="宋体" w:hAnsi="宋体" w:eastAsia="宋体"/>
                <w:b/>
                <w:sz w:val="20"/>
              </w:rPr>
              <w:t>约束组</w:t>
            </w:r>
          </w:p>
        </w:tc>
        <w:tc>
          <w:tcPr>
            <w:tcW w:type="dxa" w:w="4082"/>
            <w:vAlign w:val="center"/>
            <w:shd w:fill="D9EAF7"/>
          </w:tcPr>
          <w:p>
            <w:pPr>
              <w:jc w:val="center"/>
            </w:pPr>
            <w:r/>
            <w:r>
              <w:rPr>
                <w:rFonts w:ascii="宋体" w:hAnsi="宋体" w:eastAsia="宋体"/>
                <w:b/>
                <w:sz w:val="20"/>
              </w:rPr>
              <w:t>作用</w:t>
            </w:r>
          </w:p>
        </w:tc>
        <w:tc>
          <w:tcPr>
            <w:tcW w:type="dxa" w:w="3175"/>
            <w:vAlign w:val="center"/>
            <w:shd w:fill="D9EAF7"/>
          </w:tcPr>
          <w:p>
            <w:pPr>
              <w:jc w:val="center"/>
            </w:pPr>
            <w:r/>
            <w:r>
              <w:rPr>
                <w:rFonts w:ascii="宋体" w:hAnsi="宋体" w:eastAsia="宋体"/>
                <w:b/>
                <w:sz w:val="20"/>
              </w:rPr>
              <w:t>输入来源</w:t>
            </w:r>
          </w:p>
        </w:tc>
      </w:tr>
      <w:tr>
        <w:tc>
          <w:tcPr>
            <w:tcW w:type="dxa" w:w="1474"/>
            <w:vAlign w:val="center"/>
          </w:tcPr>
          <w:p>
            <w:pPr>
              <w:jc w:val="left"/>
            </w:pPr>
            <w:r/>
            <w:r>
              <w:rPr>
                <w:rFonts w:ascii="宋体" w:hAnsi="宋体" w:eastAsia="宋体"/>
                <w:b w:val="0"/>
                <w:sz w:val="20"/>
              </w:rPr>
              <w:t>C1-C3</w:t>
            </w:r>
          </w:p>
        </w:tc>
        <w:tc>
          <w:tcPr>
            <w:tcW w:type="dxa" w:w="4082"/>
            <w:vAlign w:val="center"/>
          </w:tcPr>
          <w:p>
            <w:pPr>
              <w:jc w:val="center"/>
            </w:pPr>
            <w:r/>
            <w:r>
              <w:rPr>
                <w:rFonts w:ascii="宋体" w:hAnsi="宋体" w:eastAsia="宋体"/>
                <w:b w:val="0"/>
                <w:sz w:val="20"/>
              </w:rPr>
              <w:t>验证上一位置、当前位置和锚点位置承诺可正确打开</w:t>
            </w:r>
          </w:p>
        </w:tc>
        <w:tc>
          <w:tcPr>
            <w:tcW w:type="dxa" w:w="3175"/>
            <w:vAlign w:val="center"/>
          </w:tcPr>
          <w:p>
            <w:pPr>
              <w:jc w:val="center"/>
            </w:pPr>
            <w:r/>
            <w:r>
              <w:rPr>
                <w:rFonts w:ascii="宋体" w:hAnsi="宋体" w:eastAsia="宋体"/>
                <w:b w:val="0"/>
                <w:sz w:val="20"/>
              </w:rPr>
              <w:t>S2、S3 的承诺及私密见证</w:t>
            </w:r>
          </w:p>
        </w:tc>
      </w:tr>
      <w:tr>
        <w:tc>
          <w:tcPr>
            <w:tcW w:type="dxa" w:w="1474"/>
            <w:vAlign w:val="center"/>
          </w:tcPr>
          <w:p>
            <w:pPr>
              <w:jc w:val="left"/>
            </w:pPr>
            <w:r/>
            <w:r>
              <w:rPr>
                <w:rFonts w:ascii="宋体" w:hAnsi="宋体" w:eastAsia="宋体"/>
                <w:b w:val="0"/>
                <w:sz w:val="20"/>
              </w:rPr>
              <w:t>C4-C5</w:t>
            </w:r>
          </w:p>
        </w:tc>
        <w:tc>
          <w:tcPr>
            <w:tcW w:type="dxa" w:w="4082"/>
            <w:vAlign w:val="center"/>
          </w:tcPr>
          <w:p>
            <w:pPr>
              <w:jc w:val="center"/>
            </w:pPr>
            <w:r/>
            <w:r>
              <w:rPr>
                <w:rFonts w:ascii="宋体" w:hAnsi="宋体" w:eastAsia="宋体"/>
                <w:b w:val="0"/>
                <w:sz w:val="20"/>
              </w:rPr>
              <w:t>验证单步位移不超过速度级与时间间隔确定的上界</w:t>
            </w:r>
          </w:p>
        </w:tc>
        <w:tc>
          <w:tcPr>
            <w:tcW w:type="dxa" w:w="3175"/>
            <w:vAlign w:val="center"/>
          </w:tcPr>
          <w:p>
            <w:pPr>
              <w:jc w:val="center"/>
            </w:pPr>
            <w:r/>
            <w:r>
              <w:rPr>
                <w:rFonts w:ascii="宋体" w:hAnsi="宋体" w:eastAsia="宋体"/>
                <w:b w:val="0"/>
                <w:sz w:val="20"/>
              </w:rPr>
              <w:t>S3 的时间戳令牌和 S4 的位置见证</w:t>
            </w:r>
          </w:p>
        </w:tc>
      </w:tr>
      <w:tr>
        <w:tc>
          <w:tcPr>
            <w:tcW w:type="dxa" w:w="1474"/>
            <w:vAlign w:val="center"/>
          </w:tcPr>
          <w:p>
            <w:pPr>
              <w:jc w:val="left"/>
            </w:pPr>
            <w:r/>
            <w:r>
              <w:rPr>
                <w:rFonts w:ascii="宋体" w:hAnsi="宋体" w:eastAsia="宋体"/>
                <w:b w:val="0"/>
                <w:sz w:val="20"/>
              </w:rPr>
              <w:t>C6-C10</w:t>
            </w:r>
          </w:p>
        </w:tc>
        <w:tc>
          <w:tcPr>
            <w:tcW w:type="dxa" w:w="4082"/>
            <w:vAlign w:val="center"/>
          </w:tcPr>
          <w:p>
            <w:pPr>
              <w:jc w:val="center"/>
            </w:pPr>
            <w:r/>
            <w:r>
              <w:rPr>
                <w:rFonts w:ascii="宋体" w:hAnsi="宋体" w:eastAsia="宋体"/>
                <w:b w:val="0"/>
                <w:sz w:val="20"/>
              </w:rPr>
              <w:t>验证身份、载荷承诺和速度级模式一致</w:t>
            </w:r>
          </w:p>
        </w:tc>
        <w:tc>
          <w:tcPr>
            <w:tcW w:type="dxa" w:w="3175"/>
            <w:vAlign w:val="center"/>
          </w:tcPr>
          <w:p>
            <w:pPr>
              <w:jc w:val="center"/>
            </w:pPr>
            <w:r/>
            <w:r>
              <w:rPr>
                <w:rFonts w:ascii="宋体" w:hAnsi="宋体" w:eastAsia="宋体"/>
                <w:b w:val="0"/>
                <w:sz w:val="20"/>
              </w:rPr>
              <w:t>注册凭证、身份承诺、模式承诺</w:t>
            </w:r>
          </w:p>
        </w:tc>
      </w:tr>
      <w:tr>
        <w:tc>
          <w:tcPr>
            <w:tcW w:type="dxa" w:w="1474"/>
            <w:vAlign w:val="center"/>
          </w:tcPr>
          <w:p>
            <w:pPr>
              <w:jc w:val="left"/>
            </w:pPr>
            <w:r/>
            <w:r>
              <w:rPr>
                <w:rFonts w:ascii="宋体" w:hAnsi="宋体" w:eastAsia="宋体"/>
                <w:b w:val="0"/>
                <w:sz w:val="20"/>
              </w:rPr>
              <w:t>C11-C16</w:t>
            </w:r>
          </w:p>
        </w:tc>
        <w:tc>
          <w:tcPr>
            <w:tcW w:type="dxa" w:w="4082"/>
            <w:vAlign w:val="center"/>
          </w:tcPr>
          <w:p>
            <w:pPr>
              <w:jc w:val="center"/>
            </w:pPr>
            <w:r/>
            <w:r>
              <w:rPr>
                <w:rFonts w:ascii="宋体" w:hAnsi="宋体" w:eastAsia="宋体"/>
                <w:b w:val="0"/>
                <w:sz w:val="20"/>
              </w:rPr>
              <w:t>验证 ADWC 锚距窗口连续性</w:t>
            </w:r>
          </w:p>
        </w:tc>
        <w:tc>
          <w:tcPr>
            <w:tcW w:type="dxa" w:w="3175"/>
            <w:vAlign w:val="center"/>
          </w:tcPr>
          <w:p>
            <w:pPr>
              <w:jc w:val="center"/>
            </w:pPr>
            <w:r/>
            <w:r>
              <w:rPr>
                <w:rFonts w:ascii="宋体" w:hAnsi="宋体" w:eastAsia="宋体"/>
                <w:b w:val="0"/>
                <w:sz w:val="20"/>
              </w:rPr>
              <w:t>窗口锚点、速度级、策略上界</w:t>
            </w:r>
          </w:p>
        </w:tc>
      </w:tr>
      <w:tr>
        <w:tc>
          <w:tcPr>
            <w:tcW w:type="dxa" w:w="1474"/>
            <w:vAlign w:val="center"/>
          </w:tcPr>
          <w:p>
            <w:pPr>
              <w:jc w:val="left"/>
            </w:pPr>
            <w:r/>
            <w:r>
              <w:rPr>
                <w:rFonts w:ascii="宋体" w:hAnsi="宋体" w:eastAsia="宋体"/>
                <w:b w:val="0"/>
                <w:sz w:val="20"/>
              </w:rPr>
              <w:t>C17-C20</w:t>
            </w:r>
          </w:p>
        </w:tc>
        <w:tc>
          <w:tcPr>
            <w:tcW w:type="dxa" w:w="4082"/>
            <w:vAlign w:val="center"/>
          </w:tcPr>
          <w:p>
            <w:pPr>
              <w:jc w:val="center"/>
            </w:pPr>
            <w:r/>
            <w:r>
              <w:rPr>
                <w:rFonts w:ascii="宋体" w:hAnsi="宋体" w:eastAsia="宋体"/>
                <w:b w:val="0"/>
                <w:sz w:val="20"/>
              </w:rPr>
              <w:t>从隐藏坐标推导主格单元并做范围检查</w:t>
            </w:r>
          </w:p>
        </w:tc>
        <w:tc>
          <w:tcPr>
            <w:tcW w:type="dxa" w:w="3175"/>
            <w:vAlign w:val="center"/>
          </w:tcPr>
          <w:p>
            <w:pPr>
              <w:jc w:val="center"/>
            </w:pPr>
            <w:r/>
            <w:r>
              <w:rPr>
                <w:rFonts w:ascii="宋体" w:hAnsi="宋体" w:eastAsia="宋体"/>
                <w:b w:val="0"/>
                <w:sz w:val="20"/>
              </w:rPr>
              <w:t>当前位置坐标、网格公开参数</w:t>
            </w:r>
          </w:p>
        </w:tc>
      </w:tr>
      <w:tr>
        <w:tc>
          <w:tcPr>
            <w:tcW w:type="dxa" w:w="1474"/>
            <w:vAlign w:val="center"/>
          </w:tcPr>
          <w:p>
            <w:pPr>
              <w:jc w:val="left"/>
            </w:pPr>
            <w:r/>
            <w:r>
              <w:rPr>
                <w:rFonts w:ascii="宋体" w:hAnsi="宋体" w:eastAsia="宋体"/>
                <w:b w:val="0"/>
                <w:sz w:val="20"/>
              </w:rPr>
              <w:t>C21</w:t>
            </w:r>
          </w:p>
        </w:tc>
        <w:tc>
          <w:tcPr>
            <w:tcW w:type="dxa" w:w="4082"/>
            <w:vAlign w:val="center"/>
          </w:tcPr>
          <w:p>
            <w:pPr>
              <w:jc w:val="center"/>
            </w:pPr>
            <w:r/>
            <w:r>
              <w:rPr>
                <w:rFonts w:ascii="宋体" w:hAnsi="宋体" w:eastAsia="宋体"/>
                <w:b w:val="0"/>
                <w:sz w:val="20"/>
              </w:rPr>
              <w:t>将证明主格与聚合载荷主格绑定</w:t>
            </w:r>
          </w:p>
        </w:tc>
        <w:tc>
          <w:tcPr>
            <w:tcW w:type="dxa" w:w="3175"/>
            <w:vAlign w:val="center"/>
          </w:tcPr>
          <w:p>
            <w:pPr>
              <w:jc w:val="center"/>
            </w:pPr>
            <w:r/>
            <w:r>
              <w:rPr>
                <w:rFonts w:ascii="宋体" w:hAnsi="宋体" w:eastAsia="宋体"/>
                <w:b w:val="0"/>
                <w:sz w:val="20"/>
              </w:rPr>
              <w:t>主格单元、报告上下文、四路载荷绑定器</w:t>
            </w:r>
          </w:p>
        </w:tc>
      </w:tr>
    </w:tbl>
    <w:p/>
    <w:p>
      <w:pPr>
        <w:pStyle w:val="Heading3"/>
        <w:spacing w:before="120" w:after="120"/>
        <w:ind w:firstLine="0"/>
      </w:pPr>
      <w:r>
        <w:rPr>
          <w:rFonts w:ascii="黑体" w:hAnsi="黑体" w:eastAsia="黑体"/>
          <w:b/>
          <w:sz w:val="28"/>
        </w:rPr>
        <w:t>实施例2：携证时空完整性验证系统</w:t>
      </w:r>
    </w:p>
    <w:p>
      <w:pPr>
        <w:spacing w:line="300" w:lineRule="auto" w:after="80"/>
        <w:ind w:firstLine="420"/>
      </w:pPr>
      <w:r>
        <w:rPr>
          <w:rFonts w:ascii="宋体" w:hAnsi="宋体" w:eastAsia="宋体"/>
          <w:b w:val="0"/>
          <w:sz w:val="24"/>
        </w:rPr>
        <w:t>参照图2，本实施例提供一种系统，包括数据获取单元、注册认证单元、报告生成单元、零知识证明单元、混洗验证单元、安全聚合单元、差分隐私发布单元和审计单元。数据获取单元采集并本地预处理移动位置数据；注册认证单元完成阈值签名和初始状态背书；报告生成单元生成承诺、载荷绑定器、传输摘要和链值；零知识证明单元生成携证报告；混洗验证单元验证证明和状态连续性；安全聚合单元执行分片聚合；差分隐私发布单元输出热力图；审计单元保存不含原始坐标的验证记录。</w:t>
      </w:r>
    </w:p>
    <w:p>
      <w:pPr>
        <w:spacing w:line="300" w:lineRule="auto" w:after="80"/>
        <w:ind w:firstLine="420"/>
      </w:pPr>
      <w:r>
        <w:rPr>
          <w:rFonts w:ascii="宋体" w:hAnsi="宋体" w:eastAsia="宋体"/>
          <w:b w:val="0"/>
          <w:sz w:val="24"/>
        </w:rPr>
        <w:t>上述系统中的各单元可部署为移动终端程序、混洗服务、聚合服务和解码服务，也可在可信执行环境、边缘节点或云端服务器中组合部署。</w:t>
      </w:r>
    </w:p>
    <w:p>
      <w:pPr>
        <w:pStyle w:val="Heading2"/>
        <w:spacing w:before="120" w:after="120"/>
        <w:ind w:firstLine="0"/>
      </w:pPr>
      <w:r>
        <w:rPr>
          <w:rFonts w:ascii="黑体" w:hAnsi="黑体" w:eastAsia="黑体"/>
          <w:b/>
          <w:sz w:val="28"/>
        </w:rPr>
        <w:t>实验验证</w:t>
      </w:r>
    </w:p>
    <w:p>
      <w:pPr>
        <w:spacing w:line="300" w:lineRule="auto" w:after="80"/>
        <w:ind w:firstLine="420"/>
      </w:pPr>
      <w:r>
        <w:rPr>
          <w:rFonts w:ascii="宋体" w:hAnsi="宋体" w:eastAsia="宋体"/>
          <w:b w:val="0"/>
          <w:sz w:val="24"/>
        </w:rPr>
        <w:t>实验采用 T-Drive 和 GeoLife 两类公开移动轨迹数据集验证本发明的有效性。T-Drive 用于模拟城市车辆高并发场景，GeoLife 用于覆盖多模式、间隔不均和稀疏出行场景。实验系统包括客户端、混洗器、聚合器和解码器四类角色，零知识证明采用 Groth16 工具链实现。</w:t>
      </w:r>
    </w:p>
    <w:p>
      <w:pPr>
        <w:spacing w:line="300" w:lineRule="auto" w:after="80"/>
        <w:ind w:firstLine="420"/>
      </w:pPr>
      <w:r>
        <w:rPr>
          <w:rFonts w:ascii="宋体" w:hAnsi="宋体" w:eastAsia="宋体"/>
          <w:b w:val="0"/>
          <w:sz w:val="24"/>
        </w:rPr>
        <w:t>消融实验用于说明图5中的完整性约束贡献。完整方案能够同时拦截传送攻击、凭证冒用攻击、渐进漂移攻击、重放攻击和证明-载荷替换攻击；去除锚距窗口约束后，系统无法识别渐进漂移；去除同主格绑定约束后，系统无法阻止证明-载荷替换。该结果说明 ADWC 和 C21 分别对应不同攻击面，二者缺一不可。</w:t>
      </w:r>
    </w:p>
    <w:p>
      <w:pPr>
        <w:spacing w:line="300" w:lineRule="auto" w:after="80"/>
        <w:ind w:firstLine="420"/>
      </w:pPr>
      <w:r>
        <w:rPr>
          <w:rFonts w:ascii="宋体" w:hAnsi="宋体" w:eastAsia="宋体"/>
          <w:b w:val="0"/>
          <w:sz w:val="24"/>
        </w:rPr>
        <w:t>规模扩展实验用于说明本发明适用于城市级部署。随着客户端规模增加，证明验证流程保持稳定，误拒主要来自差分隐私阈值筛选而非完整性电路。开销实验表明，证明大小保持常数级，验证吞吐可通过并行验证器扩展。漂移防御实验表明，窗口长度和策略上界可以作为部署参数在拦截强度与路径容忍度之间进行调节。</w:t>
      </w:r>
    </w:p>
    <w:p>
      <w:pPr>
        <w:spacing w:line="300" w:lineRule="auto" w:after="80"/>
        <w:ind w:firstLine="420"/>
      </w:pPr>
      <w:r>
        <w:rPr>
          <w:rFonts w:ascii="宋体" w:hAnsi="宋体" w:eastAsia="宋体"/>
          <w:b w:val="0"/>
          <w:sz w:val="24"/>
        </w:rPr>
        <w:t>各附图的含义如下：图1展示从位置数据获取到热力图发布的顺序流程；图2展示客户端、注册认证机构、混洗器、聚合器和解码器之间的系统关系；图3展示单步约束和窗口锚距约束的几何含义；图4展示隐藏坐标推导的主格单元与载荷绑定器之间的同主格关系；图5展示实验验证围绕攻击拦截、规模扩展、漂移防御、通信证明开销和聚合质量展开。</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814"/>
            <w:vAlign w:val="center"/>
            <w:shd w:fill="D9EAF7"/>
          </w:tcPr>
          <w:p>
            <w:pPr>
              <w:jc w:val="center"/>
            </w:pPr>
            <w:r/>
            <w:r>
              <w:rPr>
                <w:rFonts w:ascii="宋体" w:hAnsi="宋体" w:eastAsia="宋体"/>
                <w:b/>
                <w:sz w:val="20"/>
              </w:rPr>
              <w:t>方案</w:t>
            </w:r>
          </w:p>
        </w:tc>
        <w:tc>
          <w:tcPr>
            <w:tcW w:type="dxa" w:w="850"/>
            <w:vAlign w:val="center"/>
            <w:shd w:fill="D9EAF7"/>
          </w:tcPr>
          <w:p>
            <w:pPr>
              <w:jc w:val="center"/>
            </w:pPr>
            <w:r/>
            <w:r>
              <w:rPr>
                <w:rFonts w:ascii="宋体" w:hAnsi="宋体" w:eastAsia="宋体"/>
                <w:b/>
                <w:sz w:val="20"/>
              </w:rPr>
              <w:t>A1</w:t>
            </w:r>
          </w:p>
        </w:tc>
        <w:tc>
          <w:tcPr>
            <w:tcW w:type="dxa" w:w="850"/>
            <w:vAlign w:val="center"/>
            <w:shd w:fill="D9EAF7"/>
          </w:tcPr>
          <w:p>
            <w:pPr>
              <w:jc w:val="center"/>
            </w:pPr>
            <w:r/>
            <w:r>
              <w:rPr>
                <w:rFonts w:ascii="宋体" w:hAnsi="宋体" w:eastAsia="宋体"/>
                <w:b/>
                <w:sz w:val="20"/>
              </w:rPr>
              <w:t>A2a</w:t>
            </w:r>
          </w:p>
        </w:tc>
        <w:tc>
          <w:tcPr>
            <w:tcW w:type="dxa" w:w="850"/>
            <w:vAlign w:val="center"/>
            <w:shd w:fill="D9EAF7"/>
          </w:tcPr>
          <w:p>
            <w:pPr>
              <w:jc w:val="center"/>
            </w:pPr>
            <w:r/>
            <w:r>
              <w:rPr>
                <w:rFonts w:ascii="宋体" w:hAnsi="宋体" w:eastAsia="宋体"/>
                <w:b/>
                <w:sz w:val="20"/>
              </w:rPr>
              <w:t>A3</w:t>
            </w:r>
          </w:p>
        </w:tc>
        <w:tc>
          <w:tcPr>
            <w:tcW w:type="dxa" w:w="850"/>
            <w:vAlign w:val="center"/>
            <w:shd w:fill="D9EAF7"/>
          </w:tcPr>
          <w:p>
            <w:pPr>
              <w:jc w:val="center"/>
            </w:pPr>
            <w:r/>
            <w:r>
              <w:rPr>
                <w:rFonts w:ascii="宋体" w:hAnsi="宋体" w:eastAsia="宋体"/>
                <w:b/>
                <w:sz w:val="20"/>
              </w:rPr>
              <w:t>A5</w:t>
            </w:r>
          </w:p>
        </w:tc>
        <w:tc>
          <w:tcPr>
            <w:tcW w:type="dxa" w:w="850"/>
            <w:vAlign w:val="center"/>
            <w:shd w:fill="D9EAF7"/>
          </w:tcPr>
          <w:p>
            <w:pPr>
              <w:jc w:val="center"/>
            </w:pPr>
            <w:r/>
            <w:r>
              <w:rPr>
                <w:rFonts w:ascii="宋体" w:hAnsi="宋体" w:eastAsia="宋体"/>
                <w:b/>
                <w:sz w:val="20"/>
              </w:rPr>
              <w:t>A6</w:t>
            </w:r>
          </w:p>
        </w:tc>
        <w:tc>
          <w:tcPr>
            <w:tcW w:type="dxa" w:w="2948"/>
            <w:vAlign w:val="center"/>
            <w:shd w:fill="D9EAF7"/>
          </w:tcPr>
          <w:p>
            <w:pPr>
              <w:jc w:val="center"/>
            </w:pPr>
            <w:r/>
            <w:r>
              <w:rPr>
                <w:rFonts w:ascii="宋体" w:hAnsi="宋体" w:eastAsia="宋体"/>
                <w:b/>
                <w:sz w:val="20"/>
              </w:rPr>
              <w:t>说明</w:t>
            </w:r>
          </w:p>
        </w:tc>
      </w:tr>
      <w:tr>
        <w:tc>
          <w:tcPr>
            <w:tcW w:type="dxa" w:w="1814"/>
            <w:vAlign w:val="center"/>
          </w:tcPr>
          <w:p>
            <w:pPr>
              <w:jc w:val="left"/>
            </w:pPr>
            <w:r/>
            <w:r>
              <w:rPr>
                <w:rFonts w:ascii="宋体" w:hAnsi="宋体" w:eastAsia="宋体"/>
                <w:b w:val="0"/>
                <w:sz w:val="20"/>
              </w:rPr>
              <w:t>TSIP-Full</w:t>
            </w:r>
          </w:p>
        </w:tc>
        <w:tc>
          <w:tcPr>
            <w:tcW w:type="dxa" w:w="850"/>
            <w:vAlign w:val="center"/>
          </w:tcPr>
          <w:p>
            <w:pPr>
              <w:jc w:val="center"/>
            </w:pPr>
            <w:r/>
            <w:r>
              <w:rPr>
                <w:rFonts w:ascii="宋体" w:hAnsi="宋体" w:eastAsia="宋体"/>
                <w:b w:val="0"/>
                <w:sz w:val="20"/>
              </w:rPr>
              <w:t>通过</w:t>
            </w:r>
          </w:p>
        </w:tc>
        <w:tc>
          <w:tcPr>
            <w:tcW w:type="dxa" w:w="850"/>
            <w:vAlign w:val="center"/>
          </w:tcPr>
          <w:p>
            <w:pPr>
              <w:jc w:val="center"/>
            </w:pPr>
            <w:r/>
            <w:r>
              <w:rPr>
                <w:rFonts w:ascii="宋体" w:hAnsi="宋体" w:eastAsia="宋体"/>
                <w:b w:val="0"/>
                <w:sz w:val="20"/>
              </w:rPr>
              <w:t>通过</w:t>
            </w:r>
          </w:p>
        </w:tc>
        <w:tc>
          <w:tcPr>
            <w:tcW w:type="dxa" w:w="850"/>
            <w:vAlign w:val="center"/>
          </w:tcPr>
          <w:p>
            <w:pPr>
              <w:jc w:val="center"/>
            </w:pPr>
            <w:r/>
            <w:r>
              <w:rPr>
                <w:rFonts w:ascii="宋体" w:hAnsi="宋体" w:eastAsia="宋体"/>
                <w:b w:val="0"/>
                <w:sz w:val="20"/>
              </w:rPr>
              <w:t>通过</w:t>
            </w:r>
          </w:p>
        </w:tc>
        <w:tc>
          <w:tcPr>
            <w:tcW w:type="dxa" w:w="850"/>
            <w:vAlign w:val="center"/>
          </w:tcPr>
          <w:p>
            <w:pPr>
              <w:jc w:val="center"/>
            </w:pPr>
            <w:r/>
            <w:r>
              <w:rPr>
                <w:rFonts w:ascii="宋体" w:hAnsi="宋体" w:eastAsia="宋体"/>
                <w:b w:val="0"/>
                <w:sz w:val="20"/>
              </w:rPr>
              <w:t>通过</w:t>
            </w:r>
          </w:p>
        </w:tc>
        <w:tc>
          <w:tcPr>
            <w:tcW w:type="dxa" w:w="850"/>
            <w:vAlign w:val="center"/>
          </w:tcPr>
          <w:p>
            <w:pPr>
              <w:jc w:val="center"/>
            </w:pPr>
            <w:r/>
            <w:r>
              <w:rPr>
                <w:rFonts w:ascii="宋体" w:hAnsi="宋体" w:eastAsia="宋体"/>
                <w:b w:val="0"/>
                <w:sz w:val="20"/>
              </w:rPr>
              <w:t>通过</w:t>
            </w:r>
          </w:p>
        </w:tc>
        <w:tc>
          <w:tcPr>
            <w:tcW w:type="dxa" w:w="2948"/>
            <w:vAlign w:val="center"/>
          </w:tcPr>
          <w:p>
            <w:pPr>
              <w:jc w:val="center"/>
            </w:pPr>
            <w:r/>
            <w:r>
              <w:rPr>
                <w:rFonts w:ascii="宋体" w:hAnsi="宋体" w:eastAsia="宋体"/>
                <w:b w:val="0"/>
                <w:sz w:val="20"/>
              </w:rPr>
              <w:t>完整启用 ADWC、承诺链和 C21</w:t>
            </w:r>
          </w:p>
        </w:tc>
      </w:tr>
      <w:tr>
        <w:tc>
          <w:tcPr>
            <w:tcW w:type="dxa" w:w="1814"/>
            <w:vAlign w:val="center"/>
          </w:tcPr>
          <w:p>
            <w:pPr>
              <w:jc w:val="left"/>
            </w:pPr>
            <w:r/>
            <w:r>
              <w:rPr>
                <w:rFonts w:ascii="宋体" w:hAnsi="宋体" w:eastAsia="宋体"/>
                <w:b w:val="0"/>
                <w:sz w:val="20"/>
              </w:rPr>
              <w:t>No-ADWC</w:t>
            </w:r>
          </w:p>
        </w:tc>
        <w:tc>
          <w:tcPr>
            <w:tcW w:type="dxa" w:w="850"/>
            <w:vAlign w:val="center"/>
          </w:tcPr>
          <w:p>
            <w:pPr>
              <w:jc w:val="center"/>
            </w:pPr>
            <w:r/>
            <w:r>
              <w:rPr>
                <w:rFonts w:ascii="宋体" w:hAnsi="宋体" w:eastAsia="宋体"/>
                <w:b w:val="0"/>
                <w:sz w:val="20"/>
              </w:rPr>
              <w:t>通过</w:t>
            </w:r>
          </w:p>
        </w:tc>
        <w:tc>
          <w:tcPr>
            <w:tcW w:type="dxa" w:w="850"/>
            <w:vAlign w:val="center"/>
          </w:tcPr>
          <w:p>
            <w:pPr>
              <w:jc w:val="center"/>
            </w:pPr>
            <w:r/>
            <w:r>
              <w:rPr>
                <w:rFonts w:ascii="宋体" w:hAnsi="宋体" w:eastAsia="宋体"/>
                <w:b w:val="0"/>
                <w:sz w:val="20"/>
              </w:rPr>
              <w:t>通过</w:t>
            </w:r>
          </w:p>
        </w:tc>
        <w:tc>
          <w:tcPr>
            <w:tcW w:type="dxa" w:w="850"/>
            <w:vAlign w:val="center"/>
          </w:tcPr>
          <w:p>
            <w:pPr>
              <w:jc w:val="center"/>
            </w:pPr>
            <w:r/>
            <w:r>
              <w:rPr>
                <w:rFonts w:ascii="宋体" w:hAnsi="宋体" w:eastAsia="宋体"/>
                <w:b w:val="0"/>
                <w:sz w:val="20"/>
              </w:rPr>
              <w:t>未通过</w:t>
            </w:r>
          </w:p>
        </w:tc>
        <w:tc>
          <w:tcPr>
            <w:tcW w:type="dxa" w:w="850"/>
            <w:vAlign w:val="center"/>
          </w:tcPr>
          <w:p>
            <w:pPr>
              <w:jc w:val="center"/>
            </w:pPr>
            <w:r/>
            <w:r>
              <w:rPr>
                <w:rFonts w:ascii="宋体" w:hAnsi="宋体" w:eastAsia="宋体"/>
                <w:b w:val="0"/>
                <w:sz w:val="20"/>
              </w:rPr>
              <w:t>通过</w:t>
            </w:r>
          </w:p>
        </w:tc>
        <w:tc>
          <w:tcPr>
            <w:tcW w:type="dxa" w:w="850"/>
            <w:vAlign w:val="center"/>
          </w:tcPr>
          <w:p>
            <w:pPr>
              <w:jc w:val="center"/>
            </w:pPr>
            <w:r/>
            <w:r>
              <w:rPr>
                <w:rFonts w:ascii="宋体" w:hAnsi="宋体" w:eastAsia="宋体"/>
                <w:b w:val="0"/>
                <w:sz w:val="20"/>
              </w:rPr>
              <w:t>通过</w:t>
            </w:r>
          </w:p>
        </w:tc>
        <w:tc>
          <w:tcPr>
            <w:tcW w:type="dxa" w:w="2948"/>
            <w:vAlign w:val="center"/>
          </w:tcPr>
          <w:p>
            <w:pPr>
              <w:jc w:val="center"/>
            </w:pPr>
            <w:r/>
            <w:r>
              <w:rPr>
                <w:rFonts w:ascii="宋体" w:hAnsi="宋体" w:eastAsia="宋体"/>
                <w:b w:val="0"/>
                <w:sz w:val="20"/>
              </w:rPr>
              <w:t>去除窗口锚距后不能限制渐进漂移</w:t>
            </w:r>
          </w:p>
        </w:tc>
      </w:tr>
      <w:tr>
        <w:tc>
          <w:tcPr>
            <w:tcW w:type="dxa" w:w="1814"/>
            <w:vAlign w:val="center"/>
          </w:tcPr>
          <w:p>
            <w:pPr>
              <w:jc w:val="left"/>
            </w:pPr>
            <w:r/>
            <w:r>
              <w:rPr>
                <w:rFonts w:ascii="宋体" w:hAnsi="宋体" w:eastAsia="宋体"/>
                <w:b w:val="0"/>
                <w:sz w:val="20"/>
              </w:rPr>
              <w:t>No-Payload-Bind</w:t>
            </w:r>
          </w:p>
        </w:tc>
        <w:tc>
          <w:tcPr>
            <w:tcW w:type="dxa" w:w="850"/>
            <w:vAlign w:val="center"/>
          </w:tcPr>
          <w:p>
            <w:pPr>
              <w:jc w:val="center"/>
            </w:pPr>
            <w:r/>
            <w:r>
              <w:rPr>
                <w:rFonts w:ascii="宋体" w:hAnsi="宋体" w:eastAsia="宋体"/>
                <w:b w:val="0"/>
                <w:sz w:val="20"/>
              </w:rPr>
              <w:t>通过</w:t>
            </w:r>
          </w:p>
        </w:tc>
        <w:tc>
          <w:tcPr>
            <w:tcW w:type="dxa" w:w="850"/>
            <w:vAlign w:val="center"/>
          </w:tcPr>
          <w:p>
            <w:pPr>
              <w:jc w:val="center"/>
            </w:pPr>
            <w:r/>
            <w:r>
              <w:rPr>
                <w:rFonts w:ascii="宋体" w:hAnsi="宋体" w:eastAsia="宋体"/>
                <w:b w:val="0"/>
                <w:sz w:val="20"/>
              </w:rPr>
              <w:t>通过</w:t>
            </w:r>
          </w:p>
        </w:tc>
        <w:tc>
          <w:tcPr>
            <w:tcW w:type="dxa" w:w="850"/>
            <w:vAlign w:val="center"/>
          </w:tcPr>
          <w:p>
            <w:pPr>
              <w:jc w:val="center"/>
            </w:pPr>
            <w:r/>
            <w:r>
              <w:rPr>
                <w:rFonts w:ascii="宋体" w:hAnsi="宋体" w:eastAsia="宋体"/>
                <w:b w:val="0"/>
                <w:sz w:val="20"/>
              </w:rPr>
              <w:t>通过</w:t>
            </w:r>
          </w:p>
        </w:tc>
        <w:tc>
          <w:tcPr>
            <w:tcW w:type="dxa" w:w="850"/>
            <w:vAlign w:val="center"/>
          </w:tcPr>
          <w:p>
            <w:pPr>
              <w:jc w:val="center"/>
            </w:pPr>
            <w:r/>
            <w:r>
              <w:rPr>
                <w:rFonts w:ascii="宋体" w:hAnsi="宋体" w:eastAsia="宋体"/>
                <w:b w:val="0"/>
                <w:sz w:val="20"/>
              </w:rPr>
              <w:t>通过</w:t>
            </w:r>
          </w:p>
        </w:tc>
        <w:tc>
          <w:tcPr>
            <w:tcW w:type="dxa" w:w="850"/>
            <w:vAlign w:val="center"/>
          </w:tcPr>
          <w:p>
            <w:pPr>
              <w:jc w:val="center"/>
            </w:pPr>
            <w:r/>
            <w:r>
              <w:rPr>
                <w:rFonts w:ascii="宋体" w:hAnsi="宋体" w:eastAsia="宋体"/>
                <w:b w:val="0"/>
                <w:sz w:val="20"/>
              </w:rPr>
              <w:t>未通过</w:t>
            </w:r>
          </w:p>
        </w:tc>
        <w:tc>
          <w:tcPr>
            <w:tcW w:type="dxa" w:w="2948"/>
            <w:vAlign w:val="center"/>
          </w:tcPr>
          <w:p>
            <w:pPr>
              <w:jc w:val="center"/>
            </w:pPr>
            <w:r/>
            <w:r>
              <w:rPr>
                <w:rFonts w:ascii="宋体" w:hAnsi="宋体" w:eastAsia="宋体"/>
                <w:b w:val="0"/>
                <w:sz w:val="20"/>
              </w:rPr>
              <w:t>去除 C21 后证明和载荷可被替换</w:t>
            </w:r>
          </w:p>
        </w:tc>
      </w:tr>
      <w:tr>
        <w:tc>
          <w:tcPr>
            <w:tcW w:type="dxa" w:w="1814"/>
            <w:vAlign w:val="center"/>
          </w:tcPr>
          <w:p>
            <w:pPr>
              <w:jc w:val="left"/>
            </w:pPr>
            <w:r/>
            <w:r>
              <w:rPr>
                <w:rFonts w:ascii="宋体" w:hAnsi="宋体" w:eastAsia="宋体"/>
                <w:b w:val="0"/>
                <w:sz w:val="20"/>
              </w:rPr>
              <w:t>No-Integrity</w:t>
            </w:r>
          </w:p>
        </w:tc>
        <w:tc>
          <w:tcPr>
            <w:tcW w:type="dxa" w:w="850"/>
            <w:vAlign w:val="center"/>
          </w:tcPr>
          <w:p>
            <w:pPr>
              <w:jc w:val="center"/>
            </w:pPr>
            <w:r/>
            <w:r>
              <w:rPr>
                <w:rFonts w:ascii="宋体" w:hAnsi="宋体" w:eastAsia="宋体"/>
                <w:b w:val="0"/>
                <w:sz w:val="20"/>
              </w:rPr>
              <w:t>未通过</w:t>
            </w:r>
          </w:p>
        </w:tc>
        <w:tc>
          <w:tcPr>
            <w:tcW w:type="dxa" w:w="850"/>
            <w:vAlign w:val="center"/>
          </w:tcPr>
          <w:p>
            <w:pPr>
              <w:jc w:val="center"/>
            </w:pPr>
            <w:r/>
            <w:r>
              <w:rPr>
                <w:rFonts w:ascii="宋体" w:hAnsi="宋体" w:eastAsia="宋体"/>
                <w:b w:val="0"/>
                <w:sz w:val="20"/>
              </w:rPr>
              <w:t>未通过</w:t>
            </w:r>
          </w:p>
        </w:tc>
        <w:tc>
          <w:tcPr>
            <w:tcW w:type="dxa" w:w="850"/>
            <w:vAlign w:val="center"/>
          </w:tcPr>
          <w:p>
            <w:pPr>
              <w:jc w:val="center"/>
            </w:pPr>
            <w:r/>
            <w:r>
              <w:rPr>
                <w:rFonts w:ascii="宋体" w:hAnsi="宋体" w:eastAsia="宋体"/>
                <w:b w:val="0"/>
                <w:sz w:val="20"/>
              </w:rPr>
              <w:t>未通过</w:t>
            </w:r>
          </w:p>
        </w:tc>
        <w:tc>
          <w:tcPr>
            <w:tcW w:type="dxa" w:w="850"/>
            <w:vAlign w:val="center"/>
          </w:tcPr>
          <w:p>
            <w:pPr>
              <w:jc w:val="center"/>
            </w:pPr>
            <w:r/>
            <w:r>
              <w:rPr>
                <w:rFonts w:ascii="宋体" w:hAnsi="宋体" w:eastAsia="宋体"/>
                <w:b w:val="0"/>
                <w:sz w:val="20"/>
              </w:rPr>
              <w:t>未通过</w:t>
            </w:r>
          </w:p>
        </w:tc>
        <w:tc>
          <w:tcPr>
            <w:tcW w:type="dxa" w:w="850"/>
            <w:vAlign w:val="center"/>
          </w:tcPr>
          <w:p>
            <w:pPr>
              <w:jc w:val="center"/>
            </w:pPr>
            <w:r/>
            <w:r>
              <w:rPr>
                <w:rFonts w:ascii="宋体" w:hAnsi="宋体" w:eastAsia="宋体"/>
                <w:b w:val="0"/>
                <w:sz w:val="20"/>
              </w:rPr>
              <w:t>未通过</w:t>
            </w:r>
          </w:p>
        </w:tc>
        <w:tc>
          <w:tcPr>
            <w:tcW w:type="dxa" w:w="2948"/>
            <w:vAlign w:val="center"/>
          </w:tcPr>
          <w:p>
            <w:pPr>
              <w:jc w:val="center"/>
            </w:pPr>
            <w:r/>
            <w:r>
              <w:rPr>
                <w:rFonts w:ascii="宋体" w:hAnsi="宋体" w:eastAsia="宋体"/>
                <w:b w:val="0"/>
                <w:sz w:val="20"/>
              </w:rPr>
              <w:t>无跨轮完整性和同主格绑定能力</w:t>
            </w:r>
          </w:p>
        </w:tc>
      </w:tr>
    </w:tbl>
    <w:p/>
    <w:tbl>
      <w:tblPr>
        <w:tblStyle w:val="TableGrid"/>
        <w:tblW w:type="auto" w:w="0"/>
        <w:jc w:val="center"/>
        <w:tblLook w:firstColumn="1" w:firstRow="1" w:lastColumn="0" w:lastRow="0" w:noHBand="0" w:noVBand="1" w:val="04A0"/>
      </w:tblPr>
      <w:tblGrid>
        <w:gridCol w:w="3024"/>
        <w:gridCol w:w="3024"/>
        <w:gridCol w:w="3024"/>
      </w:tblGrid>
      <w:tr>
        <w:tc>
          <w:tcPr>
            <w:tcW w:type="dxa" w:w="1984"/>
            <w:vAlign w:val="center"/>
            <w:shd w:fill="D9EAF7"/>
          </w:tcPr>
          <w:p>
            <w:pPr>
              <w:jc w:val="center"/>
            </w:pPr>
            <w:r/>
            <w:r>
              <w:rPr>
                <w:rFonts w:ascii="宋体" w:hAnsi="宋体" w:eastAsia="宋体"/>
                <w:b/>
                <w:sz w:val="20"/>
              </w:rPr>
              <w:t>指标</w:t>
            </w:r>
          </w:p>
        </w:tc>
        <w:tc>
          <w:tcPr>
            <w:tcW w:type="dxa" w:w="3402"/>
            <w:vAlign w:val="center"/>
            <w:shd w:fill="D9EAF7"/>
          </w:tcPr>
          <w:p>
            <w:pPr>
              <w:jc w:val="center"/>
            </w:pPr>
            <w:r/>
            <w:r>
              <w:rPr>
                <w:rFonts w:ascii="宋体" w:hAnsi="宋体" w:eastAsia="宋体"/>
                <w:b/>
                <w:sz w:val="20"/>
              </w:rPr>
              <w:t>含义</w:t>
            </w:r>
          </w:p>
        </w:tc>
        <w:tc>
          <w:tcPr>
            <w:tcW w:type="dxa" w:w="3118"/>
            <w:vAlign w:val="center"/>
            <w:shd w:fill="D9EAF7"/>
          </w:tcPr>
          <w:p>
            <w:pPr>
              <w:jc w:val="center"/>
            </w:pPr>
            <w:r/>
            <w:r>
              <w:rPr>
                <w:rFonts w:ascii="宋体" w:hAnsi="宋体" w:eastAsia="宋体"/>
                <w:b/>
                <w:sz w:val="20"/>
              </w:rPr>
              <w:t>用于验证</w:t>
            </w:r>
          </w:p>
        </w:tc>
      </w:tr>
      <w:tr>
        <w:tc>
          <w:tcPr>
            <w:tcW w:type="dxa" w:w="1984"/>
            <w:vAlign w:val="center"/>
          </w:tcPr>
          <w:p>
            <w:pPr>
              <w:jc w:val="left"/>
            </w:pPr>
            <w:r/>
            <w:r>
              <w:rPr>
                <w:rFonts w:ascii="宋体" w:hAnsi="宋体" w:eastAsia="宋体"/>
                <w:b w:val="0"/>
                <w:sz w:val="20"/>
              </w:rPr>
              <w:t>攻击拦截率</w:t>
            </w:r>
          </w:p>
        </w:tc>
        <w:tc>
          <w:tcPr>
            <w:tcW w:type="dxa" w:w="3402"/>
            <w:vAlign w:val="center"/>
          </w:tcPr>
          <w:p>
            <w:pPr>
              <w:jc w:val="center"/>
            </w:pPr>
            <w:r/>
            <w:r>
              <w:rPr>
                <w:rFonts w:ascii="宋体" w:hAnsi="宋体" w:eastAsia="宋体"/>
                <w:b w:val="0"/>
                <w:sz w:val="20"/>
              </w:rPr>
              <w:t>恶意报告被拒绝的比例</w:t>
            </w:r>
          </w:p>
        </w:tc>
        <w:tc>
          <w:tcPr>
            <w:tcW w:type="dxa" w:w="3118"/>
            <w:vAlign w:val="center"/>
          </w:tcPr>
          <w:p>
            <w:pPr>
              <w:jc w:val="center"/>
            </w:pPr>
            <w:r/>
            <w:r>
              <w:rPr>
                <w:rFonts w:ascii="宋体" w:hAnsi="宋体" w:eastAsia="宋体"/>
                <w:b w:val="0"/>
                <w:sz w:val="20"/>
              </w:rPr>
              <w:t>完整性约束有效性</w:t>
            </w:r>
          </w:p>
        </w:tc>
      </w:tr>
      <w:tr>
        <w:tc>
          <w:tcPr>
            <w:tcW w:type="dxa" w:w="1984"/>
            <w:vAlign w:val="center"/>
          </w:tcPr>
          <w:p>
            <w:pPr>
              <w:jc w:val="left"/>
            </w:pPr>
            <w:r/>
            <w:r>
              <w:rPr>
                <w:rFonts w:ascii="宋体" w:hAnsi="宋体" w:eastAsia="宋体"/>
                <w:b w:val="0"/>
                <w:sz w:val="20"/>
              </w:rPr>
              <w:t>误拒率</w:t>
            </w:r>
          </w:p>
        </w:tc>
        <w:tc>
          <w:tcPr>
            <w:tcW w:type="dxa" w:w="3402"/>
            <w:vAlign w:val="center"/>
          </w:tcPr>
          <w:p>
            <w:pPr>
              <w:jc w:val="center"/>
            </w:pPr>
            <w:r/>
            <w:r>
              <w:rPr>
                <w:rFonts w:ascii="宋体" w:hAnsi="宋体" w:eastAsia="宋体"/>
                <w:b w:val="0"/>
                <w:sz w:val="20"/>
              </w:rPr>
              <w:t>正常报告被拒绝或挂起的比例</w:t>
            </w:r>
          </w:p>
        </w:tc>
        <w:tc>
          <w:tcPr>
            <w:tcW w:type="dxa" w:w="3118"/>
            <w:vAlign w:val="center"/>
          </w:tcPr>
          <w:p>
            <w:pPr>
              <w:jc w:val="center"/>
            </w:pPr>
            <w:r/>
            <w:r>
              <w:rPr>
                <w:rFonts w:ascii="宋体" w:hAnsi="宋体" w:eastAsia="宋体"/>
                <w:b w:val="0"/>
                <w:sz w:val="20"/>
              </w:rPr>
              <w:t>可用性</w:t>
            </w:r>
          </w:p>
        </w:tc>
      </w:tr>
      <w:tr>
        <w:tc>
          <w:tcPr>
            <w:tcW w:type="dxa" w:w="1984"/>
            <w:vAlign w:val="center"/>
          </w:tcPr>
          <w:p>
            <w:pPr>
              <w:jc w:val="left"/>
            </w:pPr>
            <w:r/>
            <w:r>
              <w:rPr>
                <w:rFonts w:ascii="宋体" w:hAnsi="宋体" w:eastAsia="宋体"/>
                <w:b w:val="0"/>
                <w:sz w:val="20"/>
              </w:rPr>
              <w:t>RMSE / Pearson</w:t>
            </w:r>
          </w:p>
        </w:tc>
        <w:tc>
          <w:tcPr>
            <w:tcW w:type="dxa" w:w="3402"/>
            <w:vAlign w:val="center"/>
          </w:tcPr>
          <w:p>
            <w:pPr>
              <w:jc w:val="center"/>
            </w:pPr>
            <w:r/>
            <w:r>
              <w:rPr>
                <w:rFonts w:ascii="宋体" w:hAnsi="宋体" w:eastAsia="宋体"/>
                <w:b w:val="0"/>
                <w:sz w:val="20"/>
              </w:rPr>
              <w:t>热力图计数误差和相关性</w:t>
            </w:r>
          </w:p>
        </w:tc>
        <w:tc>
          <w:tcPr>
            <w:tcW w:type="dxa" w:w="3118"/>
            <w:vAlign w:val="center"/>
          </w:tcPr>
          <w:p>
            <w:pPr>
              <w:jc w:val="center"/>
            </w:pPr>
            <w:r/>
            <w:r>
              <w:rPr>
                <w:rFonts w:ascii="宋体" w:hAnsi="宋体" w:eastAsia="宋体"/>
                <w:b w:val="0"/>
                <w:sz w:val="20"/>
              </w:rPr>
              <w:t>聚合质量</w:t>
            </w:r>
          </w:p>
        </w:tc>
      </w:tr>
      <w:tr>
        <w:tc>
          <w:tcPr>
            <w:tcW w:type="dxa" w:w="1984"/>
            <w:vAlign w:val="center"/>
          </w:tcPr>
          <w:p>
            <w:pPr>
              <w:jc w:val="left"/>
            </w:pPr>
            <w:r/>
            <w:r>
              <w:rPr>
                <w:rFonts w:ascii="宋体" w:hAnsi="宋体" w:eastAsia="宋体"/>
                <w:b w:val="0"/>
                <w:sz w:val="20"/>
              </w:rPr>
              <w:t>证明生成时间</w:t>
            </w:r>
          </w:p>
        </w:tc>
        <w:tc>
          <w:tcPr>
            <w:tcW w:type="dxa" w:w="3402"/>
            <w:vAlign w:val="center"/>
          </w:tcPr>
          <w:p>
            <w:pPr>
              <w:jc w:val="center"/>
            </w:pPr>
            <w:r/>
            <w:r>
              <w:rPr>
                <w:rFonts w:ascii="宋体" w:hAnsi="宋体" w:eastAsia="宋体"/>
                <w:b w:val="0"/>
                <w:sz w:val="20"/>
              </w:rPr>
              <w:t>客户端生成 Groth16 证明的耗时</w:t>
            </w:r>
          </w:p>
        </w:tc>
        <w:tc>
          <w:tcPr>
            <w:tcW w:type="dxa" w:w="3118"/>
            <w:vAlign w:val="center"/>
          </w:tcPr>
          <w:p>
            <w:pPr>
              <w:jc w:val="center"/>
            </w:pPr>
            <w:r/>
            <w:r>
              <w:rPr>
                <w:rFonts w:ascii="宋体" w:hAnsi="宋体" w:eastAsia="宋体"/>
                <w:b w:val="0"/>
                <w:sz w:val="20"/>
              </w:rPr>
              <w:t>移动端可部署性</w:t>
            </w:r>
          </w:p>
        </w:tc>
      </w:tr>
      <w:tr>
        <w:tc>
          <w:tcPr>
            <w:tcW w:type="dxa" w:w="1984"/>
            <w:vAlign w:val="center"/>
          </w:tcPr>
          <w:p>
            <w:pPr>
              <w:jc w:val="left"/>
            </w:pPr>
            <w:r/>
            <w:r>
              <w:rPr>
                <w:rFonts w:ascii="宋体" w:hAnsi="宋体" w:eastAsia="宋体"/>
                <w:b w:val="0"/>
                <w:sz w:val="20"/>
              </w:rPr>
              <w:t>验证吞吐</w:t>
            </w:r>
          </w:p>
        </w:tc>
        <w:tc>
          <w:tcPr>
            <w:tcW w:type="dxa" w:w="3402"/>
            <w:vAlign w:val="center"/>
          </w:tcPr>
          <w:p>
            <w:pPr>
              <w:jc w:val="center"/>
            </w:pPr>
            <w:r/>
            <w:r>
              <w:rPr>
                <w:rFonts w:ascii="宋体" w:hAnsi="宋体" w:eastAsia="宋体"/>
                <w:b w:val="0"/>
                <w:sz w:val="20"/>
              </w:rPr>
              <w:t>混洗器每秒可验证证明数量</w:t>
            </w:r>
          </w:p>
        </w:tc>
        <w:tc>
          <w:tcPr>
            <w:tcW w:type="dxa" w:w="3118"/>
            <w:vAlign w:val="center"/>
          </w:tcPr>
          <w:p>
            <w:pPr>
              <w:jc w:val="center"/>
            </w:pPr>
            <w:r/>
            <w:r>
              <w:rPr>
                <w:rFonts w:ascii="宋体" w:hAnsi="宋体" w:eastAsia="宋体"/>
                <w:b w:val="0"/>
                <w:sz w:val="20"/>
              </w:rPr>
              <w:t>城市级扩展性</w:t>
            </w:r>
          </w:p>
        </w:tc>
      </w:tr>
    </w:tbl>
    <w:p/>
    <w:p>
      <w:pPr>
        <w:jc w:val="center"/>
      </w:pPr>
      <w:r>
        <w:drawing>
          <wp:inline xmlns:a="http://schemas.openxmlformats.org/drawingml/2006/main" xmlns:pic="http://schemas.openxmlformats.org/drawingml/2006/picture">
            <wp:extent cx="5580000" cy="2072571"/>
            <wp:docPr id="1" name="Picture 1"/>
            <wp:cNvGraphicFramePr>
              <a:graphicFrameLocks noChangeAspect="1"/>
            </wp:cNvGraphicFramePr>
            <a:graphic>
              <a:graphicData uri="http://schemas.openxmlformats.org/drawingml/2006/picture">
                <pic:pic>
                  <pic:nvPicPr>
                    <pic:cNvPr id="0" name="图1_TSIP方法流程示意图.png"/>
                    <pic:cNvPicPr/>
                  </pic:nvPicPr>
                  <pic:blipFill>
                    <a:blip r:embed="rId9"/>
                    <a:stretch>
                      <a:fillRect/>
                    </a:stretch>
                  </pic:blipFill>
                  <pic:spPr>
                    <a:xfrm>
                      <a:off x="0" y="0"/>
                      <a:ext cx="5580000" cy="2072571"/>
                    </a:xfrm>
                    <a:prstGeom prst="rect"/>
                  </pic:spPr>
                </pic:pic>
              </a:graphicData>
            </a:graphic>
          </wp:inline>
        </w:drawing>
      </w:r>
    </w:p>
    <w:p>
      <w:pPr>
        <w:spacing w:line="300" w:lineRule="auto" w:after="80"/>
        <w:jc w:val="center"/>
      </w:pPr>
      <w:r>
        <w:rPr>
          <w:rFonts w:ascii="宋体" w:hAnsi="宋体" w:eastAsia="宋体"/>
          <w:b w:val="0"/>
          <w:sz w:val="24"/>
        </w:rPr>
        <w:t>图1 TSIP方法流程示意图</w:t>
      </w:r>
    </w:p>
    <w:p>
      <w:pPr>
        <w:jc w:val="center"/>
      </w:pPr>
      <w:r>
        <w:drawing>
          <wp:inline xmlns:a="http://schemas.openxmlformats.org/drawingml/2006/main" xmlns:pic="http://schemas.openxmlformats.org/drawingml/2006/picture">
            <wp:extent cx="5580000" cy="2072571"/>
            <wp:docPr id="2" name="Picture 2"/>
            <wp:cNvGraphicFramePr>
              <a:graphicFrameLocks noChangeAspect="1"/>
            </wp:cNvGraphicFramePr>
            <a:graphic>
              <a:graphicData uri="http://schemas.openxmlformats.org/drawingml/2006/picture">
                <pic:pic>
                  <pic:nvPicPr>
                    <pic:cNvPr id="0" name="图2_系统结构示意图.png"/>
                    <pic:cNvPicPr/>
                  </pic:nvPicPr>
                  <pic:blipFill>
                    <a:blip r:embed="rId10"/>
                    <a:stretch>
                      <a:fillRect/>
                    </a:stretch>
                  </pic:blipFill>
                  <pic:spPr>
                    <a:xfrm>
                      <a:off x="0" y="0"/>
                      <a:ext cx="5580000" cy="2072571"/>
                    </a:xfrm>
                    <a:prstGeom prst="rect"/>
                  </pic:spPr>
                </pic:pic>
              </a:graphicData>
            </a:graphic>
          </wp:inline>
        </w:drawing>
      </w:r>
    </w:p>
    <w:p>
      <w:pPr>
        <w:spacing w:line="300" w:lineRule="auto" w:after="80"/>
        <w:jc w:val="center"/>
      </w:pPr>
      <w:r>
        <w:rPr>
          <w:rFonts w:ascii="宋体" w:hAnsi="宋体" w:eastAsia="宋体"/>
          <w:b w:val="0"/>
          <w:sz w:val="24"/>
        </w:rPr>
        <w:t>图2 系统结构示意图</w:t>
      </w:r>
    </w:p>
    <w:p>
      <w:pPr>
        <w:jc w:val="center"/>
      </w:pPr>
      <w:r>
        <w:drawing>
          <wp:inline xmlns:a="http://schemas.openxmlformats.org/drawingml/2006/main" xmlns:pic="http://schemas.openxmlformats.org/drawingml/2006/picture">
            <wp:extent cx="5580000" cy="2072571"/>
            <wp:docPr id="3" name="Picture 3"/>
            <wp:cNvGraphicFramePr>
              <a:graphicFrameLocks noChangeAspect="1"/>
            </wp:cNvGraphicFramePr>
            <a:graphic>
              <a:graphicData uri="http://schemas.openxmlformats.org/drawingml/2006/picture">
                <pic:pic>
                  <pic:nvPicPr>
                    <pic:cNvPr id="0" name="图3_ADWC约束示意图.png"/>
                    <pic:cNvPicPr/>
                  </pic:nvPicPr>
                  <pic:blipFill>
                    <a:blip r:embed="rId11"/>
                    <a:stretch>
                      <a:fillRect/>
                    </a:stretch>
                  </pic:blipFill>
                  <pic:spPr>
                    <a:xfrm>
                      <a:off x="0" y="0"/>
                      <a:ext cx="5580000" cy="2072571"/>
                    </a:xfrm>
                    <a:prstGeom prst="rect"/>
                  </pic:spPr>
                </pic:pic>
              </a:graphicData>
            </a:graphic>
          </wp:inline>
        </w:drawing>
      </w:r>
    </w:p>
    <w:p>
      <w:pPr>
        <w:spacing w:line="300" w:lineRule="auto" w:after="80"/>
        <w:jc w:val="center"/>
      </w:pPr>
      <w:r>
        <w:rPr>
          <w:rFonts w:ascii="宋体" w:hAnsi="宋体" w:eastAsia="宋体"/>
          <w:b w:val="0"/>
          <w:sz w:val="24"/>
        </w:rPr>
        <w:t>图3 ADWC约束示意图</w:t>
      </w:r>
    </w:p>
    <w:p>
      <w:pPr>
        <w:jc w:val="center"/>
      </w:pPr>
      <w:r>
        <w:drawing>
          <wp:inline xmlns:a="http://schemas.openxmlformats.org/drawingml/2006/main" xmlns:pic="http://schemas.openxmlformats.org/drawingml/2006/picture">
            <wp:extent cx="5580000" cy="2072571"/>
            <wp:docPr id="4" name="Picture 4"/>
            <wp:cNvGraphicFramePr>
              <a:graphicFrameLocks noChangeAspect="1"/>
            </wp:cNvGraphicFramePr>
            <a:graphic>
              <a:graphicData uri="http://schemas.openxmlformats.org/drawingml/2006/picture">
                <pic:pic>
                  <pic:nvPicPr>
                    <pic:cNvPr id="0" name="图4_同主格绑定示意图.png"/>
                    <pic:cNvPicPr/>
                  </pic:nvPicPr>
                  <pic:blipFill>
                    <a:blip r:embed="rId12"/>
                    <a:stretch>
                      <a:fillRect/>
                    </a:stretch>
                  </pic:blipFill>
                  <pic:spPr>
                    <a:xfrm>
                      <a:off x="0" y="0"/>
                      <a:ext cx="5580000" cy="2072571"/>
                    </a:xfrm>
                    <a:prstGeom prst="rect"/>
                  </pic:spPr>
                </pic:pic>
              </a:graphicData>
            </a:graphic>
          </wp:inline>
        </w:drawing>
      </w:r>
    </w:p>
    <w:p>
      <w:pPr>
        <w:spacing w:line="300" w:lineRule="auto" w:after="80"/>
        <w:jc w:val="center"/>
      </w:pPr>
      <w:r>
        <w:rPr>
          <w:rFonts w:ascii="宋体" w:hAnsi="宋体" w:eastAsia="宋体"/>
          <w:b w:val="0"/>
          <w:sz w:val="24"/>
        </w:rPr>
        <w:t>图4 同主格绑定示意图</w:t>
      </w:r>
    </w:p>
    <w:p>
      <w:pPr>
        <w:jc w:val="center"/>
      </w:pPr>
      <w:r>
        <w:drawing>
          <wp:inline xmlns:a="http://schemas.openxmlformats.org/drawingml/2006/main" xmlns:pic="http://schemas.openxmlformats.org/drawingml/2006/picture">
            <wp:extent cx="5580000" cy="2072571"/>
            <wp:docPr id="5" name="Picture 5"/>
            <wp:cNvGraphicFramePr>
              <a:graphicFrameLocks noChangeAspect="1"/>
            </wp:cNvGraphicFramePr>
            <a:graphic>
              <a:graphicData uri="http://schemas.openxmlformats.org/drawingml/2006/picture">
                <pic:pic>
                  <pic:nvPicPr>
                    <pic:cNvPr id="0" name="图5_实验验证关系示意图.png"/>
                    <pic:cNvPicPr/>
                  </pic:nvPicPr>
                  <pic:blipFill>
                    <a:blip r:embed="rId13"/>
                    <a:stretch>
                      <a:fillRect/>
                    </a:stretch>
                  </pic:blipFill>
                  <pic:spPr>
                    <a:xfrm>
                      <a:off x="0" y="0"/>
                      <a:ext cx="5580000" cy="2072571"/>
                    </a:xfrm>
                    <a:prstGeom prst="rect"/>
                  </pic:spPr>
                </pic:pic>
              </a:graphicData>
            </a:graphic>
          </wp:inline>
        </w:drawing>
      </w:r>
    </w:p>
    <w:p>
      <w:pPr>
        <w:spacing w:line="300" w:lineRule="auto" w:after="80"/>
        <w:jc w:val="center"/>
      </w:pPr>
      <w:r>
        <w:rPr>
          <w:rFonts w:ascii="宋体" w:hAnsi="宋体" w:eastAsia="宋体"/>
          <w:b w:val="0"/>
          <w:sz w:val="24"/>
        </w:rPr>
        <w:t>图5 实验验证关系示意图</w:t>
      </w:r>
    </w:p>
    <w:p>
      <w:pPr>
        <w:pStyle w:val="Heading2"/>
        <w:spacing w:before="120" w:after="120"/>
        <w:ind w:firstLine="0"/>
      </w:pPr>
      <w:r>
        <w:rPr>
          <w:rFonts w:ascii="黑体" w:hAnsi="黑体" w:eastAsia="黑体"/>
          <w:b/>
          <w:sz w:val="28"/>
        </w:rPr>
        <w:t>结论</w:t>
      </w:r>
    </w:p>
    <w:p>
      <w:pPr>
        <w:spacing w:line="300" w:lineRule="auto" w:after="80"/>
        <w:ind w:firstLine="420"/>
      </w:pPr>
      <w:r>
        <w:rPr>
          <w:rFonts w:ascii="宋体" w:hAnsi="宋体" w:eastAsia="宋体"/>
          <w:b w:val="0"/>
          <w:sz w:val="24"/>
        </w:rPr>
        <w:t>本发明通过步骤化的数据流设计，将移动位置数据获取、注册认证、承诺链更新、ADWC 零知识验证、证明-载荷同主格绑定、安全聚合和差分隐私发布统一为一个可执行、可审计的技术方案。该方案能够在保护用户轨迹隐私的同时，确保进入热力图统计的报告具备跨轮时空完整性和载荷语义一致性。凡依本发明构思对具体哈希函数、证明系统、聚合协议或差分隐私噪声机制作出的等效替换，均应落入本发明的保护范围。</w:t>
      </w:r>
    </w:p>
    <w:sectPr w:rsidR="00FC693F" w:rsidRPr="0006063C" w:rsidSect="00034616">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一种面向隐私保护移动位置聚合的携证时空完整性验证方法及系统</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