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97E" w:rsidRDefault="0028297E">
      <w:r>
        <w:t xml:space="preserve">All of the Acronyms and Glossary terms were derived from the Structured Data Capture (SDC) Use Case Consensus Document as a primary source for definitions. To view the SDC Use Case in full please </w:t>
      </w:r>
      <w:proofErr w:type="gramStart"/>
      <w:r>
        <w:t>click</w:t>
      </w:r>
      <w:proofErr w:type="gramEnd"/>
      <w:r>
        <w:t xml:space="preserve"> here: </w:t>
      </w:r>
      <w:r>
        <w:fldChar w:fldCharType="begin"/>
      </w:r>
      <w:r>
        <w:instrText xml:space="preserve"> HYPERLINK "</w:instrText>
      </w:r>
      <w:r w:rsidRPr="0028297E">
        <w:instrText>http://wiki.siframework.org/Structured+Data+Capture+Use+Case</w:instrText>
      </w:r>
      <w:r>
        <w:instrText xml:space="preserve">" </w:instrText>
      </w:r>
      <w:r>
        <w:fldChar w:fldCharType="separate"/>
      </w:r>
      <w:r w:rsidRPr="005F6EAC">
        <w:rPr>
          <w:rStyle w:val="Hyperlink"/>
        </w:rPr>
        <w:t>http://wiki.siframework.org/Structured+Data+Capture+Use+Case</w:t>
      </w:r>
      <w:r>
        <w:fldChar w:fldCharType="end"/>
      </w:r>
      <w:r>
        <w:t>.</w:t>
      </w:r>
    </w:p>
    <w:p w:rsidR="0028297E" w:rsidRDefault="0028297E"/>
    <w:tbl>
      <w:tblPr>
        <w:tblW w:w="9576" w:type="dxa"/>
        <w:jc w:val="center"/>
        <w:tblLook w:val="04A0"/>
      </w:tblPr>
      <w:tblGrid>
        <w:gridCol w:w="2628"/>
        <w:gridCol w:w="6948"/>
      </w:tblGrid>
      <w:tr w:rsidR="005D2402" w:rsidRPr="00AC4406" w:rsidTr="004D5634">
        <w:trPr>
          <w:trHeight w:val="458"/>
          <w:tblHeader/>
          <w:jc w:val="center"/>
        </w:trPr>
        <w:tc>
          <w:tcPr>
            <w:tcW w:w="2628" w:type="dxa"/>
            <w:tcBorders>
              <w:top w:val="single" w:sz="4" w:space="0" w:color="auto"/>
              <w:left w:val="single" w:sz="4" w:space="0" w:color="auto"/>
              <w:bottom w:val="single" w:sz="4" w:space="0" w:color="auto"/>
              <w:right w:val="single" w:sz="4" w:space="0" w:color="auto"/>
            </w:tcBorders>
            <w:shd w:val="clear" w:color="000000" w:fill="4F81BD"/>
            <w:vAlign w:val="center"/>
            <w:hideMark/>
          </w:tcPr>
          <w:p w:rsidR="005D2402" w:rsidRPr="00AC4406" w:rsidRDefault="005D2402" w:rsidP="004D5634">
            <w:pPr>
              <w:spacing w:after="0" w:line="240" w:lineRule="auto"/>
              <w:jc w:val="center"/>
              <w:rPr>
                <w:b/>
                <w:bCs/>
                <w:color w:val="FFFFFF"/>
              </w:rPr>
            </w:pPr>
            <w:r w:rsidRPr="00AC4406">
              <w:rPr>
                <w:b/>
                <w:bCs/>
                <w:color w:val="FFFFFF"/>
              </w:rPr>
              <w:t>Glossary Terms</w:t>
            </w:r>
            <w:r w:rsidR="00AB5133">
              <w:rPr>
                <w:b/>
                <w:bCs/>
                <w:color w:val="FFFFFF"/>
              </w:rPr>
              <w:t>/Acronyms</w:t>
            </w:r>
          </w:p>
        </w:tc>
        <w:tc>
          <w:tcPr>
            <w:tcW w:w="6948" w:type="dxa"/>
            <w:tcBorders>
              <w:top w:val="single" w:sz="4" w:space="0" w:color="auto"/>
              <w:left w:val="nil"/>
              <w:bottom w:val="single" w:sz="4" w:space="0" w:color="auto"/>
              <w:right w:val="single" w:sz="4" w:space="0" w:color="auto"/>
            </w:tcBorders>
            <w:shd w:val="clear" w:color="000000" w:fill="4F81BD"/>
            <w:vAlign w:val="center"/>
            <w:hideMark/>
          </w:tcPr>
          <w:p w:rsidR="005D2402" w:rsidRPr="00AC4406" w:rsidRDefault="005D2402" w:rsidP="004D5634">
            <w:pPr>
              <w:spacing w:after="0" w:line="240" w:lineRule="auto"/>
              <w:jc w:val="center"/>
              <w:rPr>
                <w:b/>
                <w:bCs/>
                <w:color w:val="FFFFFF"/>
              </w:rPr>
            </w:pPr>
            <w:r w:rsidRPr="00AC4406">
              <w:rPr>
                <w:b/>
                <w:bCs/>
                <w:color w:val="FFFFFF"/>
              </w:rPr>
              <w:t>Working Definition</w:t>
            </w:r>
          </w:p>
        </w:tc>
      </w:tr>
      <w:tr w:rsidR="00AB5133" w:rsidRPr="00EB4CF2" w:rsidTr="004D5634">
        <w:tblPrEx>
          <w:jc w:val="left"/>
        </w:tblPrEx>
        <w:trPr>
          <w:trHeight w:val="836"/>
        </w:trPr>
        <w:tc>
          <w:tcPr>
            <w:tcW w:w="2628" w:type="dxa"/>
            <w:tcBorders>
              <w:top w:val="nil"/>
              <w:left w:val="single" w:sz="4" w:space="0" w:color="auto"/>
              <w:bottom w:val="single" w:sz="4" w:space="0" w:color="auto"/>
              <w:right w:val="single" w:sz="4" w:space="0" w:color="auto"/>
            </w:tcBorders>
            <w:shd w:val="clear" w:color="auto" w:fill="auto"/>
            <w:vAlign w:val="center"/>
            <w:hideMark/>
          </w:tcPr>
          <w:p w:rsidR="00AB5133" w:rsidRPr="00AC4406" w:rsidRDefault="00AB5133" w:rsidP="004D5634">
            <w:pPr>
              <w:spacing w:after="0" w:line="240" w:lineRule="auto"/>
              <w:jc w:val="center"/>
              <w:rPr>
                <w:b/>
                <w:bCs/>
                <w:color w:val="000000"/>
              </w:rPr>
            </w:pPr>
            <w:r w:rsidRPr="00AC4406">
              <w:rPr>
                <w:b/>
                <w:bCs/>
                <w:color w:val="000000"/>
              </w:rPr>
              <w:t>21 CFR part 11</w:t>
            </w:r>
          </w:p>
        </w:tc>
        <w:tc>
          <w:tcPr>
            <w:tcW w:w="6948" w:type="dxa"/>
            <w:tcBorders>
              <w:top w:val="nil"/>
              <w:left w:val="nil"/>
              <w:bottom w:val="single" w:sz="4" w:space="0" w:color="auto"/>
              <w:right w:val="single" w:sz="4" w:space="0" w:color="auto"/>
            </w:tcBorders>
            <w:shd w:val="clear" w:color="auto" w:fill="auto"/>
            <w:hideMark/>
          </w:tcPr>
          <w:p w:rsidR="00AB5133" w:rsidRPr="00AC4406" w:rsidRDefault="00AB5133" w:rsidP="004D5634">
            <w:pPr>
              <w:spacing w:after="0" w:line="240" w:lineRule="auto"/>
              <w:rPr>
                <w:color w:val="000000"/>
              </w:rPr>
            </w:pPr>
            <w:r w:rsidRPr="00AC4406">
              <w:rPr>
                <w:color w:val="000000"/>
              </w:rPr>
              <w:t xml:space="preserve"> Federal regulation that offers guidelines on electronic records and electronic signatures (ERES)</w:t>
            </w:r>
          </w:p>
        </w:tc>
      </w:tr>
      <w:tr w:rsidR="00AB5133" w:rsidRPr="00874A95" w:rsidTr="00022A89">
        <w:trPr>
          <w:trHeight w:val="615"/>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AB5133" w:rsidRPr="00AB5133" w:rsidRDefault="00AB5133" w:rsidP="004D5634">
            <w:pPr>
              <w:spacing w:after="0" w:line="240" w:lineRule="auto"/>
              <w:jc w:val="center"/>
              <w:rPr>
                <w:b/>
                <w:bCs/>
                <w:color w:val="000000"/>
              </w:rPr>
            </w:pPr>
            <w:r w:rsidRPr="00AB5133">
              <w:rPr>
                <w:b/>
                <w:bCs/>
                <w:color w:val="000000"/>
              </w:rPr>
              <w:t xml:space="preserve">38 USC </w:t>
            </w:r>
            <w:r w:rsidRPr="00AB5133">
              <w:rPr>
                <w:rFonts w:cs="Calibri"/>
                <w:b/>
              </w:rPr>
              <w:t>§ 7332</w:t>
            </w:r>
          </w:p>
        </w:tc>
        <w:tc>
          <w:tcPr>
            <w:tcW w:w="6948" w:type="dxa"/>
            <w:tcBorders>
              <w:top w:val="nil"/>
              <w:left w:val="nil"/>
              <w:bottom w:val="single" w:sz="4" w:space="0" w:color="auto"/>
              <w:right w:val="single" w:sz="4" w:space="0" w:color="auto"/>
            </w:tcBorders>
            <w:shd w:val="clear" w:color="auto" w:fill="auto"/>
            <w:hideMark/>
          </w:tcPr>
          <w:p w:rsidR="00AB5133" w:rsidRPr="00AC4406" w:rsidRDefault="00AB5133" w:rsidP="004D5634">
            <w:pPr>
              <w:spacing w:after="0" w:line="240" w:lineRule="auto"/>
              <w:rPr>
                <w:color w:val="000000"/>
              </w:rPr>
            </w:pPr>
            <w:r>
              <w:rPr>
                <w:color w:val="000000"/>
              </w:rPr>
              <w:t>Confidentiality of certain medical records</w:t>
            </w:r>
          </w:p>
        </w:tc>
      </w:tr>
      <w:tr w:rsidR="00AB5133" w:rsidRPr="00EB4CF2" w:rsidTr="004D5634">
        <w:tblPrEx>
          <w:jc w:val="left"/>
        </w:tblPrEx>
        <w:trPr>
          <w:trHeight w:val="836"/>
        </w:trPr>
        <w:tc>
          <w:tcPr>
            <w:tcW w:w="2628" w:type="dxa"/>
            <w:tcBorders>
              <w:top w:val="nil"/>
              <w:left w:val="single" w:sz="4" w:space="0" w:color="auto"/>
              <w:bottom w:val="single" w:sz="4" w:space="0" w:color="auto"/>
              <w:right w:val="single" w:sz="4" w:space="0" w:color="auto"/>
            </w:tcBorders>
            <w:shd w:val="clear" w:color="auto" w:fill="auto"/>
            <w:vAlign w:val="center"/>
            <w:hideMark/>
          </w:tcPr>
          <w:p w:rsidR="00AB5133" w:rsidRPr="00AC4406" w:rsidRDefault="00AB5133" w:rsidP="004D5634">
            <w:pPr>
              <w:spacing w:after="0" w:line="240" w:lineRule="auto"/>
              <w:jc w:val="center"/>
              <w:rPr>
                <w:b/>
                <w:bCs/>
                <w:color w:val="000000"/>
              </w:rPr>
            </w:pPr>
            <w:r w:rsidRPr="00AC4406">
              <w:rPr>
                <w:b/>
                <w:bCs/>
                <w:color w:val="000000"/>
              </w:rPr>
              <w:t>AHRQ</w:t>
            </w:r>
          </w:p>
        </w:tc>
        <w:tc>
          <w:tcPr>
            <w:tcW w:w="6948" w:type="dxa"/>
            <w:tcBorders>
              <w:top w:val="nil"/>
              <w:left w:val="nil"/>
              <w:bottom w:val="single" w:sz="4" w:space="0" w:color="auto"/>
              <w:right w:val="single" w:sz="4" w:space="0" w:color="auto"/>
            </w:tcBorders>
            <w:shd w:val="clear" w:color="auto" w:fill="auto"/>
            <w:hideMark/>
          </w:tcPr>
          <w:p w:rsidR="00AB5133" w:rsidRPr="00AC4406" w:rsidRDefault="00AB5133" w:rsidP="004D5634">
            <w:pPr>
              <w:spacing w:after="0" w:line="240" w:lineRule="auto"/>
              <w:rPr>
                <w:color w:val="000000"/>
              </w:rPr>
            </w:pPr>
            <w:r w:rsidRPr="00AC4406">
              <w:rPr>
                <w:color w:val="000000"/>
              </w:rPr>
              <w:t xml:space="preserve">Agency for </w:t>
            </w:r>
            <w:r>
              <w:rPr>
                <w:color w:val="000000"/>
              </w:rPr>
              <w:t>Healthcare Research and Quality</w:t>
            </w:r>
          </w:p>
        </w:tc>
      </w:tr>
      <w:tr w:rsidR="00AB5133" w:rsidRPr="00EB4CF2" w:rsidTr="004D5634">
        <w:tblPrEx>
          <w:jc w:val="left"/>
        </w:tblPrEx>
        <w:trPr>
          <w:trHeight w:val="836"/>
        </w:trPr>
        <w:tc>
          <w:tcPr>
            <w:tcW w:w="2628" w:type="dxa"/>
            <w:tcBorders>
              <w:top w:val="nil"/>
              <w:left w:val="single" w:sz="4" w:space="0" w:color="auto"/>
              <w:bottom w:val="single" w:sz="4" w:space="0" w:color="auto"/>
              <w:right w:val="single" w:sz="4" w:space="0" w:color="auto"/>
            </w:tcBorders>
            <w:shd w:val="clear" w:color="auto" w:fill="auto"/>
            <w:vAlign w:val="center"/>
            <w:hideMark/>
          </w:tcPr>
          <w:p w:rsidR="00AB5133" w:rsidRPr="00AC4406" w:rsidRDefault="00AB5133" w:rsidP="004D5634">
            <w:pPr>
              <w:spacing w:after="0" w:line="240" w:lineRule="auto"/>
              <w:jc w:val="center"/>
              <w:rPr>
                <w:b/>
                <w:bCs/>
                <w:color w:val="000000"/>
              </w:rPr>
            </w:pPr>
            <w:r w:rsidRPr="00AC4406">
              <w:rPr>
                <w:b/>
                <w:bCs/>
                <w:color w:val="000000"/>
              </w:rPr>
              <w:t>API</w:t>
            </w:r>
          </w:p>
        </w:tc>
        <w:tc>
          <w:tcPr>
            <w:tcW w:w="6948" w:type="dxa"/>
            <w:tcBorders>
              <w:top w:val="nil"/>
              <w:left w:val="nil"/>
              <w:bottom w:val="single" w:sz="4" w:space="0" w:color="auto"/>
              <w:right w:val="single" w:sz="4" w:space="0" w:color="auto"/>
            </w:tcBorders>
            <w:shd w:val="clear" w:color="auto" w:fill="auto"/>
            <w:hideMark/>
          </w:tcPr>
          <w:p w:rsidR="00AB5133" w:rsidRPr="00AC4406" w:rsidRDefault="00AB5133" w:rsidP="004D5634">
            <w:pPr>
              <w:spacing w:after="0" w:line="240" w:lineRule="auto"/>
              <w:rPr>
                <w:color w:val="000000"/>
              </w:rPr>
            </w:pPr>
            <w:r w:rsidRPr="00AC4406">
              <w:rPr>
                <w:color w:val="000000"/>
              </w:rPr>
              <w:t>Ap</w:t>
            </w:r>
            <w:r>
              <w:rPr>
                <w:color w:val="000000"/>
              </w:rPr>
              <w:t>plication Programming Interface</w:t>
            </w:r>
          </w:p>
        </w:tc>
      </w:tr>
      <w:tr w:rsidR="00AB5133" w:rsidRPr="00EB4CF2" w:rsidTr="004D5634">
        <w:tblPrEx>
          <w:jc w:val="left"/>
        </w:tblPrEx>
        <w:trPr>
          <w:trHeight w:val="836"/>
        </w:trPr>
        <w:tc>
          <w:tcPr>
            <w:tcW w:w="2628" w:type="dxa"/>
            <w:tcBorders>
              <w:top w:val="nil"/>
              <w:left w:val="single" w:sz="4" w:space="0" w:color="auto"/>
              <w:bottom w:val="single" w:sz="4" w:space="0" w:color="auto"/>
              <w:right w:val="single" w:sz="4" w:space="0" w:color="auto"/>
            </w:tcBorders>
            <w:shd w:val="clear" w:color="auto" w:fill="auto"/>
            <w:vAlign w:val="center"/>
            <w:hideMark/>
          </w:tcPr>
          <w:p w:rsidR="00AB5133" w:rsidRPr="00EB4CF2" w:rsidRDefault="00AB5133" w:rsidP="004D5634">
            <w:pPr>
              <w:spacing w:after="0" w:line="240" w:lineRule="auto"/>
              <w:jc w:val="center"/>
              <w:rPr>
                <w:color w:val="000000"/>
              </w:rPr>
            </w:pPr>
            <w:proofErr w:type="spellStart"/>
            <w:r w:rsidRPr="00C61622">
              <w:rPr>
                <w:b/>
                <w:bCs/>
                <w:color w:val="000000"/>
              </w:rPr>
              <w:t>Archiver</w:t>
            </w:r>
            <w:proofErr w:type="spellEnd"/>
          </w:p>
        </w:tc>
        <w:tc>
          <w:tcPr>
            <w:tcW w:w="6948" w:type="dxa"/>
            <w:tcBorders>
              <w:top w:val="nil"/>
              <w:left w:val="nil"/>
              <w:bottom w:val="single" w:sz="4" w:space="0" w:color="auto"/>
              <w:right w:val="single" w:sz="4" w:space="0" w:color="auto"/>
            </w:tcBorders>
            <w:shd w:val="clear" w:color="auto" w:fill="auto"/>
            <w:hideMark/>
          </w:tcPr>
          <w:p w:rsidR="00AB5133" w:rsidRPr="00EB4CF2" w:rsidRDefault="00AB5133" w:rsidP="004D5634">
            <w:pPr>
              <w:spacing w:after="0" w:line="240" w:lineRule="auto"/>
              <w:rPr>
                <w:color w:val="000000"/>
              </w:rPr>
            </w:pPr>
            <w:r w:rsidRPr="00EB4CF2">
              <w:rPr>
                <w:color w:val="000000"/>
              </w:rPr>
              <w:t xml:space="preserve">An </w:t>
            </w:r>
            <w:proofErr w:type="spellStart"/>
            <w:r w:rsidRPr="00EB4CF2">
              <w:rPr>
                <w:color w:val="000000"/>
              </w:rPr>
              <w:t>archiver</w:t>
            </w:r>
            <w:proofErr w:type="spellEnd"/>
            <w:r w:rsidRPr="00EB4CF2">
              <w:rPr>
                <w:color w:val="000000"/>
              </w:rPr>
              <w:t xml:space="preserve"> is a functional program or standard that creates read only (</w:t>
            </w:r>
            <w:proofErr w:type="spellStart"/>
            <w:r w:rsidRPr="00EB4CF2">
              <w:rPr>
                <w:color w:val="000000"/>
              </w:rPr>
              <w:t>uneditable</w:t>
            </w:r>
            <w:proofErr w:type="spellEnd"/>
            <w:r w:rsidRPr="00EB4CF2">
              <w:rPr>
                <w:color w:val="000000"/>
              </w:rPr>
              <w:t xml:space="preserve">) copies of health records to be stored by an EHR system in an internal or external repository. The </w:t>
            </w:r>
            <w:proofErr w:type="spellStart"/>
            <w:r w:rsidRPr="00EB4CF2">
              <w:rPr>
                <w:color w:val="000000"/>
              </w:rPr>
              <w:t>Archiver</w:t>
            </w:r>
            <w:proofErr w:type="spellEnd"/>
            <w:r w:rsidRPr="00EB4CF2">
              <w:rPr>
                <w:color w:val="000000"/>
              </w:rPr>
              <w:t xml:space="preserve"> can also </w:t>
            </w:r>
            <w:r>
              <w:rPr>
                <w:color w:val="000000"/>
              </w:rPr>
              <w:t xml:space="preserve">be internal or external to the </w:t>
            </w:r>
            <w:r w:rsidRPr="00EB4CF2">
              <w:rPr>
                <w:color w:val="000000"/>
              </w:rPr>
              <w:t>E</w:t>
            </w:r>
            <w:r>
              <w:rPr>
                <w:color w:val="000000"/>
              </w:rPr>
              <w:t>H</w:t>
            </w:r>
            <w:r w:rsidRPr="00EB4CF2">
              <w:rPr>
                <w:color w:val="000000"/>
              </w:rPr>
              <w:t>R system.</w:t>
            </w:r>
          </w:p>
        </w:tc>
      </w:tr>
      <w:tr w:rsidR="00AB5133" w:rsidRPr="00EB4CF2" w:rsidTr="004D5634">
        <w:tblPrEx>
          <w:jc w:val="left"/>
        </w:tblPrEx>
        <w:trPr>
          <w:trHeight w:val="836"/>
        </w:trPr>
        <w:tc>
          <w:tcPr>
            <w:tcW w:w="2628" w:type="dxa"/>
            <w:tcBorders>
              <w:top w:val="nil"/>
              <w:left w:val="single" w:sz="4" w:space="0" w:color="auto"/>
              <w:bottom w:val="single" w:sz="4" w:space="0" w:color="auto"/>
              <w:right w:val="single" w:sz="4" w:space="0" w:color="auto"/>
            </w:tcBorders>
            <w:shd w:val="clear" w:color="auto" w:fill="auto"/>
            <w:vAlign w:val="center"/>
            <w:hideMark/>
          </w:tcPr>
          <w:p w:rsidR="00AB5133" w:rsidRPr="00AC4406" w:rsidRDefault="00AB5133" w:rsidP="004D5634">
            <w:pPr>
              <w:spacing w:after="0" w:line="240" w:lineRule="auto"/>
              <w:jc w:val="center"/>
              <w:rPr>
                <w:b/>
                <w:bCs/>
                <w:color w:val="000000"/>
              </w:rPr>
            </w:pPr>
            <w:r>
              <w:rPr>
                <w:b/>
                <w:bCs/>
                <w:color w:val="000000"/>
              </w:rPr>
              <w:t>ASPE</w:t>
            </w:r>
          </w:p>
        </w:tc>
        <w:tc>
          <w:tcPr>
            <w:tcW w:w="6948" w:type="dxa"/>
            <w:tcBorders>
              <w:top w:val="nil"/>
              <w:left w:val="nil"/>
              <w:bottom w:val="single" w:sz="4" w:space="0" w:color="auto"/>
              <w:right w:val="single" w:sz="4" w:space="0" w:color="auto"/>
            </w:tcBorders>
            <w:shd w:val="clear" w:color="auto" w:fill="auto"/>
            <w:hideMark/>
          </w:tcPr>
          <w:p w:rsidR="00AB5133" w:rsidRPr="00AC4406" w:rsidRDefault="00AB5133" w:rsidP="004D5634">
            <w:pPr>
              <w:spacing w:after="0" w:line="240" w:lineRule="auto"/>
              <w:rPr>
                <w:color w:val="000000"/>
              </w:rPr>
            </w:pPr>
            <w:r w:rsidRPr="00F40358">
              <w:rPr>
                <w:color w:val="000000"/>
              </w:rPr>
              <w:t>Assistant Secretary for Planning and Evaluation</w:t>
            </w:r>
          </w:p>
        </w:tc>
      </w:tr>
      <w:tr w:rsidR="00AB5133" w:rsidRPr="00EB4CF2" w:rsidTr="004D5634">
        <w:tblPrEx>
          <w:jc w:val="left"/>
        </w:tblPrEx>
        <w:trPr>
          <w:trHeight w:val="836"/>
        </w:trPr>
        <w:tc>
          <w:tcPr>
            <w:tcW w:w="2628" w:type="dxa"/>
            <w:tcBorders>
              <w:top w:val="nil"/>
              <w:left w:val="single" w:sz="4" w:space="0" w:color="auto"/>
              <w:bottom w:val="single" w:sz="4" w:space="0" w:color="auto"/>
              <w:right w:val="single" w:sz="4" w:space="0" w:color="auto"/>
            </w:tcBorders>
            <w:shd w:val="clear" w:color="auto" w:fill="auto"/>
            <w:vAlign w:val="center"/>
            <w:hideMark/>
          </w:tcPr>
          <w:p w:rsidR="00AB5133" w:rsidRPr="00AC4406" w:rsidRDefault="00AB5133" w:rsidP="004D5634">
            <w:pPr>
              <w:spacing w:after="0" w:line="240" w:lineRule="auto"/>
              <w:jc w:val="center"/>
              <w:rPr>
                <w:b/>
                <w:bCs/>
                <w:color w:val="000000"/>
              </w:rPr>
            </w:pPr>
            <w:r>
              <w:rPr>
                <w:b/>
                <w:bCs/>
                <w:color w:val="000000"/>
              </w:rPr>
              <w:t>ASTER</w:t>
            </w:r>
          </w:p>
        </w:tc>
        <w:tc>
          <w:tcPr>
            <w:tcW w:w="6948" w:type="dxa"/>
            <w:tcBorders>
              <w:top w:val="nil"/>
              <w:left w:val="nil"/>
              <w:bottom w:val="single" w:sz="4" w:space="0" w:color="auto"/>
              <w:right w:val="single" w:sz="4" w:space="0" w:color="auto"/>
            </w:tcBorders>
            <w:shd w:val="clear" w:color="auto" w:fill="auto"/>
            <w:hideMark/>
          </w:tcPr>
          <w:p w:rsidR="00AB5133" w:rsidRPr="00AC4406" w:rsidRDefault="00AB5133" w:rsidP="004D5634">
            <w:pPr>
              <w:spacing w:after="0" w:line="240" w:lineRule="auto"/>
              <w:rPr>
                <w:color w:val="000000"/>
              </w:rPr>
            </w:pPr>
            <w:r w:rsidRPr="00F40358">
              <w:rPr>
                <w:color w:val="000000"/>
              </w:rPr>
              <w:t>Adverse Spont</w:t>
            </w:r>
            <w:r>
              <w:rPr>
                <w:color w:val="000000"/>
              </w:rPr>
              <w:t>aneous Triggered Events Reports</w:t>
            </w:r>
          </w:p>
        </w:tc>
      </w:tr>
      <w:tr w:rsidR="00AB5133" w:rsidRPr="00EB4CF2" w:rsidTr="004D5634">
        <w:tblPrEx>
          <w:jc w:val="left"/>
        </w:tblPrEx>
        <w:trPr>
          <w:trHeight w:val="836"/>
        </w:trPr>
        <w:tc>
          <w:tcPr>
            <w:tcW w:w="2628" w:type="dxa"/>
            <w:tcBorders>
              <w:top w:val="nil"/>
              <w:left w:val="single" w:sz="4" w:space="0" w:color="auto"/>
              <w:bottom w:val="single" w:sz="4" w:space="0" w:color="auto"/>
              <w:right w:val="single" w:sz="4" w:space="0" w:color="auto"/>
            </w:tcBorders>
            <w:shd w:val="clear" w:color="auto" w:fill="auto"/>
            <w:vAlign w:val="center"/>
            <w:hideMark/>
          </w:tcPr>
          <w:p w:rsidR="00AB5133" w:rsidRPr="00AC4406" w:rsidRDefault="00AB5133" w:rsidP="004D5634">
            <w:pPr>
              <w:spacing w:after="0" w:line="240" w:lineRule="auto"/>
              <w:jc w:val="center"/>
              <w:rPr>
                <w:b/>
                <w:bCs/>
                <w:color w:val="000000"/>
              </w:rPr>
            </w:pPr>
            <w:r>
              <w:rPr>
                <w:b/>
                <w:bCs/>
                <w:color w:val="000000"/>
              </w:rPr>
              <w:t>ASTER-D</w:t>
            </w:r>
          </w:p>
        </w:tc>
        <w:tc>
          <w:tcPr>
            <w:tcW w:w="6948" w:type="dxa"/>
            <w:tcBorders>
              <w:top w:val="nil"/>
              <w:left w:val="nil"/>
              <w:bottom w:val="single" w:sz="4" w:space="0" w:color="auto"/>
              <w:right w:val="single" w:sz="4" w:space="0" w:color="auto"/>
            </w:tcBorders>
            <w:shd w:val="clear" w:color="auto" w:fill="auto"/>
            <w:hideMark/>
          </w:tcPr>
          <w:p w:rsidR="00AB5133" w:rsidRPr="00AC4406" w:rsidRDefault="00AB5133" w:rsidP="004D5634">
            <w:pPr>
              <w:spacing w:after="0" w:line="240" w:lineRule="auto"/>
              <w:rPr>
                <w:color w:val="000000"/>
              </w:rPr>
            </w:pPr>
            <w:r w:rsidRPr="00F40358">
              <w:rPr>
                <w:color w:val="000000"/>
              </w:rPr>
              <w:t>Adverse Spontaneous Triggered Events Reporting for Devices</w:t>
            </w:r>
          </w:p>
        </w:tc>
      </w:tr>
      <w:tr w:rsidR="00AB5133" w:rsidRPr="00EB4CF2" w:rsidTr="00022A89">
        <w:tblPrEx>
          <w:jc w:val="left"/>
        </w:tblPrEx>
        <w:trPr>
          <w:trHeight w:val="395"/>
        </w:trPr>
        <w:tc>
          <w:tcPr>
            <w:tcW w:w="2628" w:type="dxa"/>
            <w:tcBorders>
              <w:top w:val="nil"/>
              <w:left w:val="single" w:sz="8" w:space="0" w:color="000000"/>
              <w:bottom w:val="single" w:sz="8" w:space="0" w:color="000000"/>
              <w:right w:val="single" w:sz="8" w:space="0" w:color="000000"/>
            </w:tcBorders>
            <w:shd w:val="clear" w:color="auto" w:fill="auto"/>
            <w:vAlign w:val="center"/>
          </w:tcPr>
          <w:p w:rsidR="00AB5133" w:rsidRPr="00874A95" w:rsidRDefault="00AB5133" w:rsidP="004D5634">
            <w:pPr>
              <w:spacing w:after="0" w:line="240" w:lineRule="auto"/>
              <w:jc w:val="center"/>
              <w:rPr>
                <w:b/>
                <w:bCs/>
                <w:color w:val="000000"/>
              </w:rPr>
            </w:pPr>
            <w:r w:rsidRPr="00874A95">
              <w:rPr>
                <w:b/>
                <w:bCs/>
                <w:color w:val="000000"/>
              </w:rPr>
              <w:t>Auto-Populate</w:t>
            </w:r>
          </w:p>
        </w:tc>
        <w:tc>
          <w:tcPr>
            <w:tcW w:w="6948" w:type="dxa"/>
            <w:tcBorders>
              <w:top w:val="nil"/>
              <w:left w:val="nil"/>
              <w:bottom w:val="single" w:sz="8" w:space="0" w:color="000000"/>
              <w:right w:val="single" w:sz="8" w:space="0" w:color="000000"/>
            </w:tcBorders>
            <w:shd w:val="clear" w:color="auto" w:fill="auto"/>
            <w:vAlign w:val="center"/>
          </w:tcPr>
          <w:p w:rsidR="00AB5133" w:rsidRPr="00874A95" w:rsidRDefault="00AB5133" w:rsidP="004D5634">
            <w:pPr>
              <w:spacing w:after="0" w:line="240" w:lineRule="auto"/>
              <w:rPr>
                <w:color w:val="000000"/>
              </w:rPr>
            </w:pPr>
            <w:r>
              <w:rPr>
                <w:color w:val="000000"/>
              </w:rPr>
              <w:t>When</w:t>
            </w:r>
            <w:r w:rsidRPr="00874A95">
              <w:rPr>
                <w:color w:val="000000"/>
              </w:rPr>
              <w:t xml:space="preserve"> form</w:t>
            </w:r>
            <w:r>
              <w:rPr>
                <w:color w:val="000000"/>
              </w:rPr>
              <w:t xml:space="preserve"> fields</w:t>
            </w:r>
            <w:r w:rsidRPr="00874A95">
              <w:rPr>
                <w:color w:val="000000"/>
              </w:rPr>
              <w:t xml:space="preserve"> </w:t>
            </w:r>
            <w:r>
              <w:rPr>
                <w:color w:val="000000"/>
              </w:rPr>
              <w:t>are automatically filled</w:t>
            </w:r>
            <w:r w:rsidRPr="00874A95">
              <w:rPr>
                <w:color w:val="000000"/>
              </w:rPr>
              <w:t xml:space="preserve"> in</w:t>
            </w:r>
            <w:r>
              <w:rPr>
                <w:color w:val="000000"/>
              </w:rPr>
              <w:t xml:space="preserve"> for</w:t>
            </w:r>
            <w:r w:rsidRPr="00874A95">
              <w:rPr>
                <w:color w:val="000000"/>
              </w:rPr>
              <w:t xml:space="preserve"> certain, </w:t>
            </w:r>
            <w:r>
              <w:rPr>
                <w:color w:val="000000"/>
              </w:rPr>
              <w:t>common, or cross-walked data elements for the user by the system.</w:t>
            </w:r>
          </w:p>
        </w:tc>
      </w:tr>
      <w:tr w:rsidR="00AB5133" w:rsidTr="00022A89">
        <w:trPr>
          <w:trHeight w:val="143"/>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AB5133" w:rsidRPr="00C61622" w:rsidRDefault="00AB5133" w:rsidP="004D5634">
            <w:pPr>
              <w:spacing w:after="0" w:line="240" w:lineRule="auto"/>
              <w:jc w:val="center"/>
              <w:rPr>
                <w:b/>
                <w:bCs/>
                <w:color w:val="000000"/>
              </w:rPr>
            </w:pPr>
            <w:r>
              <w:rPr>
                <w:b/>
                <w:bCs/>
                <w:color w:val="000000"/>
              </w:rPr>
              <w:t>Cache</w:t>
            </w:r>
          </w:p>
        </w:tc>
        <w:tc>
          <w:tcPr>
            <w:tcW w:w="6948" w:type="dxa"/>
            <w:tcBorders>
              <w:top w:val="nil"/>
              <w:left w:val="nil"/>
              <w:bottom w:val="single" w:sz="4" w:space="0" w:color="auto"/>
              <w:right w:val="single" w:sz="4" w:space="0" w:color="auto"/>
            </w:tcBorders>
            <w:shd w:val="clear" w:color="auto" w:fill="auto"/>
            <w:hideMark/>
          </w:tcPr>
          <w:p w:rsidR="00AB5133" w:rsidRPr="00EB4CF2" w:rsidRDefault="00AB5133" w:rsidP="004D5634">
            <w:pPr>
              <w:spacing w:after="0" w:line="240" w:lineRule="auto"/>
              <w:rPr>
                <w:color w:val="000000"/>
              </w:rPr>
            </w:pPr>
            <w:r>
              <w:rPr>
                <w:color w:val="000000"/>
              </w:rPr>
              <w:t>A mechanism for temporary storage of a document, prior to being permanently saved.</w:t>
            </w:r>
          </w:p>
        </w:tc>
      </w:tr>
      <w:tr w:rsidR="00AB5133" w:rsidRPr="00AC4406" w:rsidTr="00AB5133">
        <w:tblPrEx>
          <w:jc w:val="left"/>
        </w:tblPrEx>
        <w:trPr>
          <w:trHeight w:val="300"/>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AB5133" w:rsidRPr="00AC4406" w:rsidRDefault="00AB5133" w:rsidP="004D5634">
            <w:pPr>
              <w:spacing w:after="0" w:line="240" w:lineRule="auto"/>
              <w:jc w:val="center"/>
              <w:rPr>
                <w:b/>
                <w:bCs/>
                <w:color w:val="000000"/>
              </w:rPr>
            </w:pPr>
            <w:proofErr w:type="spellStart"/>
            <w:r w:rsidRPr="00AC4406">
              <w:rPr>
                <w:b/>
                <w:bCs/>
                <w:color w:val="000000"/>
              </w:rPr>
              <w:t>caDSR</w:t>
            </w:r>
            <w:proofErr w:type="spellEnd"/>
          </w:p>
        </w:tc>
        <w:tc>
          <w:tcPr>
            <w:tcW w:w="6948" w:type="dxa"/>
            <w:tcBorders>
              <w:top w:val="nil"/>
              <w:left w:val="nil"/>
              <w:bottom w:val="single" w:sz="4" w:space="0" w:color="auto"/>
              <w:right w:val="single" w:sz="4" w:space="0" w:color="auto"/>
            </w:tcBorders>
            <w:shd w:val="clear" w:color="auto" w:fill="auto"/>
            <w:hideMark/>
          </w:tcPr>
          <w:p w:rsidR="00AB5133" w:rsidRPr="00AC4406" w:rsidRDefault="00AB5133" w:rsidP="004D5634">
            <w:pPr>
              <w:spacing w:after="0" w:line="240" w:lineRule="auto"/>
              <w:rPr>
                <w:color w:val="000000"/>
              </w:rPr>
            </w:pPr>
            <w:r w:rsidRPr="00AC4406">
              <w:rPr>
                <w:color w:val="000000"/>
              </w:rPr>
              <w:t>Cancer Data Standards Registry and Repository</w:t>
            </w:r>
          </w:p>
        </w:tc>
      </w:tr>
      <w:tr w:rsidR="00AB5133" w:rsidTr="004D5634">
        <w:trPr>
          <w:trHeight w:val="665"/>
          <w:jc w:val="center"/>
        </w:trPr>
        <w:tc>
          <w:tcPr>
            <w:tcW w:w="2628" w:type="dxa"/>
            <w:tcBorders>
              <w:top w:val="nil"/>
              <w:left w:val="single" w:sz="4" w:space="0" w:color="auto"/>
              <w:bottom w:val="single" w:sz="4" w:space="0" w:color="auto"/>
              <w:right w:val="single" w:sz="4" w:space="0" w:color="auto"/>
            </w:tcBorders>
            <w:shd w:val="clear" w:color="auto" w:fill="auto"/>
            <w:noWrap/>
            <w:vAlign w:val="center"/>
          </w:tcPr>
          <w:p w:rsidR="00AB5133" w:rsidRDefault="00AB5133" w:rsidP="004D5634">
            <w:pPr>
              <w:spacing w:after="0"/>
              <w:jc w:val="center"/>
              <w:rPr>
                <w:b/>
                <w:bCs/>
                <w:color w:val="000000"/>
              </w:rPr>
            </w:pPr>
            <w:r>
              <w:rPr>
                <w:b/>
                <w:bCs/>
                <w:color w:val="000000"/>
              </w:rPr>
              <w:t>Cardiac Catheterization</w:t>
            </w:r>
          </w:p>
        </w:tc>
        <w:tc>
          <w:tcPr>
            <w:tcW w:w="6948" w:type="dxa"/>
            <w:tcBorders>
              <w:top w:val="nil"/>
              <w:left w:val="nil"/>
              <w:bottom w:val="single" w:sz="4" w:space="0" w:color="auto"/>
              <w:right w:val="single" w:sz="4" w:space="0" w:color="auto"/>
            </w:tcBorders>
            <w:shd w:val="clear" w:color="auto" w:fill="auto"/>
            <w:vAlign w:val="center"/>
          </w:tcPr>
          <w:p w:rsidR="00AB5133" w:rsidRDefault="00AB5133" w:rsidP="004D5634">
            <w:pPr>
              <w:spacing w:after="0"/>
              <w:rPr>
                <w:color w:val="000000"/>
              </w:rPr>
            </w:pPr>
            <w:r>
              <w:rPr>
                <w:color w:val="000000"/>
              </w:rPr>
              <w:t>The process of inserting a catheter into a chamber or vessel in the heart.</w:t>
            </w:r>
          </w:p>
        </w:tc>
      </w:tr>
      <w:tr w:rsidR="002E5FCA" w:rsidRPr="0051046C" w:rsidTr="00EA1315">
        <w:trPr>
          <w:trHeight w:val="665"/>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Pr="00AC4406" w:rsidRDefault="002E5FCA" w:rsidP="004D5634">
            <w:pPr>
              <w:spacing w:after="0" w:line="240" w:lineRule="auto"/>
              <w:jc w:val="center"/>
              <w:rPr>
                <w:b/>
                <w:bCs/>
                <w:color w:val="000000"/>
              </w:rPr>
            </w:pPr>
            <w:r>
              <w:rPr>
                <w:b/>
                <w:bCs/>
                <w:color w:val="000000"/>
              </w:rPr>
              <w:t>CDC</w:t>
            </w:r>
          </w:p>
        </w:tc>
        <w:tc>
          <w:tcPr>
            <w:tcW w:w="6948" w:type="dxa"/>
            <w:tcBorders>
              <w:top w:val="nil"/>
              <w:left w:val="nil"/>
              <w:bottom w:val="single" w:sz="4" w:space="0" w:color="auto"/>
              <w:right w:val="single" w:sz="4" w:space="0" w:color="auto"/>
            </w:tcBorders>
            <w:shd w:val="clear" w:color="auto" w:fill="auto"/>
            <w:hideMark/>
          </w:tcPr>
          <w:p w:rsidR="002E5FCA" w:rsidRDefault="002E5FCA" w:rsidP="004D5634">
            <w:pPr>
              <w:spacing w:after="0" w:line="240" w:lineRule="auto"/>
              <w:rPr>
                <w:color w:val="000000"/>
              </w:rPr>
            </w:pPr>
            <w:r>
              <w:rPr>
                <w:color w:val="000000"/>
              </w:rPr>
              <w:t>Centers for Disease Control</w:t>
            </w:r>
          </w:p>
        </w:tc>
      </w:tr>
      <w:tr w:rsidR="002E5FCA" w:rsidRPr="0051046C" w:rsidTr="00EA1315">
        <w:trPr>
          <w:trHeight w:val="665"/>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Pr="00AC4406" w:rsidRDefault="002E5FCA" w:rsidP="004D5634">
            <w:pPr>
              <w:spacing w:after="0" w:line="240" w:lineRule="auto"/>
              <w:jc w:val="center"/>
              <w:rPr>
                <w:b/>
                <w:bCs/>
                <w:color w:val="000000"/>
              </w:rPr>
            </w:pPr>
            <w:r w:rsidRPr="00AC4406">
              <w:rPr>
                <w:b/>
                <w:bCs/>
                <w:color w:val="000000"/>
              </w:rPr>
              <w:t>CDE</w:t>
            </w:r>
          </w:p>
        </w:tc>
        <w:tc>
          <w:tcPr>
            <w:tcW w:w="6948" w:type="dxa"/>
            <w:tcBorders>
              <w:top w:val="nil"/>
              <w:left w:val="nil"/>
              <w:bottom w:val="single" w:sz="4" w:space="0" w:color="auto"/>
              <w:right w:val="single" w:sz="4" w:space="0" w:color="auto"/>
            </w:tcBorders>
            <w:shd w:val="clear" w:color="auto" w:fill="auto"/>
            <w:hideMark/>
          </w:tcPr>
          <w:p w:rsidR="002E5FCA" w:rsidRPr="00AC4406" w:rsidRDefault="002E5FCA" w:rsidP="004D5634">
            <w:pPr>
              <w:spacing w:after="0" w:line="240" w:lineRule="auto"/>
              <w:rPr>
                <w:color w:val="000000"/>
              </w:rPr>
            </w:pPr>
            <w:r>
              <w:rPr>
                <w:color w:val="000000"/>
              </w:rPr>
              <w:t>Common Data Elements</w:t>
            </w:r>
          </w:p>
        </w:tc>
      </w:tr>
      <w:tr w:rsidR="002E5FCA" w:rsidRPr="0051046C" w:rsidTr="00EA1315">
        <w:trPr>
          <w:trHeight w:val="665"/>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Pr="00AC4406" w:rsidRDefault="002E5FCA" w:rsidP="004D5634">
            <w:pPr>
              <w:spacing w:after="0" w:line="240" w:lineRule="auto"/>
              <w:jc w:val="center"/>
              <w:rPr>
                <w:b/>
                <w:bCs/>
                <w:color w:val="000000"/>
              </w:rPr>
            </w:pPr>
            <w:r w:rsidRPr="00AC4406">
              <w:rPr>
                <w:b/>
                <w:bCs/>
                <w:color w:val="000000"/>
              </w:rPr>
              <w:lastRenderedPageBreak/>
              <w:t>CDISC</w:t>
            </w:r>
          </w:p>
        </w:tc>
        <w:tc>
          <w:tcPr>
            <w:tcW w:w="6948" w:type="dxa"/>
            <w:tcBorders>
              <w:top w:val="nil"/>
              <w:left w:val="nil"/>
              <w:bottom w:val="single" w:sz="4" w:space="0" w:color="auto"/>
              <w:right w:val="single" w:sz="4" w:space="0" w:color="auto"/>
            </w:tcBorders>
            <w:shd w:val="clear" w:color="auto" w:fill="auto"/>
            <w:hideMark/>
          </w:tcPr>
          <w:p w:rsidR="002E5FCA" w:rsidRPr="00AC4406" w:rsidRDefault="002E5FCA" w:rsidP="004D5634">
            <w:pPr>
              <w:spacing w:after="0" w:line="240" w:lineRule="auto"/>
              <w:rPr>
                <w:color w:val="000000"/>
              </w:rPr>
            </w:pPr>
            <w:r w:rsidRPr="00AC4406">
              <w:rPr>
                <w:color w:val="000000"/>
              </w:rPr>
              <w:t>Clinical Data I</w:t>
            </w:r>
            <w:r>
              <w:rPr>
                <w:color w:val="000000"/>
              </w:rPr>
              <w:t>nterchange Standards Consortium</w:t>
            </w:r>
          </w:p>
        </w:tc>
      </w:tr>
      <w:tr w:rsidR="002E5FCA" w:rsidRPr="0051046C" w:rsidTr="00EA1315">
        <w:trPr>
          <w:trHeight w:val="665"/>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Pr="00AC4406" w:rsidRDefault="002E5FCA" w:rsidP="004D5634">
            <w:pPr>
              <w:spacing w:after="0" w:line="240" w:lineRule="auto"/>
              <w:jc w:val="center"/>
              <w:rPr>
                <w:b/>
                <w:bCs/>
                <w:color w:val="000000"/>
              </w:rPr>
            </w:pPr>
            <w:r>
              <w:rPr>
                <w:b/>
                <w:bCs/>
                <w:color w:val="000000"/>
              </w:rPr>
              <w:t>CER</w:t>
            </w:r>
          </w:p>
        </w:tc>
        <w:tc>
          <w:tcPr>
            <w:tcW w:w="6948" w:type="dxa"/>
            <w:tcBorders>
              <w:top w:val="nil"/>
              <w:left w:val="nil"/>
              <w:bottom w:val="single" w:sz="4" w:space="0" w:color="auto"/>
              <w:right w:val="single" w:sz="4" w:space="0" w:color="auto"/>
            </w:tcBorders>
            <w:shd w:val="clear" w:color="auto" w:fill="auto"/>
            <w:hideMark/>
          </w:tcPr>
          <w:p w:rsidR="002E5FCA" w:rsidRPr="00AC4406" w:rsidRDefault="002E5FCA" w:rsidP="004D5634">
            <w:pPr>
              <w:spacing w:after="0" w:line="240" w:lineRule="auto"/>
              <w:rPr>
                <w:color w:val="000000"/>
              </w:rPr>
            </w:pPr>
            <w:r>
              <w:rPr>
                <w:color w:val="000000"/>
              </w:rPr>
              <w:t>Comparative Effectiveness Research</w:t>
            </w:r>
          </w:p>
        </w:tc>
      </w:tr>
      <w:tr w:rsidR="002E5FCA" w:rsidRPr="0051046C" w:rsidTr="004D5634">
        <w:trPr>
          <w:trHeight w:val="665"/>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Default="002E5FCA" w:rsidP="004D5634">
            <w:pPr>
              <w:spacing w:after="0"/>
              <w:jc w:val="center"/>
              <w:rPr>
                <w:b/>
                <w:bCs/>
                <w:color w:val="000000"/>
              </w:rPr>
            </w:pPr>
            <w:r>
              <w:rPr>
                <w:rFonts w:cs="Calibri"/>
                <w:b/>
                <w:bCs/>
                <w:color w:val="000000"/>
                <w:kern w:val="24"/>
              </w:rPr>
              <w:t xml:space="preserve">Clinical </w:t>
            </w:r>
            <w:proofErr w:type="spellStart"/>
            <w:r>
              <w:rPr>
                <w:rFonts w:cs="Calibri"/>
                <w:b/>
                <w:bCs/>
                <w:color w:val="000000"/>
                <w:kern w:val="24"/>
              </w:rPr>
              <w:t>Informaticians</w:t>
            </w:r>
            <w:proofErr w:type="spellEnd"/>
          </w:p>
        </w:tc>
        <w:tc>
          <w:tcPr>
            <w:tcW w:w="6948" w:type="dxa"/>
            <w:tcBorders>
              <w:top w:val="nil"/>
              <w:left w:val="nil"/>
              <w:bottom w:val="single" w:sz="4" w:space="0" w:color="auto"/>
              <w:right w:val="single" w:sz="4" w:space="0" w:color="auto"/>
            </w:tcBorders>
            <w:shd w:val="clear" w:color="auto" w:fill="auto"/>
            <w:vAlign w:val="center"/>
            <w:hideMark/>
          </w:tcPr>
          <w:p w:rsidR="002E5FCA" w:rsidRDefault="002E5FCA" w:rsidP="004D5634">
            <w:pPr>
              <w:spacing w:after="0"/>
              <w:rPr>
                <w:color w:val="000000"/>
              </w:rPr>
            </w:pPr>
            <w:r>
              <w:rPr>
                <w:color w:val="000000"/>
              </w:rPr>
              <w:t xml:space="preserve">Professionals who practice clinical informatics (increasingly known as </w:t>
            </w:r>
            <w:proofErr w:type="spellStart"/>
            <w:r>
              <w:rPr>
                <w:color w:val="000000"/>
              </w:rPr>
              <w:t>informaticians</w:t>
            </w:r>
            <w:proofErr w:type="spellEnd"/>
            <w:r>
              <w:rPr>
                <w:color w:val="000000"/>
              </w:rPr>
              <w:t xml:space="preserve">) collaborate with other health care and information technology professionals to promote patient care that is safe, efficient, effective, timely, patient-centered, and equitable. Clinical </w:t>
            </w:r>
            <w:proofErr w:type="spellStart"/>
            <w:r>
              <w:rPr>
                <w:color w:val="000000"/>
              </w:rPr>
              <w:t>informaticians</w:t>
            </w:r>
            <w:proofErr w:type="spellEnd"/>
            <w:r>
              <w:rPr>
                <w:color w:val="000000"/>
              </w:rPr>
              <w:t xml:space="preserve"> transform health care by analyzing, designing, implementing, and evaluating information and communication systems that enhance individual and population health outcomes, improve patient care, and strengthen the clinician-patient relationship.</w:t>
            </w:r>
          </w:p>
        </w:tc>
      </w:tr>
      <w:tr w:rsidR="002E5FCA" w:rsidRPr="00AC4406" w:rsidTr="002E5FCA">
        <w:tblPrEx>
          <w:jc w:val="left"/>
        </w:tblPrEx>
        <w:trPr>
          <w:trHeight w:val="300"/>
        </w:trPr>
        <w:tc>
          <w:tcPr>
            <w:tcW w:w="2628" w:type="dxa"/>
            <w:tcBorders>
              <w:top w:val="nil"/>
              <w:left w:val="single" w:sz="4" w:space="0" w:color="auto"/>
              <w:bottom w:val="single" w:sz="4" w:space="0" w:color="auto"/>
              <w:right w:val="single" w:sz="4" w:space="0" w:color="auto"/>
            </w:tcBorders>
            <w:shd w:val="clear" w:color="auto" w:fill="auto"/>
            <w:noWrap/>
            <w:vAlign w:val="center"/>
          </w:tcPr>
          <w:p w:rsidR="002E5FCA" w:rsidRDefault="002E5FCA" w:rsidP="004D5634">
            <w:pPr>
              <w:spacing w:after="0" w:line="240" w:lineRule="auto"/>
              <w:jc w:val="center"/>
              <w:rPr>
                <w:b/>
                <w:bCs/>
                <w:color w:val="000000"/>
              </w:rPr>
            </w:pPr>
            <w:r>
              <w:rPr>
                <w:b/>
                <w:bCs/>
                <w:color w:val="000000"/>
              </w:rPr>
              <w:t>CMS</w:t>
            </w:r>
          </w:p>
        </w:tc>
        <w:tc>
          <w:tcPr>
            <w:tcW w:w="6948" w:type="dxa"/>
            <w:tcBorders>
              <w:top w:val="nil"/>
              <w:left w:val="nil"/>
              <w:bottom w:val="single" w:sz="4" w:space="0" w:color="auto"/>
              <w:right w:val="single" w:sz="4" w:space="0" w:color="auto"/>
            </w:tcBorders>
            <w:shd w:val="clear" w:color="auto" w:fill="auto"/>
          </w:tcPr>
          <w:p w:rsidR="002E5FCA" w:rsidRPr="00AC4406" w:rsidRDefault="002E5FCA" w:rsidP="004D5634">
            <w:pPr>
              <w:spacing w:after="0" w:line="240" w:lineRule="auto"/>
              <w:rPr>
                <w:color w:val="000000"/>
              </w:rPr>
            </w:pPr>
            <w:r>
              <w:rPr>
                <w:color w:val="000000"/>
              </w:rPr>
              <w:t>Center for Medicare/Medicaid Services</w:t>
            </w:r>
          </w:p>
        </w:tc>
      </w:tr>
      <w:tr w:rsidR="002E5FCA" w:rsidTr="004D5634">
        <w:trPr>
          <w:trHeight w:val="305"/>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Default="002E5FCA" w:rsidP="004D5634">
            <w:pPr>
              <w:spacing w:after="0"/>
              <w:jc w:val="center"/>
              <w:rPr>
                <w:b/>
                <w:bCs/>
                <w:color w:val="000000"/>
              </w:rPr>
            </w:pPr>
            <w:r>
              <w:rPr>
                <w:rFonts w:cs="Calibri"/>
                <w:b/>
                <w:bCs/>
                <w:color w:val="000000"/>
                <w:kern w:val="24"/>
              </w:rPr>
              <w:t>Common Data Elements (CDEs)</w:t>
            </w:r>
          </w:p>
        </w:tc>
        <w:tc>
          <w:tcPr>
            <w:tcW w:w="6948" w:type="dxa"/>
            <w:tcBorders>
              <w:top w:val="nil"/>
              <w:left w:val="nil"/>
              <w:bottom w:val="single" w:sz="4" w:space="0" w:color="auto"/>
              <w:right w:val="single" w:sz="4" w:space="0" w:color="auto"/>
            </w:tcBorders>
            <w:shd w:val="clear" w:color="auto" w:fill="auto"/>
            <w:vAlign w:val="center"/>
            <w:hideMark/>
          </w:tcPr>
          <w:p w:rsidR="002E5FCA" w:rsidRPr="0051046C" w:rsidRDefault="002E5FCA" w:rsidP="004D5634">
            <w:pPr>
              <w:spacing w:after="0"/>
              <w:rPr>
                <w:rFonts w:cs="Calibri"/>
                <w:color w:val="000000"/>
                <w:kern w:val="24"/>
              </w:rPr>
            </w:pPr>
            <w:r>
              <w:rPr>
                <w:rFonts w:cs="Calibri"/>
                <w:color w:val="000000"/>
                <w:kern w:val="24"/>
              </w:rPr>
              <w:t xml:space="preserve">Common Data Elements are standardized data elements expressing the needs of a certain domain, implying both a purpose and a governance process for the identification of the term.  </w:t>
            </w:r>
            <w:r>
              <w:rPr>
                <w:color w:val="000000"/>
              </w:rPr>
              <w:t>For the purposes of the SDC initiative a standard format for CDEs will be defined in the Standards &amp; Harmonization Phase of the initiative.</w:t>
            </w:r>
          </w:p>
        </w:tc>
      </w:tr>
      <w:tr w:rsidR="002E5FCA" w:rsidTr="004D5634">
        <w:trPr>
          <w:trHeight w:val="647"/>
          <w:jc w:val="center"/>
        </w:trPr>
        <w:tc>
          <w:tcPr>
            <w:tcW w:w="2628" w:type="dxa"/>
            <w:tcBorders>
              <w:top w:val="nil"/>
              <w:left w:val="single" w:sz="4" w:space="0" w:color="auto"/>
              <w:bottom w:val="single" w:sz="4" w:space="0" w:color="auto"/>
              <w:right w:val="single" w:sz="4" w:space="0" w:color="auto"/>
            </w:tcBorders>
            <w:shd w:val="clear" w:color="auto" w:fill="auto"/>
            <w:noWrap/>
            <w:vAlign w:val="center"/>
          </w:tcPr>
          <w:p w:rsidR="002E5FCA" w:rsidRDefault="002E5FCA" w:rsidP="004D5634">
            <w:pPr>
              <w:spacing w:after="0"/>
              <w:jc w:val="center"/>
              <w:rPr>
                <w:b/>
                <w:bCs/>
                <w:color w:val="000000"/>
              </w:rPr>
            </w:pPr>
            <w:r>
              <w:rPr>
                <w:rFonts w:cs="Calibri"/>
                <w:b/>
                <w:bCs/>
                <w:color w:val="000000"/>
                <w:kern w:val="24"/>
              </w:rPr>
              <w:t>Common Formats</w:t>
            </w:r>
          </w:p>
        </w:tc>
        <w:tc>
          <w:tcPr>
            <w:tcW w:w="6948" w:type="dxa"/>
            <w:tcBorders>
              <w:top w:val="nil"/>
              <w:left w:val="nil"/>
              <w:bottom w:val="single" w:sz="4" w:space="0" w:color="auto"/>
              <w:right w:val="single" w:sz="4" w:space="0" w:color="auto"/>
            </w:tcBorders>
            <w:shd w:val="clear" w:color="auto" w:fill="auto"/>
            <w:vAlign w:val="center"/>
          </w:tcPr>
          <w:p w:rsidR="002E5FCA" w:rsidRDefault="002E5FCA" w:rsidP="004D5634">
            <w:pPr>
              <w:spacing w:after="0"/>
              <w:rPr>
                <w:color w:val="000000"/>
              </w:rPr>
            </w:pPr>
            <w:r>
              <w:rPr>
                <w:rFonts w:cs="Calibri"/>
                <w:color w:val="000000"/>
                <w:kern w:val="24"/>
              </w:rPr>
              <w:t>Agency for Healthcare Research and Quality (AHRQ) coordinates the development of Common Formats for reporting patient safety events to Patient Safety Organizations (PSOs).</w:t>
            </w:r>
          </w:p>
        </w:tc>
      </w:tr>
      <w:tr w:rsidR="002E5FCA" w:rsidTr="004D5634">
        <w:trPr>
          <w:trHeight w:val="647"/>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Default="002E5FCA" w:rsidP="004D5634">
            <w:pPr>
              <w:spacing w:after="0"/>
              <w:jc w:val="center"/>
              <w:rPr>
                <w:rFonts w:cs="Calibri"/>
                <w:b/>
                <w:bCs/>
                <w:color w:val="000000"/>
                <w:kern w:val="24"/>
              </w:rPr>
            </w:pPr>
            <w:r>
              <w:rPr>
                <w:rFonts w:cs="Calibri"/>
                <w:b/>
                <w:bCs/>
                <w:color w:val="000000"/>
                <w:kern w:val="24"/>
              </w:rPr>
              <w:t>Consent Directive</w:t>
            </w:r>
          </w:p>
        </w:tc>
        <w:tc>
          <w:tcPr>
            <w:tcW w:w="6948" w:type="dxa"/>
            <w:tcBorders>
              <w:top w:val="nil"/>
              <w:left w:val="nil"/>
              <w:bottom w:val="single" w:sz="4" w:space="0" w:color="auto"/>
              <w:right w:val="single" w:sz="4" w:space="0" w:color="auto"/>
            </w:tcBorders>
            <w:shd w:val="clear" w:color="auto" w:fill="auto"/>
            <w:vAlign w:val="center"/>
            <w:hideMark/>
          </w:tcPr>
          <w:p w:rsidR="002E5FCA" w:rsidRDefault="002E5FCA" w:rsidP="004D5634">
            <w:pPr>
              <w:spacing w:after="0"/>
              <w:rPr>
                <w:rFonts w:cs="Calibri"/>
                <w:color w:val="000000"/>
                <w:kern w:val="24"/>
              </w:rPr>
            </w:pPr>
            <w:r>
              <w:t xml:space="preserve">“Consent Directives are the consumer-based set of options regarding the consumer's preferences in regards to the control (access, use, disclosure, collection, etc.) of their electronic health records.” </w:t>
            </w:r>
            <w:r>
              <w:rPr>
                <w:rStyle w:val="FootnoteReference"/>
                <w:color w:val="000000"/>
                <w:kern w:val="24"/>
              </w:rPr>
              <w:footnoteReference w:id="1"/>
            </w:r>
          </w:p>
        </w:tc>
      </w:tr>
      <w:tr w:rsidR="002E5FCA" w:rsidTr="004D5634">
        <w:trPr>
          <w:trHeight w:val="467"/>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Default="002E5FCA" w:rsidP="004D5634">
            <w:pPr>
              <w:spacing w:after="0"/>
              <w:jc w:val="center"/>
              <w:rPr>
                <w:b/>
                <w:bCs/>
                <w:color w:val="000000"/>
              </w:rPr>
            </w:pPr>
            <w:r>
              <w:rPr>
                <w:rFonts w:cs="Calibri"/>
                <w:b/>
                <w:bCs/>
                <w:color w:val="000000"/>
                <w:kern w:val="24"/>
              </w:rPr>
              <w:t>Coronary Stent</w:t>
            </w:r>
          </w:p>
        </w:tc>
        <w:tc>
          <w:tcPr>
            <w:tcW w:w="6948" w:type="dxa"/>
            <w:tcBorders>
              <w:top w:val="nil"/>
              <w:left w:val="nil"/>
              <w:bottom w:val="single" w:sz="4" w:space="0" w:color="auto"/>
              <w:right w:val="single" w:sz="4" w:space="0" w:color="auto"/>
            </w:tcBorders>
            <w:shd w:val="clear" w:color="auto" w:fill="auto"/>
            <w:vAlign w:val="center"/>
            <w:hideMark/>
          </w:tcPr>
          <w:p w:rsidR="002E5FCA" w:rsidRDefault="002E5FCA" w:rsidP="004D5634">
            <w:pPr>
              <w:spacing w:after="0"/>
              <w:rPr>
                <w:color w:val="000000"/>
              </w:rPr>
            </w:pPr>
            <w:r>
              <w:rPr>
                <w:rFonts w:cs="Calibri"/>
                <w:color w:val="000000"/>
                <w:kern w:val="24"/>
              </w:rPr>
              <w:t>A wire mesh that is installed with a catheter and expanded within artery vessel to provide structural support and allow normal blood flow to occur.</w:t>
            </w:r>
          </w:p>
        </w:tc>
      </w:tr>
      <w:tr w:rsidR="002E5FCA" w:rsidRPr="00AC4406" w:rsidTr="002E5FCA">
        <w:tblPrEx>
          <w:jc w:val="left"/>
        </w:tblPrEx>
        <w:trPr>
          <w:trHeight w:val="300"/>
        </w:trPr>
        <w:tc>
          <w:tcPr>
            <w:tcW w:w="2628" w:type="dxa"/>
            <w:tcBorders>
              <w:top w:val="nil"/>
              <w:left w:val="single" w:sz="4" w:space="0" w:color="auto"/>
              <w:bottom w:val="single" w:sz="4" w:space="0" w:color="auto"/>
              <w:right w:val="single" w:sz="4" w:space="0" w:color="auto"/>
            </w:tcBorders>
            <w:shd w:val="clear" w:color="auto" w:fill="auto"/>
            <w:noWrap/>
            <w:vAlign w:val="center"/>
          </w:tcPr>
          <w:p w:rsidR="002E5FCA" w:rsidRDefault="002E5FCA" w:rsidP="004D5634">
            <w:pPr>
              <w:spacing w:after="0" w:line="240" w:lineRule="auto"/>
              <w:jc w:val="center"/>
              <w:rPr>
                <w:b/>
                <w:bCs/>
                <w:color w:val="000000"/>
              </w:rPr>
            </w:pPr>
            <w:proofErr w:type="spellStart"/>
            <w:r>
              <w:rPr>
                <w:b/>
                <w:bCs/>
                <w:color w:val="000000"/>
              </w:rPr>
              <w:t>DARTnet</w:t>
            </w:r>
            <w:proofErr w:type="spellEnd"/>
          </w:p>
        </w:tc>
        <w:tc>
          <w:tcPr>
            <w:tcW w:w="6948" w:type="dxa"/>
            <w:tcBorders>
              <w:top w:val="nil"/>
              <w:left w:val="nil"/>
              <w:bottom w:val="single" w:sz="4" w:space="0" w:color="auto"/>
              <w:right w:val="single" w:sz="4" w:space="0" w:color="auto"/>
            </w:tcBorders>
            <w:shd w:val="clear" w:color="auto" w:fill="auto"/>
          </w:tcPr>
          <w:p w:rsidR="002E5FCA" w:rsidRPr="00AC4406" w:rsidRDefault="002E5FCA" w:rsidP="004D5634">
            <w:pPr>
              <w:spacing w:after="0" w:line="240" w:lineRule="auto"/>
              <w:rPr>
                <w:color w:val="000000"/>
              </w:rPr>
            </w:pPr>
            <w:r w:rsidRPr="00781828">
              <w:rPr>
                <w:color w:val="000000"/>
              </w:rPr>
              <w:t>Distributed Ambulatory Research in Therapeutics Network</w:t>
            </w:r>
          </w:p>
        </w:tc>
      </w:tr>
      <w:tr w:rsidR="002E5FCA" w:rsidTr="004D5634">
        <w:trPr>
          <w:trHeight w:val="215"/>
          <w:jc w:val="center"/>
        </w:trPr>
        <w:tc>
          <w:tcPr>
            <w:tcW w:w="2628" w:type="dxa"/>
            <w:tcBorders>
              <w:top w:val="nil"/>
              <w:left w:val="single" w:sz="4" w:space="0" w:color="auto"/>
              <w:bottom w:val="single" w:sz="4" w:space="0" w:color="auto"/>
              <w:right w:val="single" w:sz="4" w:space="0" w:color="auto"/>
            </w:tcBorders>
            <w:shd w:val="clear" w:color="auto" w:fill="auto"/>
            <w:vAlign w:val="center"/>
            <w:hideMark/>
          </w:tcPr>
          <w:p w:rsidR="002E5FCA" w:rsidRDefault="002E5FCA" w:rsidP="004D5634">
            <w:pPr>
              <w:spacing w:after="0"/>
              <w:jc w:val="center"/>
              <w:rPr>
                <w:b/>
                <w:bCs/>
                <w:color w:val="000000"/>
              </w:rPr>
            </w:pPr>
            <w:r>
              <w:rPr>
                <w:rFonts w:cs="Calibri"/>
                <w:b/>
                <w:bCs/>
                <w:color w:val="000000"/>
                <w:kern w:val="24"/>
              </w:rPr>
              <w:t>Deployment Balloon</w:t>
            </w:r>
          </w:p>
        </w:tc>
        <w:tc>
          <w:tcPr>
            <w:tcW w:w="6948" w:type="dxa"/>
            <w:tcBorders>
              <w:top w:val="nil"/>
              <w:left w:val="nil"/>
              <w:bottom w:val="single" w:sz="4" w:space="0" w:color="auto"/>
              <w:right w:val="single" w:sz="4" w:space="0" w:color="auto"/>
            </w:tcBorders>
            <w:shd w:val="clear" w:color="auto" w:fill="auto"/>
            <w:vAlign w:val="center"/>
            <w:hideMark/>
          </w:tcPr>
          <w:p w:rsidR="002E5FCA" w:rsidRDefault="002E5FCA" w:rsidP="004D5634">
            <w:pPr>
              <w:spacing w:after="0"/>
              <w:rPr>
                <w:color w:val="000000"/>
              </w:rPr>
            </w:pPr>
            <w:r>
              <w:rPr>
                <w:rFonts w:cs="Calibri"/>
                <w:color w:val="000000"/>
                <w:kern w:val="24"/>
              </w:rPr>
              <w:t>A small medical balloon that is deployed via a catheter within the coronary stent. When inflated, this balloon expands the coronary stent mesh into a locked cylindrical position. The deployment balloon is then removed from the patient along with the catheter.</w:t>
            </w:r>
          </w:p>
        </w:tc>
      </w:tr>
      <w:tr w:rsidR="002E5FCA" w:rsidRPr="00EB4CF2" w:rsidTr="002E5FCA">
        <w:tblPrEx>
          <w:jc w:val="left"/>
        </w:tblPrEx>
        <w:trPr>
          <w:trHeight w:val="530"/>
        </w:trPr>
        <w:tc>
          <w:tcPr>
            <w:tcW w:w="2628" w:type="dxa"/>
            <w:tcBorders>
              <w:top w:val="nil"/>
              <w:left w:val="single" w:sz="4" w:space="0" w:color="auto"/>
              <w:bottom w:val="single" w:sz="4" w:space="0" w:color="auto"/>
              <w:right w:val="single" w:sz="4" w:space="0" w:color="auto"/>
            </w:tcBorders>
            <w:shd w:val="clear" w:color="auto" w:fill="auto"/>
            <w:vAlign w:val="center"/>
            <w:hideMark/>
          </w:tcPr>
          <w:p w:rsidR="002E5FCA" w:rsidRDefault="002E5FCA" w:rsidP="004D5634">
            <w:pPr>
              <w:spacing w:after="0"/>
              <w:jc w:val="center"/>
              <w:rPr>
                <w:b/>
                <w:bCs/>
                <w:color w:val="000000"/>
              </w:rPr>
            </w:pPr>
            <w:r>
              <w:rPr>
                <w:rFonts w:cs="Calibri"/>
                <w:b/>
                <w:bCs/>
                <w:color w:val="000000"/>
                <w:kern w:val="24"/>
              </w:rPr>
              <w:t>Diazepam</w:t>
            </w:r>
          </w:p>
        </w:tc>
        <w:tc>
          <w:tcPr>
            <w:tcW w:w="6948" w:type="dxa"/>
            <w:tcBorders>
              <w:top w:val="nil"/>
              <w:left w:val="nil"/>
              <w:bottom w:val="single" w:sz="4" w:space="0" w:color="auto"/>
              <w:right w:val="single" w:sz="4" w:space="0" w:color="auto"/>
            </w:tcBorders>
            <w:shd w:val="clear" w:color="auto" w:fill="auto"/>
            <w:vAlign w:val="center"/>
            <w:hideMark/>
          </w:tcPr>
          <w:p w:rsidR="002E5FCA" w:rsidRDefault="002E5FCA" w:rsidP="004D5634">
            <w:pPr>
              <w:spacing w:after="0"/>
              <w:rPr>
                <w:color w:val="000000"/>
              </w:rPr>
            </w:pPr>
            <w:r>
              <w:rPr>
                <w:rFonts w:cs="Calibri"/>
                <w:color w:val="000000"/>
                <w:kern w:val="24"/>
              </w:rPr>
              <w:t>This medicine is a benzodiazepine. It is often used to treat anxiety, muscle spasms and other medical conditions.</w:t>
            </w:r>
          </w:p>
        </w:tc>
      </w:tr>
      <w:tr w:rsidR="002E5FCA" w:rsidTr="002E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13"/>
          <w:jc w:val="center"/>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E5FCA" w:rsidRDefault="002E5FCA" w:rsidP="004D5634">
            <w:pPr>
              <w:spacing w:after="0" w:line="240" w:lineRule="auto"/>
              <w:jc w:val="center"/>
              <w:rPr>
                <w:b/>
                <w:bCs/>
                <w:color w:val="000000"/>
              </w:rPr>
            </w:pPr>
            <w:r>
              <w:rPr>
                <w:b/>
                <w:bCs/>
                <w:color w:val="000000"/>
              </w:rPr>
              <w:t>DOD</w:t>
            </w:r>
          </w:p>
        </w:tc>
        <w:tc>
          <w:tcPr>
            <w:tcW w:w="6948" w:type="dxa"/>
            <w:tcBorders>
              <w:top w:val="single" w:sz="4" w:space="0" w:color="auto"/>
              <w:left w:val="nil"/>
              <w:bottom w:val="single" w:sz="4" w:space="0" w:color="auto"/>
              <w:right w:val="single" w:sz="4" w:space="0" w:color="auto"/>
            </w:tcBorders>
            <w:shd w:val="clear" w:color="auto" w:fill="auto"/>
          </w:tcPr>
          <w:p w:rsidR="002E5FCA" w:rsidRPr="00AC4406" w:rsidRDefault="002E5FCA" w:rsidP="004D5634">
            <w:pPr>
              <w:spacing w:after="0" w:line="240" w:lineRule="auto"/>
              <w:rPr>
                <w:color w:val="000000"/>
              </w:rPr>
            </w:pPr>
            <w:r>
              <w:rPr>
                <w:color w:val="000000"/>
              </w:rPr>
              <w:t>Department of Defense</w:t>
            </w:r>
          </w:p>
        </w:tc>
      </w:tr>
      <w:tr w:rsidR="002E5FCA" w:rsidTr="002E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13"/>
          <w:jc w:val="center"/>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E5FCA" w:rsidRDefault="002E5FCA" w:rsidP="004D5634">
            <w:pPr>
              <w:spacing w:after="0" w:line="240" w:lineRule="auto"/>
              <w:jc w:val="center"/>
              <w:rPr>
                <w:b/>
                <w:bCs/>
                <w:color w:val="000000"/>
              </w:rPr>
            </w:pPr>
            <w:r>
              <w:rPr>
                <w:b/>
                <w:bCs/>
                <w:color w:val="000000"/>
              </w:rPr>
              <w:t>DOT</w:t>
            </w:r>
          </w:p>
        </w:tc>
        <w:tc>
          <w:tcPr>
            <w:tcW w:w="6948" w:type="dxa"/>
            <w:tcBorders>
              <w:top w:val="single" w:sz="4" w:space="0" w:color="auto"/>
              <w:left w:val="nil"/>
              <w:bottom w:val="single" w:sz="4" w:space="0" w:color="auto"/>
              <w:right w:val="single" w:sz="4" w:space="0" w:color="auto"/>
            </w:tcBorders>
            <w:shd w:val="clear" w:color="auto" w:fill="auto"/>
          </w:tcPr>
          <w:p w:rsidR="002E5FCA" w:rsidRPr="00AC4406" w:rsidRDefault="002E5FCA" w:rsidP="004D5634">
            <w:pPr>
              <w:spacing w:after="0" w:line="240" w:lineRule="auto"/>
              <w:rPr>
                <w:color w:val="000000"/>
              </w:rPr>
            </w:pPr>
            <w:r>
              <w:rPr>
                <w:color w:val="000000"/>
              </w:rPr>
              <w:t>The Department of Transportation</w:t>
            </w:r>
          </w:p>
        </w:tc>
      </w:tr>
      <w:tr w:rsidR="002E5FCA" w:rsidTr="002E5F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13"/>
          <w:jc w:val="center"/>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E5FCA" w:rsidRPr="00EB4CF2" w:rsidRDefault="002E5FCA" w:rsidP="004D5634">
            <w:pPr>
              <w:spacing w:after="0"/>
              <w:jc w:val="center"/>
              <w:rPr>
                <w:color w:val="000000"/>
              </w:rPr>
            </w:pPr>
            <w:r w:rsidRPr="00C61622">
              <w:rPr>
                <w:rFonts w:cs="Calibri"/>
                <w:b/>
                <w:bCs/>
                <w:color w:val="000000"/>
                <w:kern w:val="24"/>
              </w:rPr>
              <w:t>Durable Medical Equipment</w:t>
            </w:r>
          </w:p>
        </w:tc>
        <w:tc>
          <w:tcPr>
            <w:tcW w:w="6948" w:type="dxa"/>
            <w:tcBorders>
              <w:top w:val="single" w:sz="4" w:space="0" w:color="auto"/>
              <w:left w:val="nil"/>
              <w:bottom w:val="single" w:sz="4" w:space="0" w:color="auto"/>
              <w:right w:val="single" w:sz="4" w:space="0" w:color="auto"/>
            </w:tcBorders>
            <w:shd w:val="clear" w:color="auto" w:fill="auto"/>
          </w:tcPr>
          <w:p w:rsidR="002E5FCA" w:rsidRPr="00EB4CF2" w:rsidRDefault="002E5FCA" w:rsidP="004D5634">
            <w:pPr>
              <w:spacing w:after="0" w:line="240" w:lineRule="auto"/>
              <w:rPr>
                <w:color w:val="000000"/>
              </w:rPr>
            </w:pPr>
            <w:r w:rsidRPr="00EB4CF2">
              <w:rPr>
                <w:color w:val="000000"/>
              </w:rPr>
              <w:t xml:space="preserve">Technical terminology to describe specialized, physically "durable" medical equipment with the purpose of aiding a patient while at home or outside </w:t>
            </w:r>
            <w:r w:rsidRPr="00EB4CF2">
              <w:rPr>
                <w:color w:val="000000"/>
              </w:rPr>
              <w:lastRenderedPageBreak/>
              <w:t>of a hospital setting</w:t>
            </w:r>
            <w:r>
              <w:rPr>
                <w:color w:val="000000"/>
              </w:rPr>
              <w:t>.</w:t>
            </w:r>
          </w:p>
        </w:tc>
      </w:tr>
      <w:tr w:rsidR="002E5FCA" w:rsidTr="002E5FCA">
        <w:trPr>
          <w:trHeight w:val="242"/>
          <w:jc w:val="center"/>
        </w:trPr>
        <w:tc>
          <w:tcPr>
            <w:tcW w:w="262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5FCA" w:rsidRDefault="002E5FCA" w:rsidP="004D5634">
            <w:pPr>
              <w:spacing w:after="0"/>
              <w:jc w:val="center"/>
              <w:rPr>
                <w:b/>
                <w:bCs/>
                <w:color w:val="000000"/>
              </w:rPr>
            </w:pPr>
            <w:proofErr w:type="spellStart"/>
            <w:r>
              <w:rPr>
                <w:rFonts w:cs="Calibri"/>
                <w:b/>
                <w:bCs/>
                <w:color w:val="000000"/>
                <w:kern w:val="24"/>
              </w:rPr>
              <w:lastRenderedPageBreak/>
              <w:t>eCRF</w:t>
            </w:r>
            <w:proofErr w:type="spellEnd"/>
            <w:r>
              <w:rPr>
                <w:rFonts w:cs="Calibri"/>
                <w:b/>
                <w:bCs/>
                <w:color w:val="000000"/>
                <w:kern w:val="24"/>
              </w:rPr>
              <w:t xml:space="preserve"> (Electronic Case Reporting Form)</w:t>
            </w:r>
          </w:p>
        </w:tc>
        <w:tc>
          <w:tcPr>
            <w:tcW w:w="6948" w:type="dxa"/>
            <w:tcBorders>
              <w:top w:val="single" w:sz="4" w:space="0" w:color="auto"/>
              <w:left w:val="single" w:sz="4" w:space="0" w:color="auto"/>
              <w:bottom w:val="single" w:sz="4" w:space="0" w:color="auto"/>
              <w:right w:val="single" w:sz="4" w:space="0" w:color="auto"/>
            </w:tcBorders>
            <w:shd w:val="clear" w:color="auto" w:fill="auto"/>
            <w:vAlign w:val="center"/>
          </w:tcPr>
          <w:p w:rsidR="002E5FCA" w:rsidRDefault="002E5FCA" w:rsidP="004D5634">
            <w:pPr>
              <w:spacing w:after="0"/>
              <w:rPr>
                <w:color w:val="000000"/>
              </w:rPr>
            </w:pPr>
            <w:r>
              <w:rPr>
                <w:rFonts w:cs="Calibri"/>
                <w:color w:val="000000"/>
                <w:kern w:val="24"/>
              </w:rPr>
              <w:t>Electronic questionnaire specifically used in clinical trial research. The Case Report Form is the tool used by the sponsor of the clinical trial to collect data from each participating site. All data on each patient participating in a clinical trial are held and/or documented in the CRF, including adverse events.</w:t>
            </w:r>
          </w:p>
        </w:tc>
      </w:tr>
      <w:tr w:rsidR="002E5FCA" w:rsidTr="004F4B1E">
        <w:trPr>
          <w:trHeight w:val="512"/>
          <w:jc w:val="center"/>
        </w:trPr>
        <w:tc>
          <w:tcPr>
            <w:tcW w:w="2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5FCA" w:rsidRPr="000052C8" w:rsidRDefault="002E5FCA" w:rsidP="004D5634">
            <w:pPr>
              <w:spacing w:after="0" w:line="240" w:lineRule="auto"/>
              <w:jc w:val="center"/>
              <w:textAlignment w:val="bottom"/>
              <w:rPr>
                <w:rFonts w:cs="Calibri"/>
                <w:b/>
                <w:bCs/>
                <w:color w:val="000000"/>
                <w:kern w:val="24"/>
              </w:rPr>
            </w:pPr>
            <w:r w:rsidRPr="000052C8">
              <w:rPr>
                <w:rFonts w:cs="Calibri"/>
                <w:b/>
                <w:bCs/>
                <w:color w:val="000000"/>
                <w:kern w:val="24"/>
              </w:rPr>
              <w:t>EDC</w:t>
            </w:r>
          </w:p>
        </w:tc>
        <w:tc>
          <w:tcPr>
            <w:tcW w:w="6948" w:type="dxa"/>
            <w:tcBorders>
              <w:top w:val="single" w:sz="4" w:space="0" w:color="auto"/>
              <w:left w:val="nil"/>
              <w:bottom w:val="single" w:sz="4" w:space="0" w:color="auto"/>
              <w:right w:val="single" w:sz="4" w:space="0" w:color="auto"/>
            </w:tcBorders>
            <w:shd w:val="clear" w:color="auto" w:fill="auto"/>
            <w:hideMark/>
          </w:tcPr>
          <w:p w:rsidR="002E5FCA" w:rsidRPr="00E81DAF" w:rsidRDefault="002E5FCA" w:rsidP="004D5634">
            <w:pPr>
              <w:spacing w:after="0" w:line="240" w:lineRule="auto"/>
              <w:textAlignment w:val="bottom"/>
              <w:rPr>
                <w:rFonts w:cs="Calibri"/>
                <w:color w:val="000000"/>
                <w:kern w:val="24"/>
              </w:rPr>
            </w:pPr>
            <w:r w:rsidRPr="00E81DAF">
              <w:rPr>
                <w:rFonts w:cs="Calibri"/>
                <w:bCs/>
                <w:color w:val="000000"/>
                <w:kern w:val="24"/>
              </w:rPr>
              <w:t>Electronic Data Capture</w:t>
            </w:r>
          </w:p>
        </w:tc>
      </w:tr>
      <w:tr w:rsidR="002E5FCA" w:rsidTr="004F4B1E">
        <w:trPr>
          <w:trHeight w:val="512"/>
          <w:jc w:val="center"/>
        </w:trPr>
        <w:tc>
          <w:tcPr>
            <w:tcW w:w="2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5FCA" w:rsidRPr="00AC4406" w:rsidRDefault="002E5FCA" w:rsidP="004D5634">
            <w:pPr>
              <w:spacing w:after="0" w:line="240" w:lineRule="auto"/>
              <w:jc w:val="center"/>
              <w:rPr>
                <w:b/>
                <w:bCs/>
                <w:color w:val="000000"/>
              </w:rPr>
            </w:pPr>
            <w:r w:rsidRPr="00AC4406">
              <w:rPr>
                <w:b/>
                <w:bCs/>
                <w:color w:val="000000"/>
              </w:rPr>
              <w:t>EDM</w:t>
            </w:r>
          </w:p>
        </w:tc>
        <w:tc>
          <w:tcPr>
            <w:tcW w:w="6948" w:type="dxa"/>
            <w:tcBorders>
              <w:top w:val="single" w:sz="4" w:space="0" w:color="auto"/>
              <w:left w:val="nil"/>
              <w:bottom w:val="single" w:sz="4" w:space="0" w:color="auto"/>
              <w:right w:val="single" w:sz="4" w:space="0" w:color="auto"/>
            </w:tcBorders>
            <w:shd w:val="clear" w:color="auto" w:fill="auto"/>
            <w:hideMark/>
          </w:tcPr>
          <w:p w:rsidR="002E5FCA" w:rsidRPr="00AC4406" w:rsidRDefault="002E5FCA" w:rsidP="004D5634">
            <w:pPr>
              <w:spacing w:after="0" w:line="240" w:lineRule="auto"/>
              <w:rPr>
                <w:color w:val="000000"/>
              </w:rPr>
            </w:pPr>
            <w:r w:rsidRPr="00AC4406">
              <w:rPr>
                <w:color w:val="000000"/>
              </w:rPr>
              <w:t xml:space="preserve">Electronic Data </w:t>
            </w:r>
            <w:r>
              <w:rPr>
                <w:color w:val="000000"/>
              </w:rPr>
              <w:t>Methods</w:t>
            </w:r>
          </w:p>
        </w:tc>
      </w:tr>
      <w:tr w:rsidR="002E5FCA" w:rsidTr="004F4B1E">
        <w:trPr>
          <w:trHeight w:val="512"/>
          <w:jc w:val="center"/>
        </w:trPr>
        <w:tc>
          <w:tcPr>
            <w:tcW w:w="2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5FCA" w:rsidRPr="00AC4406" w:rsidRDefault="002E5FCA" w:rsidP="004D5634">
            <w:pPr>
              <w:spacing w:after="0" w:line="240" w:lineRule="auto"/>
              <w:jc w:val="center"/>
              <w:rPr>
                <w:b/>
                <w:bCs/>
                <w:color w:val="000000"/>
              </w:rPr>
            </w:pPr>
            <w:r w:rsidRPr="00AC4406">
              <w:rPr>
                <w:b/>
                <w:bCs/>
                <w:color w:val="000000"/>
              </w:rPr>
              <w:t>EHR</w:t>
            </w:r>
          </w:p>
        </w:tc>
        <w:tc>
          <w:tcPr>
            <w:tcW w:w="6948" w:type="dxa"/>
            <w:tcBorders>
              <w:top w:val="single" w:sz="4" w:space="0" w:color="auto"/>
              <w:left w:val="nil"/>
              <w:bottom w:val="single" w:sz="4" w:space="0" w:color="auto"/>
              <w:right w:val="single" w:sz="4" w:space="0" w:color="auto"/>
            </w:tcBorders>
            <w:shd w:val="clear" w:color="auto" w:fill="auto"/>
            <w:hideMark/>
          </w:tcPr>
          <w:p w:rsidR="002E5FCA" w:rsidRPr="00AC4406" w:rsidRDefault="002E5FCA" w:rsidP="004D5634">
            <w:pPr>
              <w:spacing w:after="0" w:line="240" w:lineRule="auto"/>
              <w:rPr>
                <w:color w:val="000000"/>
              </w:rPr>
            </w:pPr>
            <w:r>
              <w:rPr>
                <w:color w:val="000000"/>
              </w:rPr>
              <w:t>Electronic Health Record</w:t>
            </w:r>
          </w:p>
        </w:tc>
      </w:tr>
      <w:tr w:rsidR="002E5FCA" w:rsidTr="002E5FCA">
        <w:trPr>
          <w:trHeight w:val="512"/>
          <w:jc w:val="center"/>
        </w:trPr>
        <w:tc>
          <w:tcPr>
            <w:tcW w:w="2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5FCA" w:rsidRDefault="002E5FCA" w:rsidP="004D5634">
            <w:pPr>
              <w:spacing w:after="0"/>
              <w:jc w:val="center"/>
              <w:rPr>
                <w:b/>
                <w:bCs/>
                <w:color w:val="000000"/>
              </w:rPr>
            </w:pPr>
            <w:r>
              <w:rPr>
                <w:rFonts w:cs="Calibri"/>
                <w:b/>
                <w:bCs/>
                <w:color w:val="000000"/>
                <w:kern w:val="24"/>
              </w:rPr>
              <w:t>EHR/EMR/PHR System Vendors</w:t>
            </w:r>
          </w:p>
        </w:tc>
        <w:tc>
          <w:tcPr>
            <w:tcW w:w="6948" w:type="dxa"/>
            <w:tcBorders>
              <w:top w:val="single" w:sz="4" w:space="0" w:color="auto"/>
              <w:left w:val="nil"/>
              <w:bottom w:val="single" w:sz="4" w:space="0" w:color="auto"/>
              <w:right w:val="single" w:sz="4" w:space="0" w:color="auto"/>
            </w:tcBorders>
            <w:shd w:val="clear" w:color="auto" w:fill="auto"/>
            <w:vAlign w:val="center"/>
            <w:hideMark/>
          </w:tcPr>
          <w:p w:rsidR="002E5FCA" w:rsidRDefault="002E5FCA" w:rsidP="004D5634">
            <w:pPr>
              <w:spacing w:after="0"/>
              <w:rPr>
                <w:color w:val="000000"/>
              </w:rPr>
            </w:pPr>
            <w:r>
              <w:rPr>
                <w:rFonts w:cs="Calibri"/>
                <w:color w:val="000000"/>
                <w:kern w:val="24"/>
              </w:rPr>
              <w:t>An organization which develops, sells, and sometimes installs, an EHR, EMR or PHR System for customer organizations.</w:t>
            </w:r>
          </w:p>
        </w:tc>
      </w:tr>
      <w:tr w:rsidR="002E5FCA" w:rsidTr="004D5634">
        <w:trPr>
          <w:trHeight w:val="125"/>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Default="002E5FCA" w:rsidP="004D5634">
            <w:pPr>
              <w:spacing w:after="0"/>
              <w:jc w:val="center"/>
              <w:rPr>
                <w:b/>
                <w:bCs/>
                <w:color w:val="000000"/>
              </w:rPr>
            </w:pPr>
            <w:r>
              <w:rPr>
                <w:rFonts w:cs="Calibri"/>
                <w:b/>
                <w:bCs/>
                <w:color w:val="000000"/>
                <w:kern w:val="24"/>
              </w:rPr>
              <w:t>Electronic Data Capture (EDC), Data mart/warehouse Vendors</w:t>
            </w:r>
          </w:p>
        </w:tc>
        <w:tc>
          <w:tcPr>
            <w:tcW w:w="6948" w:type="dxa"/>
            <w:tcBorders>
              <w:top w:val="nil"/>
              <w:left w:val="nil"/>
              <w:bottom w:val="single" w:sz="4" w:space="0" w:color="auto"/>
              <w:right w:val="single" w:sz="4" w:space="0" w:color="auto"/>
            </w:tcBorders>
            <w:shd w:val="clear" w:color="auto" w:fill="auto"/>
            <w:vAlign w:val="center"/>
            <w:hideMark/>
          </w:tcPr>
          <w:p w:rsidR="002E5FCA" w:rsidRDefault="002E5FCA" w:rsidP="004D5634">
            <w:pPr>
              <w:spacing w:after="0"/>
              <w:rPr>
                <w:rFonts w:cs="Calibri"/>
                <w:color w:val="000000"/>
                <w:kern w:val="24"/>
              </w:rPr>
            </w:pPr>
            <w:r>
              <w:rPr>
                <w:rFonts w:cs="Calibri"/>
                <w:color w:val="000000"/>
                <w:kern w:val="24"/>
              </w:rPr>
              <w:t>An organization which develops, sells, and sometimes installs, an EDC or data mart/warehouse product for customer organizations.</w:t>
            </w:r>
          </w:p>
          <w:p w:rsidR="002E5FCA" w:rsidRDefault="002E5FCA" w:rsidP="004D5634">
            <w:pPr>
              <w:spacing w:after="0"/>
              <w:rPr>
                <w:color w:val="000000"/>
              </w:rPr>
            </w:pPr>
            <w:r w:rsidRPr="007D6248">
              <w:rPr>
                <w:color w:val="000000"/>
              </w:rPr>
              <w:t>An EDC system is a computerized system designed for the collection of clinical data in electronic format for use in clinical trials. EDC replaces the traditional paper-based data collection methodology to streamline data collection for medical products.</w:t>
            </w:r>
          </w:p>
        </w:tc>
      </w:tr>
      <w:tr w:rsidR="002E5FCA" w:rsidTr="004D5634">
        <w:trPr>
          <w:trHeight w:val="422"/>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Default="002E5FCA" w:rsidP="004D5634">
            <w:pPr>
              <w:spacing w:after="0"/>
              <w:jc w:val="center"/>
              <w:rPr>
                <w:b/>
                <w:bCs/>
                <w:color w:val="000000"/>
              </w:rPr>
            </w:pPr>
            <w:r>
              <w:rPr>
                <w:rFonts w:cs="Calibri"/>
                <w:b/>
                <w:bCs/>
                <w:color w:val="000000"/>
                <w:kern w:val="24"/>
              </w:rPr>
              <w:t>Electronic Health Record (EHR)</w:t>
            </w:r>
          </w:p>
        </w:tc>
        <w:tc>
          <w:tcPr>
            <w:tcW w:w="6948" w:type="dxa"/>
            <w:tcBorders>
              <w:top w:val="nil"/>
              <w:left w:val="nil"/>
              <w:bottom w:val="single" w:sz="4" w:space="0" w:color="auto"/>
              <w:right w:val="single" w:sz="4" w:space="0" w:color="auto"/>
            </w:tcBorders>
            <w:shd w:val="clear" w:color="auto" w:fill="auto"/>
            <w:vAlign w:val="center"/>
            <w:hideMark/>
          </w:tcPr>
          <w:p w:rsidR="002E5FCA" w:rsidRDefault="002E5FCA" w:rsidP="004D5634">
            <w:pPr>
              <w:spacing w:after="0"/>
              <w:rPr>
                <w:color w:val="000000"/>
              </w:rPr>
            </w:pPr>
            <w:r>
              <w:rPr>
                <w:rFonts w:cs="Calibri"/>
                <w:color w:val="000000"/>
                <w:kern w:val="24"/>
              </w:rPr>
              <w:t xml:space="preserve">The electronic health record is a longitudinal electronic record of patient health information generated in one or more encounters in any care delivery setting. This information may include patient demographics, progress notes, problems, </w:t>
            </w:r>
            <w:proofErr w:type="gramStart"/>
            <w:r>
              <w:rPr>
                <w:rFonts w:cs="Calibri"/>
                <w:color w:val="000000"/>
                <w:kern w:val="24"/>
              </w:rPr>
              <w:t>medications</w:t>
            </w:r>
            <w:proofErr w:type="gramEnd"/>
            <w:r>
              <w:rPr>
                <w:rFonts w:cs="Calibri"/>
                <w:color w:val="000000"/>
                <w:kern w:val="24"/>
              </w:rPr>
              <w:t>, vital signs, past medical history, immunizations, laboratory information and radiology reports.</w:t>
            </w:r>
          </w:p>
        </w:tc>
      </w:tr>
      <w:tr w:rsidR="002E5FCA" w:rsidTr="006A724F">
        <w:trPr>
          <w:trHeight w:val="413"/>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Pr="00AC4406" w:rsidRDefault="002E5FCA" w:rsidP="004D5634">
            <w:pPr>
              <w:spacing w:after="0" w:line="240" w:lineRule="auto"/>
              <w:jc w:val="center"/>
              <w:rPr>
                <w:b/>
                <w:bCs/>
                <w:color w:val="000000"/>
              </w:rPr>
            </w:pPr>
            <w:proofErr w:type="spellStart"/>
            <w:r>
              <w:rPr>
                <w:b/>
                <w:bCs/>
                <w:color w:val="000000"/>
              </w:rPr>
              <w:t>eMERGE</w:t>
            </w:r>
            <w:proofErr w:type="spellEnd"/>
          </w:p>
        </w:tc>
        <w:tc>
          <w:tcPr>
            <w:tcW w:w="6948" w:type="dxa"/>
            <w:tcBorders>
              <w:top w:val="nil"/>
              <w:left w:val="nil"/>
              <w:bottom w:val="single" w:sz="4" w:space="0" w:color="auto"/>
              <w:right w:val="single" w:sz="4" w:space="0" w:color="auto"/>
            </w:tcBorders>
            <w:shd w:val="clear" w:color="auto" w:fill="auto"/>
            <w:hideMark/>
          </w:tcPr>
          <w:p w:rsidR="002E5FCA" w:rsidRDefault="002E5FCA" w:rsidP="004D5634">
            <w:pPr>
              <w:spacing w:after="0" w:line="240" w:lineRule="auto"/>
              <w:rPr>
                <w:color w:val="000000"/>
              </w:rPr>
            </w:pPr>
            <w:r w:rsidRPr="00781828">
              <w:rPr>
                <w:color w:val="000000"/>
              </w:rPr>
              <w:t>Electronic Medical Records and Genomics Network</w:t>
            </w:r>
          </w:p>
        </w:tc>
      </w:tr>
      <w:tr w:rsidR="002E5FCA" w:rsidTr="006A724F">
        <w:trPr>
          <w:trHeight w:val="413"/>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Default="002E5FCA" w:rsidP="004D5634">
            <w:pPr>
              <w:spacing w:after="0" w:line="240" w:lineRule="auto"/>
              <w:jc w:val="center"/>
              <w:rPr>
                <w:b/>
                <w:bCs/>
                <w:color w:val="000000"/>
              </w:rPr>
            </w:pPr>
            <w:r>
              <w:rPr>
                <w:b/>
                <w:bCs/>
                <w:color w:val="000000"/>
              </w:rPr>
              <w:t>EMR</w:t>
            </w:r>
          </w:p>
        </w:tc>
        <w:tc>
          <w:tcPr>
            <w:tcW w:w="6948" w:type="dxa"/>
            <w:tcBorders>
              <w:top w:val="nil"/>
              <w:left w:val="nil"/>
              <w:bottom w:val="single" w:sz="4" w:space="0" w:color="auto"/>
              <w:right w:val="single" w:sz="4" w:space="0" w:color="auto"/>
            </w:tcBorders>
            <w:shd w:val="clear" w:color="auto" w:fill="auto"/>
            <w:hideMark/>
          </w:tcPr>
          <w:p w:rsidR="002E5FCA" w:rsidRDefault="002E5FCA" w:rsidP="004D5634">
            <w:pPr>
              <w:spacing w:after="0" w:line="240" w:lineRule="auto"/>
              <w:rPr>
                <w:color w:val="000000"/>
              </w:rPr>
            </w:pPr>
            <w:r>
              <w:rPr>
                <w:color w:val="000000"/>
              </w:rPr>
              <w:t>Electronic Medical Record</w:t>
            </w:r>
          </w:p>
        </w:tc>
      </w:tr>
      <w:tr w:rsidR="002E5FCA" w:rsidTr="004D5634">
        <w:trPr>
          <w:trHeight w:val="413"/>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Default="002E5FCA" w:rsidP="004D5634">
            <w:pPr>
              <w:spacing w:after="0"/>
              <w:jc w:val="center"/>
              <w:rPr>
                <w:b/>
                <w:bCs/>
                <w:color w:val="000000"/>
              </w:rPr>
            </w:pPr>
            <w:r>
              <w:rPr>
                <w:b/>
                <w:bCs/>
                <w:color w:val="000000"/>
              </w:rPr>
              <w:t>End User</w:t>
            </w:r>
          </w:p>
        </w:tc>
        <w:tc>
          <w:tcPr>
            <w:tcW w:w="6948" w:type="dxa"/>
            <w:tcBorders>
              <w:top w:val="nil"/>
              <w:left w:val="nil"/>
              <w:bottom w:val="single" w:sz="4" w:space="0" w:color="auto"/>
              <w:right w:val="single" w:sz="4" w:space="0" w:color="auto"/>
            </w:tcBorders>
            <w:shd w:val="clear" w:color="auto" w:fill="auto"/>
            <w:vAlign w:val="center"/>
            <w:hideMark/>
          </w:tcPr>
          <w:p w:rsidR="002E5FCA" w:rsidRDefault="002E5FCA" w:rsidP="004D5634">
            <w:pPr>
              <w:spacing w:after="0"/>
              <w:rPr>
                <w:color w:val="000000"/>
              </w:rPr>
            </w:pPr>
            <w:r>
              <w:rPr>
                <w:rFonts w:cs="Calibri"/>
                <w:color w:val="000000"/>
                <w:kern w:val="24"/>
              </w:rPr>
              <w:t>Refers to any end user that is intended to or permitted to access the health record form(s) (i.e. patient, healthcare provider, specialist, researcher etc.).</w:t>
            </w:r>
          </w:p>
        </w:tc>
      </w:tr>
      <w:tr w:rsidR="002E5FCA" w:rsidTr="00F60856">
        <w:trPr>
          <w:trHeight w:val="70"/>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Default="002E5FCA" w:rsidP="004D5634">
            <w:pPr>
              <w:spacing w:after="0" w:line="240" w:lineRule="auto"/>
              <w:jc w:val="center"/>
              <w:rPr>
                <w:b/>
                <w:bCs/>
                <w:color w:val="000000"/>
              </w:rPr>
            </w:pPr>
            <w:proofErr w:type="spellStart"/>
            <w:r>
              <w:rPr>
                <w:b/>
                <w:bCs/>
                <w:color w:val="000000"/>
              </w:rPr>
              <w:t>ePRO</w:t>
            </w:r>
            <w:proofErr w:type="spellEnd"/>
          </w:p>
        </w:tc>
        <w:tc>
          <w:tcPr>
            <w:tcW w:w="6948" w:type="dxa"/>
            <w:tcBorders>
              <w:top w:val="nil"/>
              <w:left w:val="nil"/>
              <w:bottom w:val="single" w:sz="4" w:space="0" w:color="auto"/>
              <w:right w:val="single" w:sz="4" w:space="0" w:color="auto"/>
            </w:tcBorders>
            <w:shd w:val="clear" w:color="auto" w:fill="auto"/>
            <w:hideMark/>
          </w:tcPr>
          <w:p w:rsidR="002E5FCA" w:rsidRDefault="002E5FCA" w:rsidP="004D5634">
            <w:pPr>
              <w:spacing w:after="0" w:line="240" w:lineRule="auto"/>
              <w:rPr>
                <w:color w:val="000000"/>
              </w:rPr>
            </w:pPr>
            <w:r>
              <w:rPr>
                <w:color w:val="000000"/>
              </w:rPr>
              <w:t>Electronic Patient-Reported Outcome</w:t>
            </w:r>
          </w:p>
        </w:tc>
      </w:tr>
      <w:tr w:rsidR="002E5FCA" w:rsidTr="00F60856">
        <w:trPr>
          <w:trHeight w:val="70"/>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Default="002E5FCA" w:rsidP="004D5634">
            <w:pPr>
              <w:spacing w:after="0" w:line="240" w:lineRule="auto"/>
              <w:jc w:val="center"/>
              <w:rPr>
                <w:b/>
                <w:bCs/>
                <w:color w:val="000000"/>
              </w:rPr>
            </w:pPr>
            <w:r>
              <w:rPr>
                <w:b/>
                <w:bCs/>
                <w:color w:val="000000"/>
              </w:rPr>
              <w:t>EVS</w:t>
            </w:r>
          </w:p>
        </w:tc>
        <w:tc>
          <w:tcPr>
            <w:tcW w:w="6948" w:type="dxa"/>
            <w:tcBorders>
              <w:top w:val="nil"/>
              <w:left w:val="nil"/>
              <w:bottom w:val="single" w:sz="4" w:space="0" w:color="auto"/>
              <w:right w:val="single" w:sz="4" w:space="0" w:color="auto"/>
            </w:tcBorders>
            <w:shd w:val="clear" w:color="auto" w:fill="auto"/>
            <w:hideMark/>
          </w:tcPr>
          <w:p w:rsidR="002E5FCA" w:rsidRDefault="002E5FCA" w:rsidP="004D5634">
            <w:pPr>
              <w:spacing w:after="0" w:line="240" w:lineRule="auto"/>
              <w:rPr>
                <w:color w:val="000000"/>
              </w:rPr>
            </w:pPr>
            <w:r>
              <w:rPr>
                <w:color w:val="000000"/>
              </w:rPr>
              <w:t>Enterprise Vocabulary Services</w:t>
            </w:r>
          </w:p>
        </w:tc>
      </w:tr>
      <w:tr w:rsidR="002E5FCA" w:rsidTr="004D5634">
        <w:trPr>
          <w:trHeight w:val="70"/>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Default="002E5FCA" w:rsidP="004D5634">
            <w:pPr>
              <w:spacing w:after="0"/>
              <w:jc w:val="center"/>
              <w:rPr>
                <w:b/>
                <w:bCs/>
                <w:color w:val="000000"/>
              </w:rPr>
            </w:pPr>
            <w:r>
              <w:rPr>
                <w:b/>
                <w:bCs/>
                <w:color w:val="000000"/>
              </w:rPr>
              <w:t>External Data Repository</w:t>
            </w:r>
          </w:p>
        </w:tc>
        <w:tc>
          <w:tcPr>
            <w:tcW w:w="6948" w:type="dxa"/>
            <w:tcBorders>
              <w:top w:val="nil"/>
              <w:left w:val="nil"/>
              <w:bottom w:val="single" w:sz="4" w:space="0" w:color="auto"/>
              <w:right w:val="single" w:sz="4" w:space="0" w:color="auto"/>
            </w:tcBorders>
            <w:shd w:val="clear" w:color="auto" w:fill="auto"/>
            <w:vAlign w:val="center"/>
            <w:hideMark/>
          </w:tcPr>
          <w:p w:rsidR="002E5FCA" w:rsidRDefault="002E5FCA" w:rsidP="004D5634">
            <w:pPr>
              <w:spacing w:after="0"/>
              <w:rPr>
                <w:color w:val="000000"/>
              </w:rPr>
            </w:pPr>
            <w:r>
              <w:rPr>
                <w:rFonts w:cs="Calibri"/>
                <w:color w:val="000000"/>
                <w:kern w:val="24"/>
              </w:rPr>
              <w:t xml:space="preserve">A database, outside of the EHR system, where external data is stored. </w:t>
            </w:r>
          </w:p>
        </w:tc>
      </w:tr>
      <w:tr w:rsidR="002E5FCA" w:rsidTr="004D5634">
        <w:trPr>
          <w:trHeight w:val="305"/>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Default="002E5FCA" w:rsidP="004D5634">
            <w:pPr>
              <w:spacing w:after="0"/>
              <w:jc w:val="center"/>
              <w:rPr>
                <w:b/>
                <w:bCs/>
                <w:color w:val="000000"/>
              </w:rPr>
            </w:pPr>
            <w:r>
              <w:rPr>
                <w:rFonts w:cs="Calibri"/>
                <w:b/>
                <w:bCs/>
                <w:color w:val="000000"/>
                <w:kern w:val="24"/>
              </w:rPr>
              <w:t>External Form</w:t>
            </w:r>
          </w:p>
        </w:tc>
        <w:tc>
          <w:tcPr>
            <w:tcW w:w="6948" w:type="dxa"/>
            <w:tcBorders>
              <w:top w:val="nil"/>
              <w:left w:val="nil"/>
              <w:bottom w:val="single" w:sz="4" w:space="0" w:color="auto"/>
              <w:right w:val="single" w:sz="4" w:space="0" w:color="auto"/>
            </w:tcBorders>
            <w:shd w:val="clear" w:color="auto" w:fill="auto"/>
            <w:vAlign w:val="center"/>
            <w:hideMark/>
          </w:tcPr>
          <w:p w:rsidR="002E5FCA" w:rsidRDefault="002E5FCA" w:rsidP="004D5634">
            <w:pPr>
              <w:spacing w:after="0"/>
              <w:rPr>
                <w:color w:val="000000"/>
              </w:rPr>
            </w:pPr>
            <w:r>
              <w:rPr>
                <w:rFonts w:cs="Calibri"/>
                <w:color w:val="000000"/>
                <w:kern w:val="24"/>
              </w:rPr>
              <w:t>Any template/form that is not formatted with SDC standards.</w:t>
            </w:r>
          </w:p>
        </w:tc>
      </w:tr>
      <w:tr w:rsidR="002E5FCA" w:rsidRPr="00AC4406" w:rsidTr="002E5FCA">
        <w:tblPrEx>
          <w:jc w:val="left"/>
        </w:tblPrEx>
        <w:trPr>
          <w:trHeight w:val="70"/>
        </w:trPr>
        <w:tc>
          <w:tcPr>
            <w:tcW w:w="2628" w:type="dxa"/>
            <w:tcBorders>
              <w:top w:val="nil"/>
              <w:left w:val="single" w:sz="4" w:space="0" w:color="auto"/>
              <w:bottom w:val="single" w:sz="4" w:space="0" w:color="auto"/>
              <w:right w:val="single" w:sz="4" w:space="0" w:color="auto"/>
            </w:tcBorders>
            <w:shd w:val="clear" w:color="auto" w:fill="auto"/>
            <w:noWrap/>
            <w:vAlign w:val="center"/>
          </w:tcPr>
          <w:p w:rsidR="002E5FCA" w:rsidRDefault="002E5FCA" w:rsidP="004D5634">
            <w:pPr>
              <w:spacing w:after="0" w:line="240" w:lineRule="auto"/>
              <w:jc w:val="center"/>
              <w:rPr>
                <w:b/>
                <w:bCs/>
                <w:color w:val="000000"/>
              </w:rPr>
            </w:pPr>
            <w:r>
              <w:rPr>
                <w:b/>
                <w:bCs/>
                <w:color w:val="000000"/>
              </w:rPr>
              <w:t>FDA</w:t>
            </w:r>
          </w:p>
        </w:tc>
        <w:tc>
          <w:tcPr>
            <w:tcW w:w="6948" w:type="dxa"/>
            <w:tcBorders>
              <w:top w:val="nil"/>
              <w:left w:val="nil"/>
              <w:bottom w:val="single" w:sz="4" w:space="0" w:color="auto"/>
              <w:right w:val="single" w:sz="4" w:space="0" w:color="auto"/>
            </w:tcBorders>
            <w:shd w:val="clear" w:color="auto" w:fill="auto"/>
          </w:tcPr>
          <w:p w:rsidR="002E5FCA" w:rsidRDefault="002E5FCA" w:rsidP="004D5634">
            <w:pPr>
              <w:spacing w:after="0" w:line="240" w:lineRule="auto"/>
              <w:rPr>
                <w:color w:val="000000"/>
              </w:rPr>
            </w:pPr>
            <w:r>
              <w:rPr>
                <w:color w:val="000000"/>
              </w:rPr>
              <w:t>Food and Drug Administration</w:t>
            </w:r>
          </w:p>
        </w:tc>
      </w:tr>
      <w:tr w:rsidR="002E5FCA" w:rsidTr="004D5634">
        <w:trPr>
          <w:trHeight w:val="70"/>
          <w:jc w:val="center"/>
        </w:trPr>
        <w:tc>
          <w:tcPr>
            <w:tcW w:w="2628" w:type="dxa"/>
            <w:tcBorders>
              <w:top w:val="nil"/>
              <w:left w:val="single" w:sz="4" w:space="0" w:color="auto"/>
              <w:bottom w:val="single" w:sz="4" w:space="0" w:color="auto"/>
              <w:right w:val="single" w:sz="4" w:space="0" w:color="auto"/>
            </w:tcBorders>
            <w:shd w:val="clear" w:color="auto" w:fill="auto"/>
            <w:noWrap/>
            <w:vAlign w:val="center"/>
            <w:hideMark/>
          </w:tcPr>
          <w:p w:rsidR="002E5FCA" w:rsidRDefault="002E5FCA" w:rsidP="004D5634">
            <w:pPr>
              <w:spacing w:after="0"/>
              <w:jc w:val="center"/>
              <w:rPr>
                <w:b/>
                <w:bCs/>
                <w:color w:val="000000"/>
              </w:rPr>
            </w:pPr>
            <w:r>
              <w:rPr>
                <w:rFonts w:cs="Calibri"/>
                <w:b/>
                <w:bCs/>
                <w:color w:val="000000"/>
                <w:kern w:val="24"/>
              </w:rPr>
              <w:t>Federal Agencies</w:t>
            </w:r>
          </w:p>
        </w:tc>
        <w:tc>
          <w:tcPr>
            <w:tcW w:w="6948" w:type="dxa"/>
            <w:tcBorders>
              <w:top w:val="nil"/>
              <w:left w:val="nil"/>
              <w:bottom w:val="single" w:sz="4" w:space="0" w:color="auto"/>
              <w:right w:val="single" w:sz="4" w:space="0" w:color="auto"/>
            </w:tcBorders>
            <w:shd w:val="clear" w:color="auto" w:fill="auto"/>
            <w:vAlign w:val="center"/>
            <w:hideMark/>
          </w:tcPr>
          <w:p w:rsidR="002E5FCA" w:rsidRDefault="002E5FCA" w:rsidP="004D5634">
            <w:pPr>
              <w:spacing w:after="0"/>
              <w:rPr>
                <w:color w:val="000000"/>
              </w:rPr>
            </w:pPr>
            <w:r>
              <w:rPr>
                <w:rFonts w:cs="Calibri"/>
                <w:color w:val="000000"/>
                <w:kern w:val="24"/>
              </w:rPr>
              <w:t>Organizations within the federal government that deliver, regulate or provide funding for health and health care</w:t>
            </w:r>
          </w:p>
        </w:tc>
      </w:tr>
      <w:tr w:rsidR="002E5FCA" w:rsidRPr="00AC4406" w:rsidTr="002E5FCA">
        <w:tblPrEx>
          <w:jc w:val="left"/>
        </w:tblPrEx>
        <w:trPr>
          <w:trHeight w:val="70"/>
        </w:trPr>
        <w:tc>
          <w:tcPr>
            <w:tcW w:w="2628" w:type="dxa"/>
            <w:tcBorders>
              <w:top w:val="nil"/>
              <w:left w:val="single" w:sz="4" w:space="0" w:color="auto"/>
              <w:bottom w:val="single" w:sz="4" w:space="0" w:color="auto"/>
              <w:right w:val="single" w:sz="4" w:space="0" w:color="auto"/>
            </w:tcBorders>
            <w:shd w:val="clear" w:color="auto" w:fill="auto"/>
            <w:noWrap/>
            <w:vAlign w:val="center"/>
          </w:tcPr>
          <w:p w:rsidR="002E5FCA" w:rsidRDefault="002E5FCA" w:rsidP="004D5634">
            <w:pPr>
              <w:spacing w:after="0" w:line="240" w:lineRule="auto"/>
              <w:jc w:val="center"/>
              <w:rPr>
                <w:b/>
                <w:bCs/>
                <w:color w:val="000000"/>
              </w:rPr>
            </w:pPr>
            <w:r>
              <w:rPr>
                <w:b/>
                <w:bCs/>
                <w:color w:val="000000"/>
              </w:rPr>
              <w:t>FITBIR</w:t>
            </w:r>
          </w:p>
        </w:tc>
        <w:tc>
          <w:tcPr>
            <w:tcW w:w="6948" w:type="dxa"/>
            <w:tcBorders>
              <w:top w:val="nil"/>
              <w:left w:val="nil"/>
              <w:bottom w:val="single" w:sz="4" w:space="0" w:color="auto"/>
              <w:right w:val="single" w:sz="4" w:space="0" w:color="auto"/>
            </w:tcBorders>
            <w:shd w:val="clear" w:color="auto" w:fill="auto"/>
          </w:tcPr>
          <w:p w:rsidR="002E5FCA" w:rsidRDefault="002E5FCA" w:rsidP="004D5634">
            <w:pPr>
              <w:spacing w:after="0" w:line="240" w:lineRule="auto"/>
              <w:rPr>
                <w:color w:val="000000"/>
              </w:rPr>
            </w:pPr>
            <w:r>
              <w:rPr>
                <w:color w:val="000000"/>
              </w:rPr>
              <w:t>Federal Interagency Traumatic Brain Injury Research</w:t>
            </w:r>
          </w:p>
        </w:tc>
      </w:tr>
      <w:tr w:rsidR="002E5FCA" w:rsidRPr="00EB4CF2" w:rsidTr="0028297E">
        <w:tblPrEx>
          <w:jc w:val="left"/>
        </w:tblPrEx>
        <w:trPr>
          <w:trHeight w:val="77"/>
        </w:trPr>
        <w:tc>
          <w:tcPr>
            <w:tcW w:w="2628" w:type="dxa"/>
            <w:tcBorders>
              <w:top w:val="nil"/>
              <w:left w:val="single" w:sz="4" w:space="0" w:color="auto"/>
              <w:bottom w:val="single" w:sz="4" w:space="0" w:color="auto"/>
              <w:right w:val="single" w:sz="4" w:space="0" w:color="auto"/>
            </w:tcBorders>
            <w:shd w:val="clear" w:color="auto" w:fill="auto"/>
            <w:vAlign w:val="center"/>
            <w:hideMark/>
          </w:tcPr>
          <w:p w:rsidR="002E5FCA" w:rsidRDefault="002E5FCA" w:rsidP="004D5634">
            <w:pPr>
              <w:spacing w:after="0"/>
              <w:jc w:val="center"/>
              <w:rPr>
                <w:b/>
                <w:bCs/>
                <w:color w:val="000000"/>
              </w:rPr>
            </w:pPr>
            <w:r>
              <w:rPr>
                <w:rFonts w:cs="Calibri"/>
                <w:b/>
                <w:bCs/>
                <w:color w:val="000000"/>
                <w:kern w:val="24"/>
              </w:rPr>
              <w:t>Form/Template</w:t>
            </w:r>
          </w:p>
        </w:tc>
        <w:tc>
          <w:tcPr>
            <w:tcW w:w="6948" w:type="dxa"/>
            <w:tcBorders>
              <w:top w:val="nil"/>
              <w:left w:val="nil"/>
              <w:bottom w:val="single" w:sz="4" w:space="0" w:color="auto"/>
              <w:right w:val="single" w:sz="4" w:space="0" w:color="auto"/>
            </w:tcBorders>
            <w:shd w:val="clear" w:color="auto" w:fill="auto"/>
            <w:vAlign w:val="center"/>
            <w:hideMark/>
          </w:tcPr>
          <w:p w:rsidR="002E5FCA" w:rsidRDefault="002E5FCA" w:rsidP="004D5634">
            <w:pPr>
              <w:spacing w:after="0"/>
              <w:rPr>
                <w:color w:val="000000"/>
              </w:rPr>
            </w:pPr>
            <w:r>
              <w:rPr>
                <w:rFonts w:cs="Calibri"/>
                <w:color w:val="000000"/>
                <w:kern w:val="24"/>
              </w:rPr>
              <w:t>Refers to a form or template with data entry fields that will be filled out by an end user or provider.</w:t>
            </w:r>
          </w:p>
        </w:tc>
      </w:tr>
      <w:tr w:rsidR="002E5FCA" w:rsidRPr="00EB4CF2" w:rsidTr="0028297E">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E5FCA" w:rsidRPr="00EB4CF2" w:rsidRDefault="002E5FCA" w:rsidP="004D5634">
            <w:pPr>
              <w:spacing w:after="0"/>
              <w:jc w:val="center"/>
              <w:rPr>
                <w:color w:val="000000"/>
              </w:rPr>
            </w:pPr>
            <w:r w:rsidRPr="00C61622">
              <w:rPr>
                <w:rFonts w:cs="Calibri"/>
                <w:b/>
                <w:bCs/>
                <w:color w:val="000000"/>
                <w:kern w:val="24"/>
              </w:rPr>
              <w:lastRenderedPageBreak/>
              <w:t>Forms Manager</w:t>
            </w:r>
          </w:p>
        </w:tc>
        <w:tc>
          <w:tcPr>
            <w:tcW w:w="6948" w:type="dxa"/>
            <w:tcBorders>
              <w:top w:val="single" w:sz="4" w:space="0" w:color="auto"/>
              <w:left w:val="nil"/>
              <w:bottom w:val="single" w:sz="4" w:space="0" w:color="auto"/>
              <w:right w:val="single" w:sz="4" w:space="0" w:color="auto"/>
            </w:tcBorders>
            <w:shd w:val="clear" w:color="auto" w:fill="auto"/>
          </w:tcPr>
          <w:p w:rsidR="002E5FCA" w:rsidRPr="00EB4CF2" w:rsidRDefault="002E5FCA" w:rsidP="004D5634">
            <w:pPr>
              <w:spacing w:after="0" w:line="240" w:lineRule="auto"/>
              <w:rPr>
                <w:color w:val="000000"/>
              </w:rPr>
            </w:pPr>
            <w:r w:rsidRPr="00EB4CF2">
              <w:rPr>
                <w:color w:val="000000"/>
              </w:rPr>
              <w:t>The forms manager is a program utility that</w:t>
            </w:r>
            <w:r>
              <w:rPr>
                <w:color w:val="000000"/>
              </w:rPr>
              <w:t xml:space="preserve"> finds a requested form</w:t>
            </w:r>
            <w:r w:rsidRPr="00EB4CF2">
              <w:rPr>
                <w:color w:val="000000"/>
              </w:rPr>
              <w:t xml:space="preserve"> and </w:t>
            </w:r>
            <w:r>
              <w:rPr>
                <w:color w:val="000000"/>
              </w:rPr>
              <w:t>populates</w:t>
            </w:r>
            <w:r w:rsidRPr="00EB4CF2">
              <w:rPr>
                <w:color w:val="000000"/>
              </w:rPr>
              <w:t xml:space="preserve"> patient data </w:t>
            </w:r>
            <w:r>
              <w:rPr>
                <w:color w:val="000000"/>
              </w:rPr>
              <w:t>as provided from an external EHR system</w:t>
            </w:r>
            <w:r w:rsidRPr="00EB4CF2">
              <w:rPr>
                <w:color w:val="000000"/>
              </w:rPr>
              <w:t>.</w:t>
            </w:r>
          </w:p>
        </w:tc>
      </w:tr>
      <w:tr w:rsidR="0028297E" w:rsidRPr="00EB4CF2" w:rsidTr="0028297E">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line="240" w:lineRule="auto"/>
              <w:jc w:val="center"/>
              <w:rPr>
                <w:b/>
                <w:bCs/>
                <w:color w:val="000000"/>
              </w:rPr>
            </w:pPr>
            <w:proofErr w:type="spellStart"/>
            <w:r>
              <w:rPr>
                <w:b/>
                <w:bCs/>
                <w:color w:val="000000"/>
              </w:rPr>
              <w:t>HeD</w:t>
            </w:r>
            <w:proofErr w:type="spellEnd"/>
          </w:p>
        </w:tc>
        <w:tc>
          <w:tcPr>
            <w:tcW w:w="6948" w:type="dxa"/>
            <w:tcBorders>
              <w:top w:val="single" w:sz="4" w:space="0" w:color="auto"/>
              <w:left w:val="nil"/>
              <w:bottom w:val="single" w:sz="4" w:space="0" w:color="auto"/>
              <w:right w:val="single" w:sz="4" w:space="0" w:color="auto"/>
            </w:tcBorders>
            <w:shd w:val="clear" w:color="auto" w:fill="auto"/>
          </w:tcPr>
          <w:p w:rsidR="0028297E" w:rsidRDefault="0028297E" w:rsidP="001544F2">
            <w:pPr>
              <w:spacing w:after="0" w:line="240" w:lineRule="auto"/>
              <w:rPr>
                <w:color w:val="000000"/>
              </w:rPr>
            </w:pPr>
            <w:r>
              <w:rPr>
                <w:color w:val="000000"/>
              </w:rPr>
              <w:t xml:space="preserve">Health </w:t>
            </w:r>
            <w:proofErr w:type="spellStart"/>
            <w:r>
              <w:rPr>
                <w:color w:val="000000"/>
              </w:rPr>
              <w:t>eDecisions</w:t>
            </w:r>
            <w:proofErr w:type="spellEnd"/>
          </w:p>
        </w:tc>
      </w:tr>
      <w:tr w:rsidR="0028297E" w:rsidRPr="00EB4CF2" w:rsidTr="0028297E">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line="240" w:lineRule="auto"/>
              <w:jc w:val="center"/>
              <w:rPr>
                <w:b/>
                <w:bCs/>
                <w:color w:val="000000"/>
              </w:rPr>
            </w:pPr>
            <w:r>
              <w:rPr>
                <w:b/>
                <w:bCs/>
                <w:color w:val="000000"/>
              </w:rPr>
              <w:t>HHS</w:t>
            </w:r>
          </w:p>
        </w:tc>
        <w:tc>
          <w:tcPr>
            <w:tcW w:w="6948" w:type="dxa"/>
            <w:tcBorders>
              <w:top w:val="single" w:sz="4" w:space="0" w:color="auto"/>
              <w:left w:val="nil"/>
              <w:bottom w:val="single" w:sz="4" w:space="0" w:color="auto"/>
              <w:right w:val="single" w:sz="4" w:space="0" w:color="auto"/>
            </w:tcBorders>
            <w:shd w:val="clear" w:color="auto" w:fill="auto"/>
          </w:tcPr>
          <w:p w:rsidR="0028297E" w:rsidRDefault="0028297E" w:rsidP="001544F2">
            <w:pPr>
              <w:spacing w:after="0" w:line="240" w:lineRule="auto"/>
              <w:rPr>
                <w:color w:val="000000"/>
              </w:rPr>
            </w:pPr>
            <w:r>
              <w:rPr>
                <w:color w:val="000000"/>
              </w:rPr>
              <w:t>Department of Health and Human Services</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jc w:val="center"/>
              <w:rPr>
                <w:b/>
                <w:bCs/>
                <w:color w:val="000000"/>
              </w:rPr>
            </w:pPr>
            <w:r>
              <w:rPr>
                <w:rFonts w:cs="Calibri"/>
                <w:b/>
                <w:bCs/>
                <w:color w:val="000000"/>
                <w:kern w:val="24"/>
              </w:rPr>
              <w:t>Health Insurance Portability and Accountability Act (HIPAA)</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Default="0028297E" w:rsidP="001544F2">
            <w:pPr>
              <w:spacing w:after="0"/>
              <w:rPr>
                <w:color w:val="000000"/>
              </w:rPr>
            </w:pPr>
            <w:r>
              <w:rPr>
                <w:rFonts w:cs="Calibri"/>
                <w:color w:val="000000"/>
                <w:kern w:val="24"/>
              </w:rPr>
              <w:t>Health Insurance Portability and Accountability Act (1996): act that protects health insurance coverage for workers and their families when they change or lose their jobs; The basis  privacy policy relating an individual's protected health information, providers and payers.</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jc w:val="center"/>
              <w:rPr>
                <w:b/>
                <w:bCs/>
                <w:color w:val="000000"/>
              </w:rPr>
            </w:pPr>
            <w:r>
              <w:rPr>
                <w:rFonts w:cs="Calibri"/>
                <w:b/>
                <w:bCs/>
                <w:color w:val="000000"/>
                <w:kern w:val="24"/>
              </w:rPr>
              <w:t>Healthcare Information Exchange (HIE) System Vendors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Default="0028297E" w:rsidP="001544F2">
            <w:pPr>
              <w:spacing w:after="0"/>
              <w:rPr>
                <w:color w:val="000000"/>
              </w:rPr>
            </w:pPr>
            <w:r>
              <w:rPr>
                <w:rFonts w:cs="Calibri"/>
                <w:color w:val="000000"/>
                <w:kern w:val="24"/>
              </w:rPr>
              <w:t>An organization which develops, sells, and sometimes installs, an HIE for customer organizations.</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jc w:val="center"/>
              <w:rPr>
                <w:b/>
                <w:bCs/>
                <w:color w:val="000000"/>
              </w:rPr>
            </w:pPr>
            <w:r>
              <w:rPr>
                <w:rFonts w:cs="Calibri"/>
                <w:b/>
                <w:bCs/>
                <w:color w:val="000000"/>
                <w:kern w:val="24"/>
              </w:rPr>
              <w:t>Healthcare Payer/Purchaser</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Default="0028297E" w:rsidP="001544F2">
            <w:pPr>
              <w:spacing w:after="0"/>
              <w:rPr>
                <w:color w:val="000000"/>
              </w:rPr>
            </w:pPr>
            <w:r>
              <w:rPr>
                <w:rFonts w:cs="Calibri"/>
                <w:color w:val="000000"/>
                <w:kern w:val="24"/>
              </w:rPr>
              <w:t>A third-party entity that establishes indications and limitations of coverage for payments or underwrites coverage for healthcare expense.</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jc w:val="center"/>
              <w:rPr>
                <w:b/>
                <w:bCs/>
                <w:color w:val="000000"/>
              </w:rPr>
            </w:pPr>
            <w:r>
              <w:rPr>
                <w:rFonts w:cs="Calibri"/>
                <w:b/>
                <w:bCs/>
                <w:color w:val="000000"/>
                <w:kern w:val="24"/>
              </w:rPr>
              <w:t>Healthcare Professionals (Also referred to as Individual Providers)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Default="0028297E" w:rsidP="001544F2">
            <w:pPr>
              <w:spacing w:after="0"/>
              <w:rPr>
                <w:color w:val="000000"/>
              </w:rPr>
            </w:pPr>
            <w:r>
              <w:rPr>
                <w:rFonts w:cs="Calibri"/>
                <w:color w:val="000000"/>
                <w:kern w:val="24"/>
              </w:rPr>
              <w:t>Healthcare providers with patient care responsibilities (including physicians, advanced practice nurses, physician assistants, nurses, psychologists, emergency care providers, home health providers, definitive care providers, pharmacists) and other personnel involved in patient care.</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AC4406" w:rsidRDefault="0028297E" w:rsidP="001544F2">
            <w:pPr>
              <w:spacing w:after="0" w:line="240" w:lineRule="auto"/>
              <w:jc w:val="center"/>
              <w:rPr>
                <w:b/>
                <w:bCs/>
                <w:color w:val="000000"/>
              </w:rPr>
            </w:pPr>
            <w:r w:rsidRPr="00AC4406">
              <w:rPr>
                <w:b/>
                <w:bCs/>
                <w:color w:val="000000"/>
              </w:rPr>
              <w:t>HITECH</w:t>
            </w:r>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sidRPr="00AC4406">
              <w:rPr>
                <w:color w:val="000000"/>
              </w:rPr>
              <w:t xml:space="preserve">Health Information Technology for Economic </w:t>
            </w:r>
            <w:r>
              <w:rPr>
                <w:color w:val="000000"/>
              </w:rPr>
              <w:t>and Clinical Health Act of 2009</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AC4406" w:rsidRDefault="0028297E" w:rsidP="001544F2">
            <w:pPr>
              <w:spacing w:after="0" w:line="240" w:lineRule="auto"/>
              <w:jc w:val="center"/>
              <w:rPr>
                <w:b/>
                <w:bCs/>
                <w:color w:val="000000"/>
              </w:rPr>
            </w:pPr>
            <w:r>
              <w:rPr>
                <w:b/>
                <w:bCs/>
                <w:color w:val="000000"/>
              </w:rPr>
              <w:t>HRSA</w:t>
            </w:r>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Pr>
                <w:color w:val="000000"/>
              </w:rPr>
              <w:t>Human Resources and Service Administration</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jc w:val="center"/>
              <w:rPr>
                <w:rFonts w:cs="Calibri"/>
                <w:b/>
                <w:bCs/>
                <w:color w:val="000000"/>
                <w:kern w:val="24"/>
              </w:rPr>
            </w:pPr>
            <w:r>
              <w:rPr>
                <w:rFonts w:cs="Calibri"/>
                <w:b/>
                <w:bCs/>
                <w:color w:val="000000"/>
                <w:kern w:val="24"/>
              </w:rPr>
              <w:t>IHE</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Default="0028297E" w:rsidP="001544F2">
            <w:pPr>
              <w:spacing w:after="0"/>
              <w:rPr>
                <w:rFonts w:cs="Calibri"/>
                <w:color w:val="000000"/>
                <w:kern w:val="24"/>
              </w:rPr>
            </w:pPr>
            <w:r>
              <w:rPr>
                <w:rFonts w:cs="Calibri"/>
                <w:color w:val="000000"/>
                <w:kern w:val="24"/>
              </w:rPr>
              <w:t>Integrating the Healthcare Enterprise</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jc w:val="center"/>
              <w:rPr>
                <w:rFonts w:cs="Calibri"/>
                <w:b/>
                <w:bCs/>
                <w:color w:val="000000"/>
                <w:kern w:val="24"/>
              </w:rPr>
            </w:pPr>
            <w:r>
              <w:rPr>
                <w:rFonts w:cs="Calibri"/>
                <w:b/>
                <w:bCs/>
                <w:color w:val="000000"/>
                <w:kern w:val="24"/>
              </w:rPr>
              <w:t>Incident</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Default="0028297E" w:rsidP="001544F2">
            <w:pPr>
              <w:spacing w:after="0"/>
              <w:rPr>
                <w:rFonts w:cs="Calibri"/>
                <w:color w:val="000000"/>
                <w:kern w:val="24"/>
              </w:rPr>
            </w:pPr>
            <w:r>
              <w:rPr>
                <w:rFonts w:cs="Calibri"/>
                <w:color w:val="000000"/>
                <w:kern w:val="24"/>
              </w:rPr>
              <w:t xml:space="preserve">In patient safety, a </w:t>
            </w:r>
            <w:r w:rsidRPr="001C4634">
              <w:rPr>
                <w:rFonts w:cs="Calibri"/>
                <w:color w:val="000000"/>
                <w:kern w:val="24"/>
              </w:rPr>
              <w:t>patient safety event that reached a patient and either resulted in no</w:t>
            </w:r>
            <w:r>
              <w:rPr>
                <w:rFonts w:cs="Calibri"/>
                <w:color w:val="000000"/>
                <w:kern w:val="24"/>
              </w:rPr>
              <w:t xml:space="preserve"> </w:t>
            </w:r>
            <w:r w:rsidRPr="001C4634">
              <w:rPr>
                <w:rFonts w:cs="Calibri"/>
                <w:color w:val="000000"/>
                <w:kern w:val="24"/>
              </w:rPr>
              <w:t>harm (no harm incident) or harm (harm incident). The concept “reached</w:t>
            </w:r>
            <w:r>
              <w:rPr>
                <w:rFonts w:cs="Calibri"/>
                <w:color w:val="000000"/>
                <w:kern w:val="24"/>
              </w:rPr>
              <w:t xml:space="preserve"> </w:t>
            </w:r>
            <w:r w:rsidRPr="001C4634">
              <w:rPr>
                <w:rFonts w:cs="Calibri"/>
                <w:color w:val="000000"/>
                <w:kern w:val="24"/>
              </w:rPr>
              <w:t>a patient” encompasses any action by a healthcare practitioner or worker</w:t>
            </w:r>
            <w:r>
              <w:rPr>
                <w:rFonts w:cs="Calibri"/>
                <w:color w:val="000000"/>
                <w:kern w:val="24"/>
              </w:rPr>
              <w:t xml:space="preserve"> </w:t>
            </w:r>
            <w:r w:rsidRPr="001C4634">
              <w:rPr>
                <w:rFonts w:cs="Calibri"/>
                <w:color w:val="000000"/>
                <w:kern w:val="24"/>
              </w:rPr>
              <w:t>or healthcare circumstance that exposes a patient to harm. For example:</w:t>
            </w:r>
            <w:r>
              <w:rPr>
                <w:rFonts w:cs="Calibri"/>
                <w:color w:val="000000"/>
                <w:kern w:val="24"/>
              </w:rPr>
              <w:t xml:space="preserve"> </w:t>
            </w:r>
            <w:r w:rsidRPr="001C4634">
              <w:rPr>
                <w:rFonts w:cs="Calibri"/>
                <w:color w:val="000000"/>
                <w:kern w:val="24"/>
              </w:rPr>
              <w:t>if a nurse gives a patient an incorrect medication to take and the patient</w:t>
            </w:r>
            <w:r>
              <w:rPr>
                <w:rFonts w:cs="Calibri"/>
                <w:color w:val="000000"/>
                <w:kern w:val="24"/>
              </w:rPr>
              <w:t xml:space="preserve"> </w:t>
            </w:r>
            <w:r w:rsidRPr="001C4634">
              <w:rPr>
                <w:rFonts w:cs="Calibri"/>
                <w:color w:val="000000"/>
                <w:kern w:val="24"/>
              </w:rPr>
              <w:t>recognizes it as such and refuses to take it, an incident has occurred.</w:t>
            </w:r>
            <w:r>
              <w:rPr>
                <w:rFonts w:cs="Calibri"/>
                <w:color w:val="000000"/>
                <w:kern w:val="24"/>
              </w:rPr>
              <w:t xml:space="preserve"> </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jc w:val="center"/>
              <w:rPr>
                <w:b/>
                <w:bCs/>
                <w:color w:val="000000"/>
              </w:rPr>
            </w:pPr>
            <w:r>
              <w:rPr>
                <w:rFonts w:cs="Calibri"/>
                <w:b/>
                <w:bCs/>
                <w:color w:val="000000"/>
                <w:kern w:val="24"/>
              </w:rPr>
              <w:t>Integration Profile</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Default="0028297E" w:rsidP="001544F2">
            <w:pPr>
              <w:spacing w:after="0"/>
              <w:rPr>
                <w:color w:val="000000"/>
              </w:rPr>
            </w:pPr>
            <w:r>
              <w:rPr>
                <w:rFonts w:cs="Calibri"/>
                <w:color w:val="000000"/>
                <w:kern w:val="24"/>
              </w:rPr>
              <w:t>IHE Integration Profiles specify precisely how standards are to be used to address these needs, eliminating ambiguities, reducing configuration and interfacing costs, and ensuring a higher level of practical interoperability. IHE is now truly multi-domain with Integration Profiles for Radiology, Cardiology, Laboratory and Information Technology (IT) Infrastructure, which enable interoperability both within and across multiple enterprises.</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jc w:val="center"/>
              <w:rPr>
                <w:rFonts w:cs="Calibri"/>
                <w:b/>
                <w:bCs/>
                <w:color w:val="000000"/>
                <w:kern w:val="24"/>
              </w:rPr>
            </w:pPr>
            <w:r>
              <w:rPr>
                <w:rFonts w:cs="Calibri"/>
                <w:b/>
                <w:bCs/>
                <w:color w:val="000000"/>
                <w:kern w:val="24"/>
              </w:rPr>
              <w:t>IOM</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Default="0028297E" w:rsidP="001544F2">
            <w:pPr>
              <w:spacing w:after="0"/>
              <w:rPr>
                <w:rFonts w:cs="Calibri"/>
                <w:color w:val="000000"/>
                <w:kern w:val="24"/>
              </w:rPr>
            </w:pPr>
            <w:r>
              <w:rPr>
                <w:rFonts w:cs="Calibri"/>
                <w:color w:val="000000"/>
                <w:kern w:val="24"/>
              </w:rPr>
              <w:t xml:space="preserve">Institute of Medicine </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329B9" w:rsidRDefault="0028297E" w:rsidP="001544F2">
            <w:pPr>
              <w:spacing w:after="0"/>
              <w:jc w:val="center"/>
              <w:rPr>
                <w:rFonts w:cs="Calibri"/>
                <w:b/>
                <w:bCs/>
                <w:color w:val="000000"/>
                <w:kern w:val="24"/>
              </w:rPr>
            </w:pPr>
            <w:r w:rsidRPr="003329B9">
              <w:rPr>
                <w:rFonts w:eastAsia="Calibri" w:cs="Calibri"/>
                <w:b/>
              </w:rPr>
              <w:t>Learning Health System</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Default="0028297E" w:rsidP="001544F2">
            <w:pPr>
              <w:spacing w:after="0"/>
              <w:rPr>
                <w:rFonts w:cs="Calibri"/>
                <w:color w:val="000000"/>
                <w:kern w:val="24"/>
              </w:rPr>
            </w:pPr>
            <w:r>
              <w:t xml:space="preserve">“A Learning Health System (LHS) </w:t>
            </w:r>
            <w:r>
              <w:rPr>
                <w:i/>
              </w:rPr>
              <w:t>is</w:t>
            </w:r>
            <w:r>
              <w:t xml:space="preserve"> one in which progress in science, informatics, and care culture align to generate new knowledge as an ongoing, natural by-product of the care experience, and seamlessly refine </w:t>
            </w:r>
            <w:r>
              <w:lastRenderedPageBreak/>
              <w:t xml:space="preserve">and deliver best practices for continuous improvement in health and health care.” </w:t>
            </w:r>
            <w:r>
              <w:rPr>
                <w:rStyle w:val="FootnoteReference"/>
              </w:rPr>
              <w:footnoteReference w:id="2"/>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line="240" w:lineRule="auto"/>
              <w:jc w:val="center"/>
              <w:rPr>
                <w:b/>
                <w:bCs/>
                <w:color w:val="000000"/>
              </w:rPr>
            </w:pPr>
            <w:r>
              <w:rPr>
                <w:b/>
                <w:bCs/>
                <w:color w:val="000000"/>
              </w:rPr>
              <w:lastRenderedPageBreak/>
              <w:t>MAR</w:t>
            </w:r>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Pr>
                <w:color w:val="000000"/>
              </w:rPr>
              <w:t>Medication Administration Record</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329B9" w:rsidRDefault="0028297E" w:rsidP="001544F2">
            <w:pPr>
              <w:spacing w:after="0"/>
              <w:jc w:val="center"/>
              <w:rPr>
                <w:rFonts w:eastAsia="Calibri" w:cs="Calibri"/>
                <w:b/>
              </w:rPr>
            </w:pPr>
            <w:r w:rsidRPr="003329B9">
              <w:rPr>
                <w:rFonts w:eastAsia="Calibri" w:cs="Calibri"/>
                <w:b/>
              </w:rPr>
              <w:t>Metadata</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329B9" w:rsidRDefault="0028297E" w:rsidP="001544F2">
            <w:pPr>
              <w:spacing w:after="0"/>
            </w:pPr>
            <w:r w:rsidRPr="003329B9">
              <w:t>A set of data that describes and gives information about other data.</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line="240" w:lineRule="auto"/>
              <w:jc w:val="center"/>
              <w:rPr>
                <w:b/>
                <w:bCs/>
                <w:color w:val="000000"/>
              </w:rPr>
            </w:pPr>
            <w:r>
              <w:rPr>
                <w:b/>
                <w:bCs/>
                <w:color w:val="000000"/>
              </w:rPr>
              <w:t>NCI</w:t>
            </w:r>
          </w:p>
        </w:tc>
        <w:tc>
          <w:tcPr>
            <w:tcW w:w="6948" w:type="dxa"/>
            <w:tcBorders>
              <w:top w:val="single" w:sz="4" w:space="0" w:color="auto"/>
              <w:left w:val="nil"/>
              <w:bottom w:val="single" w:sz="4" w:space="0" w:color="auto"/>
              <w:right w:val="single" w:sz="4" w:space="0" w:color="auto"/>
            </w:tcBorders>
            <w:shd w:val="clear" w:color="auto" w:fill="auto"/>
          </w:tcPr>
          <w:p w:rsidR="0028297E" w:rsidRDefault="0028297E" w:rsidP="001544F2">
            <w:pPr>
              <w:spacing w:after="0" w:line="240" w:lineRule="auto"/>
              <w:rPr>
                <w:color w:val="000000"/>
              </w:rPr>
            </w:pPr>
            <w:r>
              <w:rPr>
                <w:color w:val="000000"/>
              </w:rPr>
              <w:t>National Cancer Institute</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line="240" w:lineRule="auto"/>
              <w:jc w:val="center"/>
              <w:rPr>
                <w:b/>
                <w:bCs/>
                <w:color w:val="000000"/>
              </w:rPr>
            </w:pPr>
            <w:r>
              <w:rPr>
                <w:b/>
                <w:bCs/>
                <w:color w:val="000000"/>
              </w:rPr>
              <w:t>NIH</w:t>
            </w:r>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Pr>
                <w:color w:val="000000"/>
              </w:rPr>
              <w:t>National Institutes of Health</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line="240" w:lineRule="auto"/>
              <w:jc w:val="center"/>
              <w:rPr>
                <w:b/>
                <w:bCs/>
                <w:color w:val="000000"/>
              </w:rPr>
            </w:pPr>
            <w:r>
              <w:rPr>
                <w:b/>
                <w:bCs/>
                <w:color w:val="000000"/>
              </w:rPr>
              <w:t>NLM</w:t>
            </w:r>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Pr>
                <w:color w:val="000000"/>
              </w:rPr>
              <w:t>National Library of Medicine</w:t>
            </w:r>
          </w:p>
        </w:tc>
      </w:tr>
      <w:tr w:rsidR="0028297E" w:rsidRPr="00EB4CF2" w:rsidTr="00BC7869">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Pr>
                <w:b/>
              </w:rPr>
              <w:t>ONC</w:t>
            </w:r>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sidRPr="00AC4406">
              <w:rPr>
                <w:color w:val="000000"/>
              </w:rPr>
              <w:t>Office of the National Coordinator fo</w:t>
            </w:r>
            <w:r>
              <w:rPr>
                <w:color w:val="000000"/>
              </w:rPr>
              <w:t>r Health Information Technology</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Patient Advocates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A person who helps a patient work with others who have an effect on the patient's health, including doctors, insurance companies, employers, case managers, and lawyers. A patient advocate helps resolve issues about health care, medical bills, and job discrimination related to a patient's medical condition.</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Patient Safety Event</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A patient involved event that has compromised the safety of a patient or patients. These events are each addressed in different ways according to the severity of the incident.</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Patient Safety Event Reporting System Vendors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Patient Safety Event Reporting Systems: applications which may, among other things, generate, send, or receive Patient Safety Event Reports</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Patients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Members of the public who require healthcare services from ambulatory, emergency department, physician’s office, and/or a public health agency/department.</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AC4406" w:rsidRDefault="0028297E" w:rsidP="001544F2">
            <w:pPr>
              <w:spacing w:after="0" w:line="240" w:lineRule="auto"/>
              <w:jc w:val="center"/>
              <w:rPr>
                <w:b/>
                <w:bCs/>
                <w:color w:val="000000"/>
              </w:rPr>
            </w:pPr>
            <w:r>
              <w:rPr>
                <w:b/>
                <w:bCs/>
                <w:color w:val="000000"/>
              </w:rPr>
              <w:t>PCOR</w:t>
            </w:r>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Pr>
                <w:color w:val="000000"/>
              </w:rPr>
              <w:t>Patient-Centered Outcomes Research</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AC4406" w:rsidRDefault="0028297E" w:rsidP="001544F2">
            <w:pPr>
              <w:spacing w:after="0" w:line="240" w:lineRule="auto"/>
              <w:jc w:val="center"/>
              <w:rPr>
                <w:b/>
                <w:bCs/>
                <w:color w:val="000000"/>
              </w:rPr>
            </w:pPr>
            <w:proofErr w:type="spellStart"/>
            <w:r w:rsidRPr="00AC4406">
              <w:rPr>
                <w:b/>
                <w:bCs/>
                <w:color w:val="000000"/>
              </w:rPr>
              <w:t>PhenX</w:t>
            </w:r>
            <w:proofErr w:type="spellEnd"/>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sidRPr="00AC4406">
              <w:rPr>
                <w:color w:val="000000"/>
              </w:rPr>
              <w:t>Consensus measur</w:t>
            </w:r>
            <w:r>
              <w:rPr>
                <w:color w:val="000000"/>
              </w:rPr>
              <w:t xml:space="preserve">es for Phenotypes and </w:t>
            </w:r>
            <w:proofErr w:type="spellStart"/>
            <w:r>
              <w:rPr>
                <w:color w:val="000000"/>
              </w:rPr>
              <w:t>eXposures</w:t>
            </w:r>
            <w:proofErr w:type="spellEnd"/>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AC4406" w:rsidRDefault="0028297E" w:rsidP="001544F2">
            <w:pPr>
              <w:spacing w:after="0" w:line="240" w:lineRule="auto"/>
              <w:jc w:val="center"/>
              <w:rPr>
                <w:b/>
                <w:bCs/>
                <w:color w:val="000000"/>
              </w:rPr>
            </w:pPr>
            <w:r>
              <w:rPr>
                <w:b/>
                <w:bCs/>
                <w:color w:val="000000"/>
              </w:rPr>
              <w:t>PHR</w:t>
            </w:r>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Pr>
                <w:color w:val="000000"/>
              </w:rPr>
              <w:t>Personal Health Record</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AC4406" w:rsidRDefault="0028297E" w:rsidP="001544F2">
            <w:pPr>
              <w:spacing w:after="0" w:line="240" w:lineRule="auto"/>
              <w:jc w:val="center"/>
              <w:rPr>
                <w:b/>
                <w:bCs/>
                <w:color w:val="000000"/>
              </w:rPr>
            </w:pPr>
            <w:r w:rsidRPr="00AC4406">
              <w:rPr>
                <w:b/>
                <w:bCs/>
                <w:color w:val="000000"/>
              </w:rPr>
              <w:t>PROMIS</w:t>
            </w:r>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sidRPr="00AC4406">
              <w:rPr>
                <w:color w:val="000000"/>
              </w:rPr>
              <w:t>Patient Repor</w:t>
            </w:r>
            <w:r>
              <w:rPr>
                <w:color w:val="000000"/>
              </w:rPr>
              <w:t>ted Outcomes Measurement System</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Patient Safety Organizations (PSOs)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Organizations that share the goal of improving the quality and safety of health care delivery, including public or private entities, profit or not-for-profit entities, provider entities such as hospital chains, and other entities that establish special components.</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Presentation</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Refers to the development of a front end or graphical user interface (GUI).</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Privacy and Security Experts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Professional in designing, implementing, and administering comprehensive privacy and security protection programs in all types of healthcare organizations, aligned with regulation and healthcare reform.</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AC4406" w:rsidRDefault="0028297E" w:rsidP="001544F2">
            <w:pPr>
              <w:spacing w:after="0" w:line="240" w:lineRule="auto"/>
              <w:jc w:val="center"/>
              <w:rPr>
                <w:b/>
                <w:bCs/>
                <w:color w:val="000000"/>
              </w:rPr>
            </w:pPr>
            <w:r w:rsidRPr="00AC4406">
              <w:rPr>
                <w:b/>
                <w:bCs/>
                <w:color w:val="000000"/>
              </w:rPr>
              <w:lastRenderedPageBreak/>
              <w:t>PROMIS</w:t>
            </w:r>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sidRPr="00AC4406">
              <w:rPr>
                <w:color w:val="000000"/>
              </w:rPr>
              <w:t>Patient Repor</w:t>
            </w:r>
            <w:r>
              <w:rPr>
                <w:color w:val="000000"/>
              </w:rPr>
              <w:t>ted Outcomes Measurement System</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Provider</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A provider describes any medical personnel that may come in contact with the patient, handle a patient's EHR Form, or provide a patient with medical care. This includes, but is not limited to personnel that handle transitional care or direct care. The following are examples of providers: doctors, nurse practitioners, nurses, unit clerks, clinical researchers, medical residents, EMTs, emergency care personnel, medical aids, etc.</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Provider Organizations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 xml:space="preserve">Organizations that are engaged in or support the delivery of healthcare. These organizations include but are not limited to hospitals, ambulatory centers, provider practices, integrated delivery systems, preferred provider organizations, health maintenance organizations, </w:t>
            </w:r>
            <w:proofErr w:type="gramStart"/>
            <w:r w:rsidRPr="003E03F8">
              <w:t>accountable</w:t>
            </w:r>
            <w:proofErr w:type="gramEnd"/>
            <w:r w:rsidRPr="003E03F8">
              <w:t xml:space="preserve"> care organizations, academic health systems, and professional societies.</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Patient Safety Organizations (PSOs)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Organizations that share the goal of improving the quality and safety of health care delivery, including public or private entities, profit or not-for-profit entities, provider entities such as hospital chains, and other entities that establish special components.</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Public Health Agency</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An entity under the jurisdiction of the U.S. Department of Health and Human Services, tribal organization, State level and/or city/county level administration that serves a public health function.</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Public Health Information System Vendors/Suppliers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Applications which may, among other things, receive Public health Reports</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Public Health Organization (State/Local)</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State or Local health department agencies that oversee and manage public health activities within their respective geographies.</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Default="0028297E" w:rsidP="001544F2">
            <w:pPr>
              <w:spacing w:after="0" w:line="240" w:lineRule="auto"/>
              <w:jc w:val="center"/>
              <w:rPr>
                <w:b/>
                <w:bCs/>
                <w:color w:val="000000"/>
              </w:rPr>
            </w:pPr>
            <w:r>
              <w:rPr>
                <w:b/>
                <w:bCs/>
                <w:color w:val="000000"/>
              </w:rPr>
              <w:t>QI</w:t>
            </w:r>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Pr>
                <w:color w:val="000000"/>
              </w:rPr>
              <w:t>Quality Improvement</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Quality improvement/ measurement organizations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 xml:space="preserve">A group of doctors and healthcare experts to check on and improve the care given to people. For example, QIO’s are key stakeholders in Hospital Acquired Infection reporting and in a range of care and transitions of care issues including the reporting and control of healthcare associated infections. </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Quality Reporting Agency</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 xml:space="preserve">Designed to improve the outcomes and quality of health care, reduce its costs, address patient safety and medical errors, and broaden access to effective services. For compliance purposes, providers are required to submit a set of quality measures to these agencies. </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Reportable Condition</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 xml:space="preserve">A reportable condition is a condition that can be considered of great public interest and importance. State and local health organizations require that </w:t>
            </w:r>
            <w:r w:rsidRPr="003E03F8">
              <w:lastRenderedPageBreak/>
              <w:t>these conditions be reported when they are diagnosed by doctors or laboratories.</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lastRenderedPageBreak/>
              <w:t>Repository for CDE</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Entity responsible for Storage and retrieval for Common Data Elements.</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Research Organizations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 xml:space="preserve">Organizations that conduct research activities in certain health, medical, biopharmaceutical, or similar fields to address challenges that could benefit a broad group of people. These organizations include academic research organizations such as universities and medical schools, biopharmaceutical companies, biomedical device companies, health research foundations, Federal health research agencies, etc. </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AC4406" w:rsidRDefault="0028297E" w:rsidP="001544F2">
            <w:pPr>
              <w:spacing w:after="0" w:line="240" w:lineRule="auto"/>
              <w:jc w:val="center"/>
              <w:rPr>
                <w:b/>
                <w:bCs/>
                <w:color w:val="000000"/>
              </w:rPr>
            </w:pPr>
            <w:r w:rsidRPr="00AC4406">
              <w:rPr>
                <w:b/>
                <w:bCs/>
                <w:color w:val="000000"/>
              </w:rPr>
              <w:t>RFD</w:t>
            </w:r>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Pr>
                <w:color w:val="000000"/>
              </w:rPr>
              <w:t>Retrieve Form for Data Capture</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Pr>
                <w:b/>
              </w:rPr>
              <w:t>S&amp;I</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t>Standards and Interoperability</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Pr>
                <w:b/>
              </w:rPr>
              <w:t>SDC</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t>Structured Data Capture</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Pr>
                <w:b/>
              </w:rPr>
              <w:t>SDO</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t>Standards Delivery Organization</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proofErr w:type="spellStart"/>
            <w:r>
              <w:rPr>
                <w:b/>
              </w:rPr>
              <w:t>SHARPn</w:t>
            </w:r>
            <w:proofErr w:type="spellEnd"/>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Pr>
                <w:color w:val="000000"/>
              </w:rPr>
              <w:t>Strategic Health IT Advanced Research Projects for normalization</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Small HIT Vendors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Refers to healthcare vendors that are smaller and may be unable of utilizing or implementing an EHR system.</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Pr>
                <w:b/>
              </w:rPr>
              <w:t>SSA</w:t>
            </w:r>
          </w:p>
        </w:tc>
        <w:tc>
          <w:tcPr>
            <w:tcW w:w="6948" w:type="dxa"/>
            <w:tcBorders>
              <w:top w:val="single" w:sz="4" w:space="0" w:color="auto"/>
              <w:left w:val="nil"/>
              <w:bottom w:val="single" w:sz="4" w:space="0" w:color="auto"/>
              <w:right w:val="single" w:sz="4" w:space="0" w:color="auto"/>
            </w:tcBorders>
            <w:shd w:val="clear" w:color="auto" w:fill="auto"/>
          </w:tcPr>
          <w:p w:rsidR="0028297E" w:rsidRPr="00AC4406" w:rsidRDefault="0028297E" w:rsidP="001544F2">
            <w:pPr>
              <w:spacing w:after="0" w:line="240" w:lineRule="auto"/>
              <w:rPr>
                <w:color w:val="000000"/>
              </w:rPr>
            </w:pPr>
            <w:r>
              <w:rPr>
                <w:color w:val="000000"/>
              </w:rPr>
              <w:t>Social Security Administration</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Standards Organizations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Organizations whose purpose is to define, harmonize and integrate standards that will meet clinical and business needs for sharing information among organizations and for system interoperability.  Includes Standards Development Organizations (SDOs) as accredited by the American National Standards Institute (ANSI), as well as consortia and other standards bodies.</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Pr>
                <w:b/>
              </w:rPr>
              <w:t>Surveillance Case Report</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Pr>
                <w:rFonts w:eastAsia="Calibri" w:cs="Calibri"/>
              </w:rPr>
              <w:t>Form used for public health reporting of infectious diseases</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System Packages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The action when form data concatenates or “packages” itself in a manner that is fit for transmission and storage on a database.</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User Stories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Any potential scenario that involves an End user accessing the system.</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Pr>
                <w:b/>
              </w:rPr>
              <w:t>VA</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t>Department of Veteran Affairs</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t>Vocabulary &amp; Terminology Owners</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 xml:space="preserve">Organization whose purpose it is to define, harmonize, and maintain clinical terminologies and vocabulary that will meet information sharing </w:t>
            </w:r>
            <w:r w:rsidRPr="003E03F8">
              <w:lastRenderedPageBreak/>
              <w:t>needs to drive towards system interoperability and standardization.</w:t>
            </w:r>
          </w:p>
        </w:tc>
      </w:tr>
      <w:tr w:rsidR="0028297E" w:rsidRPr="00EB4CF2" w:rsidTr="00B7591D">
        <w:tblPrEx>
          <w:jc w:val="left"/>
        </w:tblPrEx>
        <w:trPr>
          <w:trHeight w:val="77"/>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jc w:val="center"/>
              <w:rPr>
                <w:b/>
              </w:rPr>
            </w:pPr>
            <w:r w:rsidRPr="003E03F8">
              <w:rPr>
                <w:b/>
              </w:rPr>
              <w:lastRenderedPageBreak/>
              <w:t>XML</w:t>
            </w:r>
          </w:p>
        </w:tc>
        <w:tc>
          <w:tcPr>
            <w:tcW w:w="6948" w:type="dxa"/>
            <w:tcBorders>
              <w:top w:val="single" w:sz="4" w:space="0" w:color="auto"/>
              <w:left w:val="nil"/>
              <w:bottom w:val="single" w:sz="4" w:space="0" w:color="auto"/>
              <w:right w:val="single" w:sz="4" w:space="0" w:color="auto"/>
            </w:tcBorders>
            <w:shd w:val="clear" w:color="auto" w:fill="auto"/>
            <w:vAlign w:val="center"/>
          </w:tcPr>
          <w:p w:rsidR="0028297E" w:rsidRPr="003E03F8" w:rsidRDefault="0028297E" w:rsidP="001544F2">
            <w:pPr>
              <w:shd w:val="clear" w:color="auto" w:fill="FFFFFF" w:themeFill="background1"/>
            </w:pPr>
            <w:r w:rsidRPr="003E03F8">
              <w:t>Extensible Markup Language (XML) is a markup language that defines a set of rules for encoding documents in a format that is both human-readable and machine-readable.</w:t>
            </w:r>
          </w:p>
        </w:tc>
      </w:tr>
    </w:tbl>
    <w:p w:rsidR="00406625" w:rsidRPr="005D2402" w:rsidRDefault="00406625" w:rsidP="005D2402"/>
    <w:sectPr w:rsidR="00406625" w:rsidRPr="005D2402" w:rsidSect="0040662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091" w:rsidRDefault="00401091" w:rsidP="005D2402">
      <w:pPr>
        <w:spacing w:after="0" w:line="240" w:lineRule="auto"/>
      </w:pPr>
      <w:r>
        <w:separator/>
      </w:r>
    </w:p>
  </w:endnote>
  <w:endnote w:type="continuationSeparator" w:id="0">
    <w:p w:rsidR="00401091" w:rsidRDefault="00401091" w:rsidP="005D24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091" w:rsidRDefault="00401091" w:rsidP="005D2402">
      <w:pPr>
        <w:spacing w:after="0" w:line="240" w:lineRule="auto"/>
      </w:pPr>
      <w:r>
        <w:separator/>
      </w:r>
    </w:p>
  </w:footnote>
  <w:footnote w:type="continuationSeparator" w:id="0">
    <w:p w:rsidR="00401091" w:rsidRDefault="00401091" w:rsidP="005D2402">
      <w:pPr>
        <w:spacing w:after="0" w:line="240" w:lineRule="auto"/>
      </w:pPr>
      <w:r>
        <w:continuationSeparator/>
      </w:r>
    </w:p>
  </w:footnote>
  <w:footnote w:id="1">
    <w:p w:rsidR="002E5FCA" w:rsidRPr="000E1641" w:rsidRDefault="002E5FCA" w:rsidP="005D2402">
      <w:pPr>
        <w:pStyle w:val="FootnoteText"/>
        <w:rPr>
          <w:sz w:val="18"/>
          <w:szCs w:val="18"/>
        </w:rPr>
      </w:pPr>
      <w:r w:rsidRPr="000E1641">
        <w:rPr>
          <w:rStyle w:val="FootnoteReference"/>
          <w:sz w:val="18"/>
          <w:szCs w:val="18"/>
        </w:rPr>
        <w:footnoteRef/>
      </w:r>
      <w:r w:rsidRPr="000E1641">
        <w:rPr>
          <w:sz w:val="18"/>
          <w:szCs w:val="18"/>
        </w:rPr>
        <w:t xml:space="preserve"> http://wiki.siframework.org/share/view/47254038</w:t>
      </w:r>
    </w:p>
  </w:footnote>
  <w:footnote w:id="2">
    <w:p w:rsidR="0028297E" w:rsidRPr="000E1641" w:rsidRDefault="0028297E" w:rsidP="003329B9">
      <w:pPr>
        <w:pStyle w:val="FootnoteText"/>
        <w:rPr>
          <w:sz w:val="18"/>
          <w:szCs w:val="18"/>
        </w:rPr>
      </w:pPr>
      <w:r w:rsidRPr="000E1641">
        <w:rPr>
          <w:rStyle w:val="FootnoteReference"/>
          <w:sz w:val="18"/>
          <w:szCs w:val="18"/>
        </w:rPr>
        <w:footnoteRef/>
      </w:r>
      <w:r w:rsidRPr="000E1641">
        <w:rPr>
          <w:sz w:val="18"/>
          <w:szCs w:val="18"/>
        </w:rPr>
        <w:t xml:space="preserve"> http://www.cdisc.org/content3049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402" w:rsidRDefault="0028297E" w:rsidP="005D2402">
    <w:pPr>
      <w:pStyle w:val="Header"/>
      <w:jc w:val="center"/>
    </w:pPr>
    <w:r>
      <w:t xml:space="preserve">SDC </w:t>
    </w:r>
    <w:r w:rsidR="005D2402">
      <w:t>Glossary</w:t>
    </w:r>
  </w:p>
  <w:p w:rsidR="005D2402" w:rsidRDefault="00AB5133" w:rsidP="005D2402">
    <w:pPr>
      <w:pStyle w:val="Header"/>
      <w:jc w:val="center"/>
    </w:pPr>
    <w:r>
      <w:t>#</w:t>
    </w:r>
    <w:r w:rsidR="00787C9C">
      <w:t>, A</w:t>
    </w:r>
    <w:r w:rsidR="0028297E">
      <w:t>-Z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D2402"/>
    <w:rsid w:val="0028297E"/>
    <w:rsid w:val="00293ACE"/>
    <w:rsid w:val="002E5FCA"/>
    <w:rsid w:val="0031359F"/>
    <w:rsid w:val="00401091"/>
    <w:rsid w:val="00406625"/>
    <w:rsid w:val="005D2402"/>
    <w:rsid w:val="00655CF5"/>
    <w:rsid w:val="00787C9C"/>
    <w:rsid w:val="00AB5133"/>
    <w:rsid w:val="00AC3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0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D24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2402"/>
  </w:style>
  <w:style w:type="paragraph" w:styleId="Footer">
    <w:name w:val="footer"/>
    <w:basedOn w:val="Normal"/>
    <w:link w:val="FooterChar"/>
    <w:uiPriority w:val="99"/>
    <w:semiHidden/>
    <w:unhideWhenUsed/>
    <w:rsid w:val="005D24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2402"/>
  </w:style>
  <w:style w:type="paragraph" w:styleId="FootnoteText">
    <w:name w:val="footnote text"/>
    <w:basedOn w:val="Normal"/>
    <w:link w:val="FootnoteTextChar"/>
    <w:uiPriority w:val="99"/>
    <w:rsid w:val="005D2402"/>
    <w:pPr>
      <w:spacing w:after="0" w:line="240" w:lineRule="auto"/>
    </w:pPr>
    <w:rPr>
      <w:rFonts w:ascii="Times New Roman" w:hAnsi="Times New Roman"/>
      <w:sz w:val="24"/>
      <w:szCs w:val="24"/>
    </w:rPr>
  </w:style>
  <w:style w:type="character" w:customStyle="1" w:styleId="FootnoteTextChar">
    <w:name w:val="Footnote Text Char"/>
    <w:basedOn w:val="DefaultParagraphFont"/>
    <w:link w:val="FootnoteText"/>
    <w:uiPriority w:val="99"/>
    <w:rsid w:val="005D2402"/>
    <w:rPr>
      <w:rFonts w:ascii="Times New Roman" w:eastAsia="Times New Roman" w:hAnsi="Times New Roman" w:cs="Times New Roman"/>
      <w:sz w:val="24"/>
      <w:szCs w:val="24"/>
    </w:rPr>
  </w:style>
  <w:style w:type="character" w:styleId="FootnoteReference">
    <w:name w:val="footnote reference"/>
    <w:uiPriority w:val="99"/>
    <w:semiHidden/>
    <w:rsid w:val="005D2402"/>
    <w:rPr>
      <w:rFonts w:cs="Times New Roman"/>
      <w:vertAlign w:val="superscript"/>
    </w:rPr>
  </w:style>
  <w:style w:type="character" w:styleId="Hyperlink">
    <w:name w:val="Hyperlink"/>
    <w:basedOn w:val="DefaultParagraphFont"/>
    <w:uiPriority w:val="99"/>
    <w:unhideWhenUsed/>
    <w:rsid w:val="002829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lcaruso</dc:creator>
  <cp:lastModifiedBy>lcaruso</cp:lastModifiedBy>
  <cp:revision>3</cp:revision>
  <dcterms:created xsi:type="dcterms:W3CDTF">2013-07-03T14:41:00Z</dcterms:created>
  <dcterms:modified xsi:type="dcterms:W3CDTF">2013-07-10T17:07:00Z</dcterms:modified>
</cp:coreProperties>
</file>