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9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39"/>
        <w:gridCol w:w="669"/>
        <w:gridCol w:w="3824"/>
        <w:gridCol w:w="27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6" w:hRule="atLeast"/>
        </w:trPr>
        <w:tc>
          <w:tcPr>
            <w:tcW w:w="1539"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669"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3824"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能力等级</w:t>
            </w:r>
          </w:p>
        </w:tc>
        <w:tc>
          <w:tcPr>
            <w:tcW w:w="276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9"/>
              <w:spacing w:before="132"/>
              <w:ind w:left="283" w:right="271"/>
              <w:jc w:val="center"/>
              <w:rPr>
                <w:rFonts w:hint="eastAsia" w:eastAsia="宋体"/>
                <w:sz w:val="18"/>
                <w:szCs w:val="18"/>
                <w:lang w:val="en-US" w:eastAsia="zh-Hans"/>
              </w:rPr>
            </w:pPr>
            <w:r>
              <w:rPr>
                <w:rFonts w:hint="eastAsia"/>
                <w:sz w:val="18"/>
                <w:szCs w:val="18"/>
                <w:lang w:val="en-US" w:eastAsia="zh-Hans"/>
              </w:rPr>
              <w:t>企业成长能力</w:t>
            </w:r>
          </w:p>
        </w:tc>
        <w:tc>
          <w:tcPr>
            <w:tcW w:w="669"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qyczx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leftChars="0" w:right="122" w:rightChars="0"/>
              <w:jc w:val="both"/>
              <w:rPr>
                <w:rFonts w:hint="eastAsia" w:ascii="宋体" w:hAnsi="宋体" w:eastAsia="宋体" w:cs="宋体"/>
                <w:color w:val="333333"/>
                <w:kern w:val="2"/>
                <w:sz w:val="18"/>
                <w:szCs w:val="18"/>
                <w:lang w:eastAsia="zh-CN" w:bidi="zh-CN"/>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34" w:hRule="atLeast"/>
        </w:trPr>
        <w:tc>
          <w:tcPr>
            <w:tcW w:w="1539"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企业资产增长能力</w:t>
            </w:r>
          </w:p>
        </w:tc>
        <w:tc>
          <w:tcPr>
            <w:tcW w:w="669"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qyzczc</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53" w:hRule="atLeast"/>
        </w:trPr>
        <w:tc>
          <w:tcPr>
            <w:tcW w:w="1539"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企业盈利能力</w:t>
            </w:r>
          </w:p>
        </w:tc>
        <w:tc>
          <w:tcPr>
            <w:tcW w:w="669"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36" w:line="225" w:lineRule="auto"/>
              <w:ind w:right="122" w:rightChars="0"/>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qyyl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both"/>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leftChars="0" w:right="122" w:righ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企业盈利可持续能力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qyylkcx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qyylkcx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spacing w:before="24"/>
              <w:ind w:left="124"/>
              <w:jc w:val="both"/>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企业税收贡献能力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qyssgx</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qyssgx</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both"/>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企业税负强度</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qysfqd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qysfqd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both"/>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企业资产收益能力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qyzcsy</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ascii="宋体" w:hAnsi="宋体" w:eastAsia="宋体" w:cs="宋体"/>
                <w:kern w:val="2"/>
                <w:sz w:val="18"/>
                <w:szCs w:val="18"/>
                <w:lang w:val="zh-CN" w:eastAsia="zh-CN" w:bidi="zh-CN"/>
              </w:rPr>
            </w:pPr>
            <w:r>
              <w:rPr>
                <w:sz w:val="18"/>
                <w:szCs w:val="18"/>
              </w:rPr>
              <w:t>${</w:t>
            </w:r>
            <w:r>
              <w:rPr>
                <w:rFonts w:hint="eastAsia"/>
                <w:sz w:val="18"/>
                <w:szCs w:val="18"/>
              </w:rPr>
              <w:t>qyzcsy</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spacing w:before="24"/>
              <w:ind w:left="124"/>
              <w:jc w:val="both"/>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企业资产回报能力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qyzchb</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qyzchb</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both"/>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2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企业资本保值状况</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qyzbbz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both"/>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企业主营业务健康度</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qyzyywjkd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qyzyywjkd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both"/>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企业资产经营健康度</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qyzcjjjkd</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qyzcjjjkd</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both"/>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12"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企业资产周转能力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qyzczz</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qyzczz</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both"/>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企业人均产能</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qyrjcn</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qyrjcn</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both"/>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企业人均创收能力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qyrjcs</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qyrjcs</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both"/>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1"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企业还款能力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qyhknl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qyhknl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both"/>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45" w:hRule="atLeast"/>
        </w:trPr>
        <w:tc>
          <w:tcPr>
            <w:tcW w:w="1539"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企业担保能力</w:t>
            </w:r>
          </w:p>
        </w:tc>
        <w:tc>
          <w:tcPr>
            <w:tcW w:w="669"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qydbnl</w:t>
            </w:r>
            <w:r>
              <w:rPr>
                <w:sz w:val="18"/>
                <w:szCs w:val="18"/>
              </w:rPr>
              <w:t>_s}</w:t>
            </w:r>
          </w:p>
        </w:tc>
        <w:tc>
          <w:tcPr>
            <w:tcW w:w="3824" w:type="dxa"/>
            <w:tcBorders>
              <w:top w:val="single" w:color="7F7F7F" w:sz="6" w:space="0"/>
              <w:left w:val="single" w:color="7F7F7F" w:sz="6" w:space="0"/>
              <w:bottom w:val="single" w:color="7F7F7F" w:sz="6" w:space="0"/>
            </w:tcBorders>
            <w:vAlign w:val="center"/>
          </w:tcPr>
          <w:p>
            <w:pPr>
              <w:pStyle w:val="9"/>
              <w:spacing w:before="24"/>
              <w:jc w:val="center"/>
              <w:rPr>
                <w:rFonts w:hint="eastAsia" w:ascii="宋体" w:hAnsi="宋体" w:eastAsia="宋体" w:cs="宋体"/>
                <w:kern w:val="2"/>
                <w:sz w:val="18"/>
                <w:szCs w:val="18"/>
                <w:lang w:val="zh-CN" w:eastAsia="zh-CN" w:bidi="zh-CN"/>
              </w:rPr>
            </w:pPr>
            <w:r>
              <w:rPr>
                <w:sz w:val="18"/>
                <w:szCs w:val="18"/>
              </w:rPr>
              <w:t>${</w:t>
            </w:r>
            <w:r>
              <w:rPr>
                <w:rFonts w:hint="eastAsia"/>
                <w:sz w:val="18"/>
                <w:szCs w:val="18"/>
              </w:rPr>
              <w:t>qydbnl</w:t>
            </w:r>
            <w:r>
              <w:rPr>
                <w:sz w:val="18"/>
                <w:szCs w:val="18"/>
              </w:rPr>
              <w:t>_s_pic}</w:t>
            </w:r>
          </w:p>
        </w:tc>
        <w:tc>
          <w:tcPr>
            <w:tcW w:w="276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both"/>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leftChars="0"/>
              <w:jc w:val="both"/>
              <w:rPr>
                <w:rFonts w:hint="eastAsia" w:ascii="宋体" w:hAnsi="宋体" w:eastAsia="宋体" w:cs="宋体"/>
                <w:color w:val="333333"/>
                <w:kern w:val="2"/>
                <w:sz w:val="18"/>
                <w:szCs w:val="18"/>
                <w:lang w:val="zh-CN" w:eastAsia="zh-CN" w:bidi="zh-CN"/>
              </w:rPr>
            </w:pPr>
            <w:r>
              <w:rPr>
                <w:rFonts w:hint="eastAsia"/>
                <w:color w:val="333333"/>
                <w:sz w:val="18"/>
                <w:szCs w:val="18"/>
              </w:rPr>
              <w:t>通过分析企业抵质押 出质及企业类型等经营行为后的结果。主要反映企业在外部担保合作的能力，供判断担保合作可行性</w:t>
            </w:r>
          </w:p>
        </w:tc>
      </w:tr>
    </w:tbl>
    <w:p>
      <w:pPr>
        <w:pStyle w:val="5"/>
        <w:rPr>
          <w:rFonts w:hint="eastAsia"/>
          <w:b/>
          <w:bCs/>
          <w:lang w:val="en-US" w:eastAsia="zh-Hans"/>
        </w:rPr>
      </w:pPr>
      <w:bookmarkStart w:id="0" w:name="_GoBack"/>
      <w:bookmarkEnd w:id="0"/>
    </w:p>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${END</w:t>
            </w:r>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隶书">
    <w:altName w:val="报隶-简"/>
    <w:panose1 w:val="02010509060101010101"/>
    <w:charset w:val="86"/>
    <w:family w:val="auto"/>
    <w:pitch w:val="default"/>
    <w:sig w:usb0="00000000" w:usb1="0000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A8971E"/>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A71B8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9657A6"/>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BFEFDF7"/>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3DC7E"/>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2020-10-01T00:58:00Z</dcterms:created>
  <dc:creator>wanghan</dc:creator>
  <cp:lastModifiedBy>wanghan</cp:lastModifiedBy>
  <dcterms:modified xsi:type="dcterms:W3CDTF">2021-08-20T11:31:15Z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