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w:t>
      </w:r>
      <w:bookmarkStart w:id="0" w:name="_GoBack"/>
      <w:bookmarkEnd w:id="0"/>
      <w:r>
        <w:rPr>
          <w:rFonts w:hint="eastAsia"/>
          <w:lang w:val="en-US" w:eastAsia="zh-Hans"/>
        </w:rPr>
        <w:t>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2"/>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注：为多年度所有发票中单张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3"/>
        </w:numPr>
        <w:bidi w:val="0"/>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4.</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9"/>
              <w:spacing w:before="24"/>
              <w:ind w:right="103"/>
              <w:jc w:val="center"/>
              <w:rPr>
                <w:rFonts w:hint="eastAsia"/>
                <w:sz w:val="19"/>
              </w:rPr>
            </w:pPr>
            <w:r>
              <w:rPr>
                <w:rFonts w:hint="eastAsia"/>
                <w:sz w:val="19"/>
              </w:rPr>
              <w:t>2，下游企业与企业合作年限长，合作粘性好，双方互补或依存度高</w:t>
            </w:r>
          </w:p>
          <w:p>
            <w:pPr>
              <w:pStyle w:val="9"/>
              <w:spacing w:before="24"/>
              <w:ind w:right="103"/>
              <w:jc w:val="center"/>
              <w:rPr>
                <w:rFonts w:hint="eastAsia"/>
                <w:sz w:val="19"/>
              </w:rPr>
            </w:pPr>
            <w:r>
              <w:rPr>
                <w:rFonts w:hint="eastAsia"/>
                <w:sz w:val="19"/>
              </w:rPr>
              <w:t>3，下游企业更换频率低，大部分合作关系稳定</w:t>
            </w:r>
          </w:p>
          <w:p>
            <w:pPr>
              <w:pStyle w:val="9"/>
              <w:spacing w:before="24"/>
              <w:ind w:right="103"/>
              <w:jc w:val="center"/>
              <w:rPr>
                <w:rFonts w:hint="eastAsia"/>
                <w:sz w:val="19"/>
              </w:rPr>
            </w:pPr>
            <w:r>
              <w:rPr>
                <w:rFonts w:hint="eastAsia"/>
                <w:sz w:val="19"/>
              </w:rPr>
              <w:t>4，下游企业采购频率和金额良性增长，分布良好</w:t>
            </w:r>
          </w:p>
          <w:p>
            <w:pPr>
              <w:pStyle w:val="9"/>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9"/>
              <w:spacing w:before="24"/>
              <w:ind w:right="103"/>
              <w:jc w:val="center"/>
              <w:rPr>
                <w:rFonts w:hint="eastAsia"/>
                <w:sz w:val="19"/>
              </w:rPr>
            </w:pPr>
            <w:r>
              <w:rPr>
                <w:rFonts w:hint="eastAsia"/>
                <w:sz w:val="19"/>
              </w:rPr>
              <w:t>2，下游企业业务集中度高，少部分下游企业交易额总量占比高</w:t>
            </w:r>
          </w:p>
          <w:p>
            <w:pPr>
              <w:pStyle w:val="9"/>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5"/>
        </w:numPr>
        <w:bidi w:val="0"/>
        <w:ind w:left="425" w:leftChars="0" w:hanging="425" w:firstLineChars="0"/>
      </w:pPr>
      <w:r>
        <w:rPr>
          <w:rFonts w:hint="eastAsia"/>
          <w:lang w:val="en-US" w:eastAsia="zh-Hans"/>
        </w:rPr>
        <w:t>上游供应商稳定性分析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${fpjx_sygysslfb_img}</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2.</w:t>
      </w: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${fpjx_syqydyfb_img}</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3.</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4.</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9"/>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5"/>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20F0302020204030204"/>
    <w:charset w:val="00"/>
    <w:family w:val="auto"/>
    <w:pitch w:val="default"/>
    <w:sig w:usb0="00000000" w:usb1="00000000" w:usb2="00000009" w:usb3="00000000" w:csb0="200001FF" w:csb1="0000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626DCF"/>
    <w:rsid w:val="07EE6FE0"/>
    <w:rsid w:val="08224C15"/>
    <w:rsid w:val="0892343E"/>
    <w:rsid w:val="099F9FEF"/>
    <w:rsid w:val="0A5B4C6B"/>
    <w:rsid w:val="0B4C50DE"/>
    <w:rsid w:val="0C7775FD"/>
    <w:rsid w:val="0D8A08DC"/>
    <w:rsid w:val="0DE3740B"/>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DC7B34"/>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wanghan</cp:lastModifiedBy>
  <dcterms:modified xsi:type="dcterms:W3CDTF">2020-12-22T10:25:01Z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