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${fpxx_zyspfx_zhanbi}</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${fpjx_zycbfx_zhanbi}</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${fpjx_shuifei_ent}</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${fpjx_dianfei_ent}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${fpjx_ranqi_ent}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${fpjx_reli_ent}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${fpjx_ysycc_ent}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bookmarkStart w:id="0" w:name="_GoBack"/>
      <w:bookmarkEnd w:id="0"/>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${fpjx_wuye_ent}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_jxm}</w:t>
            </w:r>
          </w:p>
        </w:tc>
      </w:tr>
    </w:tbl>
    <w:p>
      <w:pPr>
        <w:pStyle w:val="9"/>
        <w:numPr>
          <w:ilvl w:val="0"/>
          <w:numId w:val="0"/>
        </w:numPr>
        <w:tabs>
          <w:tab w:val="left" w:pos="404"/>
        </w:tabs>
        <w:spacing w:before="204" w:after="0" w:line="240" w:lineRule="auto"/>
        <w:ind w:right="0" w:rightChars="0"/>
        <w:jc w:val="left"/>
        <w:rPr>
          <w:sz w:val="36"/>
        </w:rPr>
      </w:pP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_qt_xxm}</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6"/>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rPr>
          <w:trHeight w:val="345" w:hRule="atLeast"/>
        </w:trPr>
        <w:tc>
          <w:tcPr>
            <w:tcW w:w="70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_nmzb}</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月度销项红充发票分析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月度销项作废发票分析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_c12}</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单张开票金额TOP10记录</w:t>
      </w:r>
      <w:r>
        <w:rPr>
          <w:rFonts w:hint="default"/>
          <w:lang w:eastAsia="zh-Hans"/>
        </w:rPr>
        <w:t>（</w:t>
      </w:r>
      <w:r>
        <w:rPr>
          <w:rFonts w:hint="eastAsia"/>
          <w:lang w:val="en-US" w:eastAsia="zh-Hans"/>
        </w:rPr>
        <w:t>万元</w:t>
      </w:r>
      <w:r>
        <w:rPr>
          <w:rFonts w:hint="default"/>
          <w:lang w:eastAsia="zh-Hans"/>
        </w:rPr>
        <w:t>）</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_zb}</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sz w:val="36"/>
          <w:lang w:val="en-US" w:eastAsia="zh-Hans"/>
        </w:rPr>
        <w:t>下游企业汇总分析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下游与企业关系高度稳定</w:t>
            </w:r>
            <w:r>
              <w:rPr>
                <w:rFonts w:hint="eastAsia"/>
                <w:sz w:val="19"/>
              </w:rPr>
              <w:br w:type="textWrapping"/>
            </w:r>
            <w:r>
              <w:rPr>
                <w:rFonts w:hint="eastAsia"/>
                <w:sz w:val="19"/>
              </w:rPr>
              <w:t>1，下游企业自身稳定好，经营年限和经营状况良好</w:t>
            </w:r>
          </w:p>
          <w:p>
            <w:pPr>
              <w:pStyle w:val="8"/>
              <w:spacing w:before="24"/>
              <w:ind w:right="103"/>
              <w:jc w:val="center"/>
              <w:rPr>
                <w:rFonts w:hint="eastAsia"/>
                <w:sz w:val="19"/>
              </w:rPr>
            </w:pPr>
            <w:r>
              <w:rPr>
                <w:rFonts w:hint="eastAsia"/>
                <w:sz w:val="19"/>
              </w:rPr>
              <w:t>2，下游企业与企业合作年限长，合作粘性好，双方互补或依存度高</w:t>
            </w:r>
          </w:p>
          <w:p>
            <w:pPr>
              <w:pStyle w:val="8"/>
              <w:spacing w:before="24"/>
              <w:ind w:right="103"/>
              <w:jc w:val="center"/>
              <w:rPr>
                <w:rFonts w:hint="eastAsia"/>
                <w:sz w:val="19"/>
              </w:rPr>
            </w:pPr>
            <w:r>
              <w:rPr>
                <w:rFonts w:hint="eastAsia"/>
                <w:sz w:val="19"/>
              </w:rPr>
              <w:t>3，下游企业更换频率低，大部分合作关系稳定</w:t>
            </w:r>
          </w:p>
          <w:p>
            <w:pPr>
              <w:pStyle w:val="8"/>
              <w:spacing w:before="24"/>
              <w:ind w:right="103"/>
              <w:jc w:val="center"/>
              <w:rPr>
                <w:rFonts w:hint="eastAsia"/>
                <w:sz w:val="19"/>
              </w:rPr>
            </w:pPr>
            <w:r>
              <w:rPr>
                <w:rFonts w:hint="eastAsia"/>
                <w:sz w:val="19"/>
              </w:rPr>
              <w:t>4，下游企业采购频率和金额良性增长，分布良好</w:t>
            </w:r>
          </w:p>
          <w:p>
            <w:pPr>
              <w:pStyle w:val="8"/>
              <w:spacing w:before="24"/>
              <w:ind w:right="103"/>
              <w:jc w:val="center"/>
              <w:rPr>
                <w:rFonts w:hint="eastAsia"/>
                <w:sz w:val="19"/>
              </w:rPr>
            </w:pPr>
            <w:r>
              <w:rPr>
                <w:rFonts w:hint="eastAsia"/>
                <w:sz w:val="19"/>
              </w:rPr>
              <w:t>5，核心经销商的变化情况，尤其是TOP10或TOP20，如变化不大则稳定性好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下游与企业关系稳定较差</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下游客户集中度分析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销售前十企业总占比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rPr>
              <w:t>1，下游企业区域分布集中</w:t>
            </w:r>
          </w:p>
          <w:p>
            <w:pPr>
              <w:pStyle w:val="8"/>
              <w:spacing w:before="24"/>
              <w:ind w:right="103"/>
              <w:jc w:val="center"/>
              <w:rPr>
                <w:rFonts w:hint="eastAsia"/>
                <w:sz w:val="19"/>
              </w:rPr>
            </w:pPr>
            <w:r>
              <w:rPr>
                <w:rFonts w:hint="eastAsia"/>
                <w:sz w:val="19"/>
              </w:rPr>
              <w:t>2，下游企业业务集中度高，少部分下游企业交易额总量占比高</w:t>
            </w:r>
          </w:p>
          <w:p>
            <w:pPr>
              <w:pStyle w:val="8"/>
              <w:spacing w:before="24"/>
              <w:ind w:right="103"/>
              <w:jc w:val="center"/>
              <w:rPr>
                <w:rFonts w:hint="eastAsia"/>
                <w:sz w:val="19"/>
              </w:rPr>
            </w:pPr>
            <w:r>
              <w:rPr>
                <w:rFonts w:hint="eastAsia"/>
                <w:sz w:val="19"/>
              </w:rPr>
              <w:t>3，下游较少部分企业在企业主要商品的销售中占比高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下游企业集中度低，高度分散</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企业销售情况分布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年度进项发票情况汇总</w:t>
      </w:r>
      <w:r>
        <w:rPr>
          <w:rFonts w:hint="default"/>
          <w:lang w:eastAsia="zh-Hans"/>
        </w:rPr>
        <w:t>（</w:t>
      </w:r>
      <w:r>
        <w:rPr>
          <w:rFonts w:hint="eastAsia"/>
          <w:lang w:val="en-US" w:eastAsia="zh-Hans"/>
        </w:rPr>
        <w:t>万元</w:t>
      </w:r>
      <w:r>
        <w:rPr>
          <w:rFonts w:hint="default"/>
          <w:lang w:eastAsia="zh-Hans"/>
        </w:rPr>
        <w:t>）</w:t>
      </w:r>
    </w:p>
    <w:tbl>
      <w:tblPr>
        <w:tblStyle w:val="6"/>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rPr>
          <w:trHeight w:val="345" w:hRule="atLeast"/>
        </w:trPr>
        <w:tc>
          <w:tcPr>
            <w:tcW w:w="325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月度进项发票分析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_zb1}</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上游供应商稳定性分析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采购前十供应商总占比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rPr>
              <w:t>1，</w:t>
            </w:r>
            <w:r>
              <w:rPr>
                <w:rFonts w:hint="eastAsia"/>
                <w:sz w:val="19"/>
                <w:lang w:val="en-US" w:eastAsia="zh-Hans"/>
              </w:rPr>
              <w:t>上</w:t>
            </w:r>
            <w:r>
              <w:rPr>
                <w:rFonts w:hint="eastAsia"/>
                <w:sz w:val="19"/>
              </w:rPr>
              <w:t>游企业区域分布集中</w:t>
            </w:r>
          </w:p>
          <w:p>
            <w:pPr>
              <w:pStyle w:val="8"/>
              <w:spacing w:before="24"/>
              <w:ind w:right="103"/>
              <w:jc w:val="center"/>
              <w:rPr>
                <w:rFonts w:hint="eastAsia"/>
                <w:sz w:val="19"/>
              </w:rPr>
            </w:pPr>
            <w:r>
              <w:rPr>
                <w:rFonts w:hint="eastAsia"/>
                <w:sz w:val="19"/>
              </w:rPr>
              <w:t>2，</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8"/>
              <w:spacing w:before="24"/>
              <w:ind w:right="103"/>
              <w:jc w:val="center"/>
              <w:rPr>
                <w:rFonts w:hint="eastAsia"/>
                <w:sz w:val="19"/>
              </w:rPr>
            </w:pPr>
            <w:r>
              <w:rPr>
                <w:rFonts w:hint="eastAsia"/>
                <w:sz w:val="19"/>
              </w:rPr>
              <w:t>3，</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企业采购情况分布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6BB3007"/>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A86BCC"/>
    <w:rsid w:val="3DD5E20A"/>
    <w:rsid w:val="3DDF8528"/>
    <w:rsid w:val="3DF74FC5"/>
    <w:rsid w:val="3DFF1E8A"/>
    <w:rsid w:val="3E7E89D1"/>
    <w:rsid w:val="3EF43BF0"/>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EB1F41"/>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D3660E"/>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F71356"/>
    <w:rsid w:val="74D68DFA"/>
    <w:rsid w:val="74D82AB0"/>
    <w:rsid w:val="74FA8977"/>
    <w:rsid w:val="74FFE0C7"/>
    <w:rsid w:val="751828AF"/>
    <w:rsid w:val="756E3D8D"/>
    <w:rsid w:val="7575D1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C70D43"/>
    <w:rsid w:val="7DDB13F9"/>
    <w:rsid w:val="7DFE7E89"/>
    <w:rsid w:val="7E3FD5C0"/>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8F7D0B86"/>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EFFFD96"/>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2020-12-14T10:25:34Z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