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bookmarkStart w:id="0" w:name="_GoBack"/>
            <w:bookmarkEnd w:id="0"/>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2020-12-14T15:54:20Z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