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highlight w:val="none"/>
        </w:rPr>
      </w:pPr>
      <w:r>
        <w:rPr>
          <w:sz w:val="30"/>
          <w:szCs w:val="30"/>
          <w:highlight w:val="none"/>
        </w:rPr>
        <w:t>${Logo}</w:t>
      </w:r>
    </w:p>
    <w:p>
      <w:pPr>
        <w:jc w:val="center"/>
      </w:pPr>
    </w:p>
    <w:p>
      <w:pPr>
        <w:jc w:val="center"/>
      </w:pPr>
    </w:p>
    <w:p>
      <w:pPr>
        <w:jc w:val="center"/>
      </w:pPr>
    </w:p>
    <w:p>
      <w:pPr>
        <w:jc w:val="center"/>
      </w:pPr>
    </w:p>
    <w:p>
      <w:pPr>
        <w:jc w:val="center"/>
      </w:pPr>
    </w:p>
    <w:p>
      <w:pPr>
        <w:jc w:val="center"/>
      </w:pPr>
      <w:bookmarkStart w:id="0" w:name="_GoBack"/>
      <w:bookmarkEnd w:id="0"/>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5"/>
        <w:rPr>
          <w:sz w:val="33"/>
        </w:rPr>
      </w:pPr>
    </w:p>
    <w:p>
      <w:pPr>
        <w:spacing w:before="0" w:line="374" w:lineRule="auto"/>
        <w:ind w:left="102" w:right="153" w:firstLine="360"/>
        <w:jc w:val="left"/>
        <w:rPr>
          <w:sz w:val="24"/>
        </w:rPr>
      </w:pPr>
      <w:r>
        <w:rPr>
          <w:color w:val="333333"/>
          <w:sz w:val="24"/>
        </w:rPr>
        <w:t>一、报告由</w:t>
      </w:r>
      <w:r>
        <w:rPr>
          <w:rFonts w:hint="eastAsia"/>
          <w:color w:val="333333"/>
          <w:sz w:val="24"/>
        </w:rPr>
        <w:t>中企链创（北京）科技有限公司</w:t>
      </w:r>
      <w:r>
        <w:rPr>
          <w:color w:val="333333"/>
          <w:sz w:val="24"/>
        </w:rPr>
        <w:t>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w:t>
      </w:r>
      <w:r>
        <w:rPr>
          <w:rFonts w:hint="eastAsia"/>
          <w:color w:val="333333"/>
          <w:sz w:val="24"/>
        </w:rPr>
        <w:t>中企链创（北京）科技有限公司</w:t>
      </w:r>
      <w:r>
        <w:rPr>
          <w:color w:val="333333"/>
          <w:sz w:val="24"/>
        </w:rPr>
        <w:t>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w:t>
      </w:r>
      <w:r>
        <w:rPr>
          <w:rFonts w:hint="eastAsia"/>
          <w:color w:val="333333"/>
          <w:sz w:val="24"/>
        </w:rPr>
        <w:t>中企链创（北京）科技有限公司</w:t>
      </w:r>
      <w:r>
        <w:rPr>
          <w:color w:val="333333"/>
          <w:sz w:val="24"/>
        </w:rPr>
        <w:t>保留对其信用状态的跟踪观察并根据实际情况及时调整与公布评估报告内容之权力。</w:t>
      </w:r>
    </w:p>
    <w:p>
      <w:pPr>
        <w:pStyle w:val="5"/>
        <w:rPr>
          <w:sz w:val="24"/>
        </w:rPr>
      </w:pPr>
    </w:p>
    <w:p>
      <w:pPr>
        <w:pStyle w:val="5"/>
        <w:rPr>
          <w:sz w:val="24"/>
        </w:rPr>
      </w:pPr>
    </w:p>
    <w:p>
      <w:pPr>
        <w:pStyle w:val="5"/>
        <w:rPr>
          <w:sz w:val="24"/>
        </w:rPr>
      </w:pPr>
    </w:p>
    <w:p>
      <w:pPr>
        <w:spacing w:before="207"/>
        <w:ind w:right="0"/>
        <w:jc w:val="right"/>
        <w:rPr>
          <w:sz w:val="24"/>
        </w:rPr>
      </w:pPr>
      <w:r>
        <w:rPr>
          <w:rFonts w:hint="eastAsia"/>
          <w:color w:val="333333"/>
          <w:sz w:val="24"/>
        </w:rPr>
        <w:t>中企链创（北京）科技有限公司</w:t>
      </w:r>
    </w:p>
    <w:p>
      <w:pPr>
        <w:pStyle w:val="5"/>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rFonts w:hint="eastAsia"/>
          <w:b/>
          <w:bCs/>
          <w:sz w:val="29"/>
          <w:lang w:eastAsia="zh-CN"/>
        </w:rPr>
        <w:t>中企链创</w:t>
      </w:r>
      <w:r>
        <w:rPr>
          <w:b/>
          <w:bCs/>
          <w:sz w:val="29"/>
        </w:rPr>
        <w:t>指数</w:t>
      </w:r>
    </w:p>
    <w:p>
      <w:pPr>
        <w:pStyle w:val="5"/>
        <w:spacing w:before="92"/>
        <w:ind w:left="102"/>
        <w:rPr>
          <w:b/>
          <w:bCs/>
        </w:rPr>
      </w:pPr>
      <w:r>
        <w:rPr>
          <w:b/>
          <w:bCs/>
        </w:rPr>
        <w:t>企业发展指数</w:t>
      </w:r>
    </w:p>
    <w:p>
      <w:pPr>
        <w:pStyle w:val="5"/>
        <w:spacing w:before="6"/>
        <w:rPr>
          <w:sz w:val="9"/>
        </w:rPr>
      </w:pPr>
    </w:p>
    <w:tbl>
      <w:tblPr>
        <w:tblStyle w:val="7"/>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rPr>
          <w:trHeight w:val="345" w:hRule="atLeast"/>
        </w:trPr>
        <w:tc>
          <w:tcPr>
            <w:tcW w:w="1601" w:type="dxa"/>
            <w:tcBorders>
              <w:right w:val="single" w:color="7F7F7F" w:sz="6" w:space="0"/>
            </w:tcBorders>
            <w:shd w:val="clear" w:color="auto" w:fill="EEEEEE"/>
            <w:vAlign w:val="center"/>
          </w:tcPr>
          <w:p>
            <w:pPr>
              <w:pStyle w:val="9"/>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9"/>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9"/>
              <w:jc w:val="center"/>
              <w:rPr>
                <w:rFonts w:ascii="Times New Roman"/>
                <w:sz w:val="18"/>
              </w:rPr>
            </w:pPr>
            <w:r>
              <w:rPr>
                <w:rFonts w:ascii="Times New Roman"/>
                <w:sz w:val="18"/>
              </w:rPr>
              <w:t>${fz_detail}</w:t>
            </w:r>
          </w:p>
        </w:tc>
      </w:tr>
    </w:tbl>
    <w:p>
      <w:pPr>
        <w:pStyle w:val="5"/>
        <w:spacing w:before="1"/>
        <w:rPr>
          <w:sz w:val="28"/>
        </w:rPr>
      </w:pPr>
    </w:p>
    <w:tbl>
      <w:tblPr>
        <w:tblStyle w:val="7"/>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9"/>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5"/>
        <w:spacing w:before="1"/>
        <w:rPr>
          <w:sz w:val="28"/>
        </w:rPr>
      </w:pPr>
    </w:p>
    <w:tbl>
      <w:tblPr>
        <w:tblStyle w:val="7"/>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5"/>
        <w:spacing w:before="10"/>
        <w:rPr>
          <w:sz w:val="24"/>
        </w:rPr>
      </w:pPr>
    </w:p>
    <w:p>
      <w:pPr>
        <w:pStyle w:val="5"/>
        <w:ind w:left="102"/>
        <w:rPr>
          <w:b/>
          <w:bCs/>
        </w:rPr>
      </w:pPr>
      <w:r>
        <w:rPr>
          <w:b/>
          <w:bCs/>
        </w:rPr>
        <w:t>企业风险指数</w:t>
      </w:r>
    </w:p>
    <w:p>
      <w:pPr>
        <w:pStyle w:val="5"/>
        <w:spacing w:before="6"/>
        <w:rPr>
          <w:sz w:val="9"/>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right w:val="single" w:color="7F7F7F" w:sz="6" w:space="0"/>
            </w:tcBorders>
            <w:shd w:val="clear" w:color="auto" w:fill="EEEEEE"/>
          </w:tcPr>
          <w:p>
            <w:pPr>
              <w:pStyle w:val="9"/>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9"/>
              <w:jc w:val="center"/>
              <w:rPr>
                <w:rFonts w:ascii="Times New Roman"/>
                <w:sz w:val="18"/>
              </w:rPr>
            </w:pPr>
            <w:r>
              <w:rPr>
                <w:rFonts w:ascii="Times New Roman"/>
                <w:sz w:val="18"/>
              </w:rPr>
              <w:t>${fx_detail}</w:t>
            </w:r>
          </w:p>
        </w:tc>
      </w:tr>
    </w:tbl>
    <w:p>
      <w:pPr>
        <w:pStyle w:val="5"/>
        <w:spacing w:before="1"/>
        <w:rPr>
          <w:sz w:val="28"/>
        </w:rPr>
      </w:pPr>
    </w:p>
    <w:tbl>
      <w:tblPr>
        <w:tblStyle w:val="7"/>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51"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9"/>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5"/>
        <w:spacing w:before="1"/>
        <w:rPr>
          <w:sz w:val="28"/>
        </w:rPr>
      </w:pPr>
    </w:p>
    <w:tbl>
      <w:tblPr>
        <w:tblStyle w:val="7"/>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说明</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9"/>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通过获取和分析实际控制人和高级管理人员信息，分析企业潜在风险</w:t>
            </w:r>
          </w:p>
        </w:tc>
      </w:tr>
      <w:tr>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通过企业社保人员规模、招聘数据，分析企业人员变化情况，提前研判</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通过涉税数据掌握和分析企业纳税情况，了解企业经营状态和税务风险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rPr>
          <w:trHeight w:val="573" w:hRule="atLeast"/>
        </w:trPr>
        <w:tc>
          <w:tcPr>
            <w:tcW w:w="1638" w:type="dxa"/>
            <w:tcBorders>
              <w:top w:val="single" w:color="7F7F7F" w:sz="6" w:space="0"/>
              <w:bottom w:val="single" w:color="7F7F7F" w:sz="6" w:space="0"/>
              <w:right w:val="single" w:color="7F7F7F" w:sz="6" w:space="0"/>
            </w:tcBorders>
            <w:vAlign w:val="center"/>
          </w:tcPr>
          <w:p>
            <w:pPr>
              <w:pStyle w:val="9"/>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rPr>
          <w:trHeight w:val="345" w:hRule="atLeast"/>
        </w:trPr>
        <w:tc>
          <w:tcPr>
            <w:tcW w:w="1638" w:type="dxa"/>
            <w:tcBorders>
              <w:top w:val="single" w:color="7F7F7F" w:sz="6" w:space="0"/>
              <w:bottom w:val="single" w:color="7F7F7F" w:sz="6" w:space="0"/>
              <w:right w:val="single" w:color="7F7F7F" w:sz="6" w:space="0"/>
            </w:tcBorders>
            <w:vAlign w:val="center"/>
          </w:tcPr>
          <w:p>
            <w:pPr>
              <w:pStyle w:val="9"/>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9"/>
              <w:spacing w:before="24"/>
              <w:ind w:left="124"/>
              <w:rPr>
                <w:sz w:val="19"/>
              </w:rPr>
            </w:pPr>
            <w:r>
              <w:rPr>
                <w:color w:val="333333"/>
                <w:sz w:val="19"/>
              </w:rPr>
              <w:t>通过行政处罚方面情况，判断企业经营合法性与遵从社会责任方面风险</w:t>
            </w:r>
          </w:p>
        </w:tc>
      </w:tr>
      <w:tr>
        <w:trPr>
          <w:trHeight w:val="345" w:hRule="atLeast"/>
        </w:trPr>
        <w:tc>
          <w:tcPr>
            <w:tcW w:w="1638" w:type="dxa"/>
            <w:tcBorders>
              <w:top w:val="single" w:color="7F7F7F" w:sz="6" w:space="0"/>
              <w:right w:val="single" w:color="7F7F7F" w:sz="6" w:space="0"/>
            </w:tcBorders>
            <w:vAlign w:val="center"/>
          </w:tcPr>
          <w:p>
            <w:pPr>
              <w:pStyle w:val="9"/>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9"/>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p>
    <w:p>
      <w:pPr>
        <w:pStyle w:val="5"/>
        <w:ind w:left="102"/>
        <w:rPr>
          <w:rFonts w:hint="eastAsia"/>
          <w:b/>
          <w:bCs/>
          <w:lang w:val="en-US" w:eastAsia="zh-Hans"/>
        </w:rPr>
      </w:pPr>
      <w:r>
        <w:rPr>
          <w:b/>
          <w:bCs/>
        </w:rPr>
        <w:t>企业</w:t>
      </w:r>
      <w:r>
        <w:rPr>
          <w:rFonts w:hint="eastAsia"/>
          <w:b/>
          <w:bCs/>
          <w:lang w:val="en-US" w:eastAsia="zh-Hans"/>
        </w:rPr>
        <w:t>特征分数</w:t>
      </w:r>
    </w:p>
    <w:p>
      <w:pPr>
        <w:pStyle w:val="5"/>
        <w:ind w:left="102"/>
        <w:rPr>
          <w:rFonts w:hint="eastAsia"/>
          <w:b/>
          <w:bCs/>
          <w:lang w:val="en-US" w:eastAsia="zh-Hans"/>
        </w:rPr>
      </w:pPr>
    </w:p>
    <w:tbl>
      <w:tblPr>
        <w:tblStyle w:val="7"/>
        <w:tblW w:w="8778" w:type="dxa"/>
        <w:tblInd w:w="-14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455"/>
        <w:gridCol w:w="1067"/>
        <w:gridCol w:w="5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455" w:type="dxa"/>
            <w:tcBorders>
              <w:bottom w:val="single" w:color="7F7F7F" w:sz="6" w:space="0"/>
              <w:right w:val="single" w:color="7F7F7F" w:sz="6" w:space="0"/>
            </w:tcBorders>
            <w:shd w:val="clear" w:color="auto" w:fill="EEEEEE"/>
            <w:vAlign w:val="center"/>
          </w:tcPr>
          <w:p>
            <w:pPr>
              <w:pStyle w:val="9"/>
              <w:spacing w:before="24"/>
              <w:ind w:left="283" w:right="271"/>
              <w:jc w:val="center"/>
              <w:rPr>
                <w:rFonts w:hint="eastAsia" w:eastAsia="宋体"/>
                <w:sz w:val="19"/>
                <w:lang w:val="en-US" w:eastAsia="zh-Hans"/>
              </w:rPr>
            </w:pPr>
            <w:r>
              <w:rPr>
                <w:rFonts w:hint="eastAsia"/>
                <w:sz w:val="19"/>
                <w:lang w:val="en-US" w:eastAsia="zh-Hans"/>
              </w:rPr>
              <w:t>特征</w:t>
            </w:r>
          </w:p>
        </w:tc>
        <w:tc>
          <w:tcPr>
            <w:tcW w:w="1067"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sz w:val="19"/>
                <w:lang w:val="en-US" w:eastAsia="zh-Hans"/>
              </w:rPr>
            </w:pPr>
            <w:r>
              <w:rPr>
                <w:rFonts w:hint="eastAsia"/>
                <w:sz w:val="19"/>
                <w:lang w:val="en-US" w:eastAsia="zh-Hans"/>
              </w:rPr>
              <w:t>评分结果</w:t>
            </w:r>
          </w:p>
        </w:tc>
        <w:tc>
          <w:tcPr>
            <w:tcW w:w="5256" w:type="dxa"/>
            <w:tcBorders>
              <w:left w:val="single" w:color="7F7F7F" w:sz="6" w:space="0"/>
              <w:bottom w:val="single" w:color="7F7F7F" w:sz="6" w:space="0"/>
            </w:tcBorders>
            <w:shd w:val="clear" w:color="auto" w:fill="EEEEEE"/>
            <w:vAlign w:val="center"/>
          </w:tcPr>
          <w:p>
            <w:pPr>
              <w:pStyle w:val="9"/>
              <w:spacing w:before="24"/>
              <w:ind w:left="128" w:right="116"/>
              <w:jc w:val="center"/>
              <w:rPr>
                <w:rFonts w:hint="eastAsia" w:eastAsia="宋体"/>
                <w:color w:val="333333"/>
                <w:sz w:val="19"/>
                <w:lang w:val="en-US" w:eastAsia="zh-Hans"/>
              </w:rPr>
            </w:pPr>
            <w:r>
              <w:rPr>
                <w:rFonts w:hint="eastAsia"/>
                <w:color w:val="333333"/>
                <w:sz w:val="19"/>
                <w:lang w:val="en-US" w:eastAsia="zh-Hans"/>
              </w:rPr>
              <w:t>评分说明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70"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rFonts w:hint="eastAsia" w:eastAsia="宋体"/>
                <w:sz w:val="18"/>
                <w:szCs w:val="18"/>
                <w:lang w:val="en-US" w:eastAsia="zh-Hans"/>
              </w:rPr>
            </w:pPr>
            <w:r>
              <w:rPr>
                <w:rFonts w:hint="eastAsia"/>
                <w:sz w:val="18"/>
                <w:szCs w:val="18"/>
                <w:lang w:val="en-US" w:eastAsia="zh-Hans"/>
              </w:rPr>
              <w:t>企业成长性状况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${qyzcsy_s}</w:t>
            </w:r>
          </w:p>
        </w:tc>
        <w:tc>
          <w:tcPr>
            <w:tcW w:w="5256" w:type="dxa"/>
            <w:tcBorders>
              <w:top w:val="single" w:color="7F7F7F" w:sz="6" w:space="0"/>
              <w:left w:val="single" w:color="7F7F7F" w:sz="6" w:space="0"/>
              <w:bottom w:val="single" w:color="7F7F7F" w:sz="6" w:space="0"/>
            </w:tcBorders>
            <w:vAlign w:val="center"/>
          </w:tcPr>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按0分到100分划分，评分越高，企业营运能力越强</w:t>
            </w:r>
          </w:p>
          <w:p>
            <w:pPr>
              <w:pStyle w:val="9"/>
              <w:numPr>
                <w:ilvl w:val="0"/>
                <w:numId w:val="1"/>
              </w:numPr>
              <w:spacing w:before="36" w:line="225" w:lineRule="auto"/>
              <w:ind w:left="124" w:right="122"/>
              <w:jc w:val="left"/>
              <w:rPr>
                <w:rFonts w:hint="eastAsia"/>
                <w:color w:val="333333"/>
                <w:sz w:val="18"/>
                <w:szCs w:val="18"/>
              </w:rPr>
            </w:pPr>
            <w:r>
              <w:rPr>
                <w:rFonts w:hint="eastAsia"/>
                <w:color w:val="333333"/>
                <w:sz w:val="18"/>
                <w:szCs w:val="18"/>
              </w:rPr>
              <w:t>通过分析企业的各项资产利用效率以及产生利润行为的效率，评估企业营运能力。反映企业的竞争实力和发展能力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681"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企业资产增长状况</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${qyzcfzzk_s}</w:t>
            </w:r>
          </w:p>
        </w:tc>
        <w:tc>
          <w:tcPr>
            <w:tcW w:w="5256" w:type="dxa"/>
            <w:tcBorders>
              <w:top w:val="single" w:color="7F7F7F" w:sz="6" w:space="0"/>
              <w:left w:val="single" w:color="7F7F7F" w:sz="6" w:space="0"/>
              <w:bottom w:val="single" w:color="7F7F7F" w:sz="6" w:space="0"/>
            </w:tcBorders>
            <w:vAlign w:val="center"/>
          </w:tcPr>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按0分到100分划分，评分越高，企业的财务杠杆越小经营风险越低</w:t>
            </w:r>
          </w:p>
          <w:p>
            <w:pPr>
              <w:pStyle w:val="9"/>
              <w:numPr>
                <w:ilvl w:val="0"/>
                <w:numId w:val="2"/>
              </w:numPr>
              <w:spacing w:before="36" w:line="225" w:lineRule="auto"/>
              <w:ind w:left="124" w:right="122"/>
              <w:jc w:val="left"/>
              <w:rPr>
                <w:rFonts w:hint="eastAsia"/>
                <w:color w:val="333333"/>
                <w:sz w:val="18"/>
                <w:szCs w:val="18"/>
              </w:rPr>
            </w:pPr>
            <w:r>
              <w:rPr>
                <w:rFonts w:hint="eastAsia"/>
                <w:color w:val="333333"/>
                <w:sz w:val="18"/>
                <w:szCs w:val="18"/>
              </w:rPr>
              <w:t>通过分析企业与资产负债有关行为后的结果。主要反映企业利用债权人资金进行经营活动的能力指标，也是反映债权人发放贷款的安全程度指标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2455" w:type="dxa"/>
            <w:tcBorders>
              <w:top w:val="single" w:color="7F7F7F" w:sz="6" w:space="0"/>
              <w:bottom w:val="single" w:color="7F7F7F" w:sz="6" w:space="0"/>
              <w:right w:val="single" w:color="7F7F7F" w:sz="6" w:space="0"/>
            </w:tcBorders>
            <w:vAlign w:val="center"/>
          </w:tcPr>
          <w:p>
            <w:pPr>
              <w:pStyle w:val="9"/>
              <w:spacing w:before="132"/>
              <w:ind w:left="283" w:leftChars="0" w:right="271" w:rightChars="0"/>
              <w:jc w:val="center"/>
              <w:rPr>
                <w:sz w:val="18"/>
                <w:szCs w:val="18"/>
              </w:rPr>
            </w:pPr>
            <w:r>
              <w:rPr>
                <w:rFonts w:hint="eastAsia"/>
                <w:sz w:val="18"/>
                <w:szCs w:val="18"/>
              </w:rPr>
              <w:t>企业盈利能力</w:t>
            </w:r>
          </w:p>
        </w:tc>
        <w:tc>
          <w:tcPr>
            <w:tcW w:w="1067" w:type="dxa"/>
            <w:tcBorders>
              <w:top w:val="single" w:color="7F7F7F" w:sz="6" w:space="0"/>
              <w:left w:val="single" w:color="7F7F7F" w:sz="6" w:space="0"/>
              <w:bottom w:val="single" w:color="7F7F7F" w:sz="6" w:space="0"/>
            </w:tcBorders>
            <w:vAlign w:val="center"/>
          </w:tcPr>
          <w:p>
            <w:pPr>
              <w:pStyle w:val="9"/>
              <w:spacing w:before="36" w:line="225" w:lineRule="auto"/>
              <w:ind w:right="122"/>
              <w:jc w:val="center"/>
              <w:rPr>
                <w:sz w:val="18"/>
                <w:szCs w:val="18"/>
              </w:rPr>
            </w:pPr>
            <w:r>
              <w:rPr>
                <w:sz w:val="18"/>
                <w:szCs w:val="18"/>
              </w:rPr>
              <w:t>${qyylnl_s}</w:t>
            </w:r>
          </w:p>
        </w:tc>
        <w:tc>
          <w:tcPr>
            <w:tcW w:w="5256" w:type="dxa"/>
            <w:tcBorders>
              <w:top w:val="single" w:color="7F7F7F" w:sz="6" w:space="0"/>
              <w:left w:val="single" w:color="7F7F7F" w:sz="6" w:space="0"/>
              <w:bottom w:val="single" w:color="7F7F7F" w:sz="6" w:space="0"/>
            </w:tcBorders>
            <w:vAlign w:val="center"/>
          </w:tcPr>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按0分到100分划分，评分越高，企业盈利实力越强</w:t>
            </w:r>
          </w:p>
          <w:p>
            <w:pPr>
              <w:pStyle w:val="9"/>
              <w:numPr>
                <w:ilvl w:val="0"/>
                <w:numId w:val="3"/>
              </w:numPr>
              <w:spacing w:before="36" w:line="225" w:lineRule="auto"/>
              <w:ind w:left="124" w:right="122"/>
              <w:jc w:val="left"/>
              <w:rPr>
                <w:rFonts w:hint="eastAsia"/>
                <w:color w:val="333333"/>
                <w:sz w:val="18"/>
                <w:szCs w:val="18"/>
              </w:rPr>
            </w:pPr>
            <w:r>
              <w:rPr>
                <w:rFonts w:hint="eastAsia"/>
                <w:color w:val="333333"/>
                <w:sz w:val="18"/>
                <w:szCs w:val="18"/>
              </w:rPr>
              <w:t>通过分析可为企业贡献利润有关行为后的评估结果。主要反映企业当前的盈利水平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企业盈利可持续能力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${qyyszznl_s}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1.按0分到100分划分，评分越高，企业发展与经营的增速越高</w:t>
            </w:r>
          </w:p>
          <w:p>
            <w:pPr>
              <w:pStyle w:val="9"/>
              <w:spacing w:before="24"/>
              <w:ind w:left="124"/>
              <w:jc w:val="left"/>
              <w:rPr>
                <w:color w:val="333333"/>
                <w:sz w:val="18"/>
                <w:szCs w:val="18"/>
              </w:rPr>
            </w:pPr>
            <w:r>
              <w:rPr>
                <w:rFonts w:hint="eastAsia"/>
                <w:color w:val="333333"/>
                <w:sz w:val="18"/>
                <w:szCs w:val="18"/>
              </w:rPr>
              <w:t>2.通过分析与企业营收能力有关行为后的评估结果。主要反映企业的成长速度，供判断企业的高成长性价值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企业税收贡献能力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${qylrzznl_s}</w:t>
            </w:r>
          </w:p>
        </w:tc>
        <w:tc>
          <w:tcPr>
            <w:tcW w:w="5256" w:type="dxa"/>
            <w:tcBorders>
              <w:top w:val="single" w:color="7F7F7F" w:sz="6" w:space="0"/>
              <w:left w:val="single" w:color="7F7F7F" w:sz="6" w:space="0"/>
              <w:bottom w:val="single" w:color="7F7F7F" w:sz="6" w:space="0"/>
            </w:tcBorders>
            <w:vAlign w:val="center"/>
          </w:tcPr>
          <w:p>
            <w:pPr>
              <w:pStyle w:val="9"/>
              <w:numPr>
                <w:ilvl w:val="0"/>
                <w:numId w:val="4"/>
              </w:numPr>
              <w:spacing w:before="24"/>
              <w:ind w:left="124"/>
              <w:jc w:val="left"/>
              <w:rPr>
                <w:rFonts w:hint="eastAsia"/>
                <w:color w:val="333333"/>
                <w:sz w:val="18"/>
                <w:szCs w:val="18"/>
              </w:rPr>
            </w:pPr>
            <w:r>
              <w:rPr>
                <w:rFonts w:hint="eastAsia"/>
                <w:color w:val="333333"/>
                <w:sz w:val="18"/>
                <w:szCs w:val="18"/>
              </w:rPr>
              <w:t>按0分到100分划分，评分越高，企业持续盈利能力越强</w:t>
            </w:r>
          </w:p>
          <w:p>
            <w:pPr>
              <w:pStyle w:val="9"/>
              <w:numPr>
                <w:ilvl w:val="0"/>
                <w:numId w:val="4"/>
              </w:numPr>
              <w:spacing w:before="24"/>
              <w:ind w:left="124"/>
              <w:jc w:val="left"/>
              <w:rPr>
                <w:rFonts w:hint="eastAsia"/>
                <w:color w:val="333333"/>
                <w:sz w:val="18"/>
                <w:szCs w:val="18"/>
              </w:rPr>
            </w:pPr>
            <w:r>
              <w:rPr>
                <w:rFonts w:hint="eastAsia"/>
                <w:color w:val="333333"/>
                <w:sz w:val="18"/>
                <w:szCs w:val="18"/>
              </w:rPr>
              <w:t>通过分析可为企业贡献净利润有关行为，以及对应行为同比增速后的评估结果。主要反映企业的盈利趋势，供判断企业今后一段时期的盈利能力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企业税负强度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${qyzyywjkd_s}</w:t>
            </w:r>
          </w:p>
        </w:tc>
        <w:tc>
          <w:tcPr>
            <w:tcW w:w="5256" w:type="dxa"/>
            <w:tcBorders>
              <w:top w:val="single" w:color="7F7F7F" w:sz="6" w:space="0"/>
              <w:left w:val="single" w:color="7F7F7F" w:sz="6" w:space="0"/>
              <w:bottom w:val="single" w:color="7F7F7F" w:sz="6" w:space="0"/>
            </w:tcBorders>
            <w:vAlign w:val="center"/>
          </w:tcPr>
          <w:p>
            <w:pPr>
              <w:pStyle w:val="9"/>
              <w:numPr>
                <w:ilvl w:val="0"/>
                <w:numId w:val="5"/>
              </w:numPr>
              <w:spacing w:before="24"/>
              <w:ind w:left="124"/>
              <w:jc w:val="left"/>
              <w:rPr>
                <w:rFonts w:hint="eastAsia"/>
                <w:color w:val="333333"/>
                <w:sz w:val="18"/>
                <w:szCs w:val="18"/>
              </w:rPr>
            </w:pPr>
            <w:r>
              <w:rPr>
                <w:rFonts w:hint="eastAsia"/>
                <w:color w:val="333333"/>
                <w:sz w:val="18"/>
                <w:szCs w:val="18"/>
              </w:rPr>
              <w:t>按0分到100分划分，评分越高，企业的主营业务稳定性越强</w:t>
            </w:r>
          </w:p>
          <w:p>
            <w:pPr>
              <w:pStyle w:val="9"/>
              <w:numPr>
                <w:ilvl w:val="0"/>
                <w:numId w:val="5"/>
              </w:numPr>
              <w:spacing w:before="24"/>
              <w:ind w:left="124"/>
              <w:jc w:val="left"/>
              <w:rPr>
                <w:rFonts w:hint="eastAsia"/>
                <w:color w:val="333333"/>
                <w:sz w:val="18"/>
                <w:szCs w:val="18"/>
              </w:rPr>
            </w:pPr>
            <w:r>
              <w:rPr>
                <w:rFonts w:hint="eastAsia"/>
                <w:color w:val="333333"/>
                <w:sz w:val="18"/>
                <w:szCs w:val="18"/>
              </w:rPr>
              <w:t>通过分析企业与主营业务经营、企业类型等有关行为后的结果。主要反映企业在核心业务领域的合作价值与健康度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企业资产收益能力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w:t>
            </w:r>
            <w:r>
              <w:rPr>
                <w:rFonts w:hint="eastAsia"/>
                <w:sz w:val="18"/>
                <w:szCs w:val="18"/>
              </w:rPr>
              <w:t>qyzbbzzk</w:t>
            </w:r>
            <w:r>
              <w:rPr>
                <w:sz w:val="18"/>
                <w:szCs w:val="18"/>
              </w:rPr>
              <w:t>_s}</w:t>
            </w:r>
          </w:p>
        </w:tc>
        <w:tc>
          <w:tcPr>
            <w:tcW w:w="5256" w:type="dxa"/>
            <w:tcBorders>
              <w:top w:val="single" w:color="7F7F7F" w:sz="6" w:space="0"/>
              <w:left w:val="single" w:color="7F7F7F" w:sz="6" w:space="0"/>
              <w:bottom w:val="single" w:color="7F7F7F" w:sz="6" w:space="0"/>
            </w:tcBorders>
            <w:vAlign w:val="center"/>
          </w:tcPr>
          <w:p>
            <w:pPr>
              <w:pStyle w:val="9"/>
              <w:spacing w:before="24"/>
              <w:ind w:left="124"/>
              <w:jc w:val="left"/>
              <w:rPr>
                <w:rFonts w:hint="eastAsia"/>
                <w:color w:val="333333"/>
                <w:sz w:val="18"/>
                <w:szCs w:val="18"/>
              </w:rPr>
            </w:pPr>
            <w:r>
              <w:rPr>
                <w:rFonts w:hint="eastAsia"/>
                <w:color w:val="333333"/>
                <w:sz w:val="18"/>
                <w:szCs w:val="18"/>
              </w:rPr>
              <w:t>1.按0分到100分划分，评分越高，企业的资本保全状况越好，债权人的债务越有保障</w:t>
            </w:r>
          </w:p>
          <w:p>
            <w:pPr>
              <w:pStyle w:val="9"/>
              <w:spacing w:before="24"/>
              <w:ind w:left="124"/>
              <w:jc w:val="left"/>
              <w:rPr>
                <w:color w:val="333333"/>
                <w:sz w:val="18"/>
                <w:szCs w:val="18"/>
              </w:rPr>
            </w:pPr>
            <w:r>
              <w:rPr>
                <w:rFonts w:hint="eastAsia"/>
                <w:color w:val="333333"/>
                <w:sz w:val="18"/>
                <w:szCs w:val="18"/>
              </w:rPr>
              <w:t>2.通过分析企业与资本运营效益与安全状况有关行为后的结果。主要反映企业投资者投入企业资本的保全性和增长性</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企业资产回报能力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${qyrjcn_s}</w:t>
            </w:r>
          </w:p>
        </w:tc>
        <w:tc>
          <w:tcPr>
            <w:tcW w:w="5256" w:type="dxa"/>
            <w:tcBorders>
              <w:top w:val="single" w:color="7F7F7F" w:sz="6" w:space="0"/>
              <w:left w:val="single" w:color="7F7F7F" w:sz="6" w:space="0"/>
              <w:bottom w:val="single" w:color="7F7F7F" w:sz="6" w:space="0"/>
            </w:tcBorders>
            <w:vAlign w:val="center"/>
          </w:tcPr>
          <w:p>
            <w:pPr>
              <w:pStyle w:val="9"/>
              <w:numPr>
                <w:ilvl w:val="0"/>
                <w:numId w:val="6"/>
              </w:numPr>
              <w:spacing w:before="24"/>
              <w:ind w:left="124"/>
              <w:jc w:val="left"/>
              <w:rPr>
                <w:rFonts w:hint="eastAsia"/>
                <w:color w:val="333333"/>
                <w:sz w:val="18"/>
                <w:szCs w:val="18"/>
              </w:rPr>
            </w:pPr>
            <w:r>
              <w:rPr>
                <w:rFonts w:hint="eastAsia"/>
                <w:color w:val="333333"/>
                <w:sz w:val="18"/>
                <w:szCs w:val="18"/>
              </w:rPr>
              <w:t>按0分到100分划分，评分越高，企业的人均收益能力越强，人效比越高</w:t>
            </w:r>
          </w:p>
          <w:p>
            <w:pPr>
              <w:pStyle w:val="9"/>
              <w:numPr>
                <w:ilvl w:val="0"/>
                <w:numId w:val="6"/>
              </w:numPr>
              <w:spacing w:before="24"/>
              <w:ind w:left="124"/>
              <w:jc w:val="left"/>
              <w:rPr>
                <w:rFonts w:hint="eastAsia"/>
                <w:color w:val="333333"/>
                <w:sz w:val="18"/>
                <w:szCs w:val="18"/>
              </w:rPr>
            </w:pPr>
            <w:r>
              <w:rPr>
                <w:rFonts w:hint="eastAsia"/>
                <w:color w:val="333333"/>
                <w:sz w:val="18"/>
                <w:szCs w:val="18"/>
              </w:rPr>
              <w:t>通过分析企业与营收产值及从业人员有关行为后的结果。主要反映企业人均劳效水平，供判断企业的数字化与管理化水平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企业资本保值状况</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${qyrjylnl_s}</w:t>
            </w:r>
          </w:p>
        </w:tc>
        <w:tc>
          <w:tcPr>
            <w:tcW w:w="5256" w:type="dxa"/>
            <w:tcBorders>
              <w:top w:val="single" w:color="7F7F7F" w:sz="6" w:space="0"/>
              <w:left w:val="single" w:color="7F7F7F" w:sz="6" w:space="0"/>
              <w:bottom w:val="single" w:color="7F7F7F" w:sz="6" w:space="0"/>
            </w:tcBorders>
            <w:vAlign w:val="center"/>
          </w:tcPr>
          <w:p>
            <w:pPr>
              <w:pStyle w:val="9"/>
              <w:numPr>
                <w:ilvl w:val="0"/>
                <w:numId w:val="7"/>
              </w:numPr>
              <w:spacing w:before="24"/>
              <w:ind w:left="124"/>
              <w:jc w:val="left"/>
              <w:rPr>
                <w:rFonts w:hint="eastAsia"/>
                <w:color w:val="333333"/>
                <w:sz w:val="18"/>
                <w:szCs w:val="18"/>
              </w:rPr>
            </w:pPr>
            <w:r>
              <w:rPr>
                <w:rFonts w:hint="eastAsia"/>
                <w:color w:val="333333"/>
                <w:sz w:val="18"/>
                <w:szCs w:val="18"/>
              </w:rPr>
              <w:t>按0分到100分划分，评分越高，企业的人均盈利能力越强</w:t>
            </w:r>
          </w:p>
          <w:p>
            <w:pPr>
              <w:pStyle w:val="9"/>
              <w:numPr>
                <w:ilvl w:val="0"/>
                <w:numId w:val="7"/>
              </w:numPr>
              <w:spacing w:before="24"/>
              <w:ind w:left="124"/>
              <w:jc w:val="left"/>
              <w:rPr>
                <w:rFonts w:hint="eastAsia"/>
                <w:color w:val="333333"/>
                <w:sz w:val="18"/>
                <w:szCs w:val="18"/>
              </w:rPr>
            </w:pPr>
            <w:r>
              <w:rPr>
                <w:rFonts w:hint="eastAsia"/>
                <w:color w:val="333333"/>
                <w:sz w:val="18"/>
                <w:szCs w:val="18"/>
              </w:rPr>
              <w:t>通过分析企业与盈利及从业人员有关行为后的结果。主要反映企业单位人员的盈利水平，供判断企业的管理化与盈利能力的综合分析</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企业主营业务健康度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${qynsnlzh_s}</w:t>
            </w:r>
          </w:p>
        </w:tc>
        <w:tc>
          <w:tcPr>
            <w:tcW w:w="5256" w:type="dxa"/>
            <w:tcBorders>
              <w:top w:val="single" w:color="7F7F7F" w:sz="6" w:space="0"/>
              <w:left w:val="single" w:color="7F7F7F" w:sz="6" w:space="0"/>
              <w:bottom w:val="single" w:color="7F7F7F" w:sz="6" w:space="0"/>
            </w:tcBorders>
            <w:vAlign w:val="center"/>
          </w:tcPr>
          <w:p>
            <w:pPr>
              <w:pStyle w:val="9"/>
              <w:numPr>
                <w:ilvl w:val="0"/>
                <w:numId w:val="8"/>
              </w:numPr>
              <w:spacing w:before="24"/>
              <w:ind w:left="124"/>
              <w:jc w:val="left"/>
              <w:rPr>
                <w:rFonts w:hint="eastAsia"/>
                <w:color w:val="333333"/>
                <w:sz w:val="18"/>
                <w:szCs w:val="18"/>
              </w:rPr>
            </w:pPr>
            <w:r>
              <w:rPr>
                <w:rFonts w:hint="eastAsia"/>
                <w:color w:val="333333"/>
                <w:sz w:val="18"/>
                <w:szCs w:val="18"/>
              </w:rPr>
              <w:t>按0分到100分划分，评分越高，企业税收贡献能力越强</w:t>
            </w:r>
          </w:p>
          <w:p>
            <w:pPr>
              <w:pStyle w:val="9"/>
              <w:numPr>
                <w:ilvl w:val="0"/>
                <w:numId w:val="8"/>
              </w:numPr>
              <w:spacing w:before="24"/>
              <w:ind w:left="124"/>
              <w:jc w:val="left"/>
              <w:rPr>
                <w:rFonts w:hint="eastAsia"/>
                <w:color w:val="333333"/>
                <w:sz w:val="18"/>
                <w:szCs w:val="18"/>
              </w:rPr>
            </w:pPr>
            <w:r>
              <w:rPr>
                <w:rFonts w:hint="eastAsia"/>
                <w:color w:val="333333"/>
                <w:sz w:val="18"/>
                <w:szCs w:val="18"/>
              </w:rPr>
              <w:t>通过分析与企业纳税有关行为后的结果。主要反映企业的当前的纳税水平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企业资产经营健康度</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${zchbnl_s}</w:t>
            </w:r>
          </w:p>
        </w:tc>
        <w:tc>
          <w:tcPr>
            <w:tcW w:w="5256" w:type="dxa"/>
            <w:tcBorders>
              <w:top w:val="single" w:color="7F7F7F" w:sz="6" w:space="0"/>
              <w:left w:val="single" w:color="7F7F7F" w:sz="6" w:space="0"/>
              <w:bottom w:val="single" w:color="7F7F7F" w:sz="6" w:space="0"/>
            </w:tcBorders>
            <w:vAlign w:val="center"/>
          </w:tcPr>
          <w:p>
            <w:pPr>
              <w:pStyle w:val="9"/>
              <w:numPr>
                <w:ilvl w:val="0"/>
                <w:numId w:val="9"/>
              </w:numPr>
              <w:spacing w:before="24"/>
              <w:ind w:left="124"/>
              <w:jc w:val="left"/>
              <w:rPr>
                <w:rFonts w:hint="eastAsia"/>
                <w:color w:val="333333"/>
                <w:sz w:val="18"/>
                <w:szCs w:val="18"/>
              </w:rPr>
            </w:pPr>
            <w:r>
              <w:rPr>
                <w:rFonts w:hint="eastAsia"/>
                <w:color w:val="333333"/>
                <w:sz w:val="18"/>
                <w:szCs w:val="18"/>
              </w:rPr>
              <w:t>按0分到100分划分，评分越高，企业在投资收益方面能力越高</w:t>
            </w:r>
          </w:p>
          <w:p>
            <w:pPr>
              <w:pStyle w:val="9"/>
              <w:numPr>
                <w:ilvl w:val="0"/>
                <w:numId w:val="9"/>
              </w:numPr>
              <w:spacing w:before="24"/>
              <w:ind w:left="124"/>
              <w:jc w:val="left"/>
              <w:rPr>
                <w:rFonts w:hint="eastAsia"/>
                <w:color w:val="333333"/>
                <w:sz w:val="18"/>
                <w:szCs w:val="18"/>
              </w:rPr>
            </w:pPr>
            <w:r>
              <w:rPr>
                <w:rFonts w:hint="eastAsia"/>
                <w:color w:val="333333"/>
                <w:sz w:val="18"/>
                <w:szCs w:val="18"/>
              </w:rPr>
              <w:t>通过分析企业与资本效益有关行为后的结果。主要反映企业资本获得收益的水平，供间接判断企业的投资价值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企业资产周转能力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${zczznl_s}</w:t>
            </w:r>
          </w:p>
        </w:tc>
        <w:tc>
          <w:tcPr>
            <w:tcW w:w="5256" w:type="dxa"/>
            <w:tcBorders>
              <w:top w:val="single" w:color="7F7F7F" w:sz="6" w:space="0"/>
              <w:left w:val="single" w:color="7F7F7F" w:sz="6" w:space="0"/>
              <w:bottom w:val="single" w:color="7F7F7F" w:sz="6" w:space="0"/>
            </w:tcBorders>
            <w:vAlign w:val="center"/>
          </w:tcPr>
          <w:p>
            <w:pPr>
              <w:pStyle w:val="9"/>
              <w:numPr>
                <w:ilvl w:val="0"/>
                <w:numId w:val="10"/>
              </w:numPr>
              <w:spacing w:before="24"/>
              <w:ind w:left="124"/>
              <w:jc w:val="left"/>
              <w:rPr>
                <w:rFonts w:hint="eastAsia"/>
                <w:color w:val="333333"/>
                <w:sz w:val="18"/>
                <w:szCs w:val="18"/>
              </w:rPr>
            </w:pPr>
            <w:r>
              <w:rPr>
                <w:rFonts w:hint="eastAsia"/>
                <w:color w:val="333333"/>
                <w:sz w:val="18"/>
                <w:szCs w:val="18"/>
              </w:rPr>
              <w:t>按0分到100分划分，评分越高，企业的销售能力越强,资产投资效益越好</w:t>
            </w:r>
          </w:p>
          <w:p>
            <w:pPr>
              <w:pStyle w:val="9"/>
              <w:numPr>
                <w:ilvl w:val="0"/>
                <w:numId w:val="10"/>
              </w:numPr>
              <w:spacing w:before="24"/>
              <w:ind w:left="124"/>
              <w:jc w:val="left"/>
              <w:rPr>
                <w:rFonts w:hint="eastAsia"/>
                <w:color w:val="333333"/>
                <w:sz w:val="18"/>
                <w:szCs w:val="18"/>
              </w:rPr>
            </w:pPr>
            <w:r>
              <w:rPr>
                <w:rFonts w:hint="eastAsia"/>
                <w:color w:val="333333"/>
                <w:sz w:val="18"/>
                <w:szCs w:val="18"/>
              </w:rPr>
              <w:t>通过分析企业与营收及资产有关行为后的结果。主要反映企业资产经营效率，供判断企业财务安全性及资产收益能力，以进行相应的投资决策参考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企业人均产能</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${zzczzzk_s}</w:t>
            </w:r>
          </w:p>
        </w:tc>
        <w:tc>
          <w:tcPr>
            <w:tcW w:w="5256" w:type="dxa"/>
            <w:tcBorders>
              <w:top w:val="single" w:color="7F7F7F" w:sz="6" w:space="0"/>
              <w:left w:val="single" w:color="7F7F7F" w:sz="6" w:space="0"/>
              <w:bottom w:val="single" w:color="7F7F7F" w:sz="6" w:space="0"/>
            </w:tcBorders>
            <w:vAlign w:val="center"/>
          </w:tcPr>
          <w:p>
            <w:pPr>
              <w:pStyle w:val="9"/>
              <w:numPr>
                <w:ilvl w:val="0"/>
                <w:numId w:val="11"/>
              </w:numPr>
              <w:spacing w:before="24"/>
              <w:ind w:left="124"/>
              <w:jc w:val="left"/>
              <w:rPr>
                <w:rFonts w:hint="eastAsia"/>
                <w:color w:val="333333"/>
                <w:sz w:val="18"/>
                <w:szCs w:val="18"/>
              </w:rPr>
            </w:pPr>
            <w:r>
              <w:rPr>
                <w:rFonts w:hint="eastAsia"/>
                <w:color w:val="333333"/>
                <w:sz w:val="18"/>
                <w:szCs w:val="18"/>
              </w:rPr>
              <w:t>按0分到100分划分，评分越高，企业规模增长的能力越强</w:t>
            </w:r>
          </w:p>
          <w:p>
            <w:pPr>
              <w:pStyle w:val="9"/>
              <w:numPr>
                <w:ilvl w:val="0"/>
                <w:numId w:val="11"/>
              </w:numPr>
              <w:spacing w:before="24"/>
              <w:ind w:left="124"/>
              <w:jc w:val="left"/>
              <w:rPr>
                <w:rFonts w:hint="eastAsia"/>
                <w:color w:val="333333"/>
                <w:sz w:val="18"/>
                <w:szCs w:val="18"/>
              </w:rPr>
            </w:pPr>
            <w:r>
              <w:rPr>
                <w:rFonts w:hint="eastAsia"/>
                <w:color w:val="333333"/>
                <w:sz w:val="18"/>
                <w:szCs w:val="18"/>
              </w:rPr>
              <w:t>通过分析与企业资产维度有关行为后的评估结果。主要反映企业的资产变化情况，供判断企业的整体规模与合作能力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企业人均创收能力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${sfqd_s}</w:t>
            </w:r>
          </w:p>
        </w:tc>
        <w:tc>
          <w:tcPr>
            <w:tcW w:w="5256" w:type="dxa"/>
            <w:tcBorders>
              <w:top w:val="single" w:color="7F7F7F" w:sz="6" w:space="0"/>
              <w:left w:val="single" w:color="7F7F7F" w:sz="6" w:space="0"/>
              <w:bottom w:val="single" w:color="7F7F7F" w:sz="6" w:space="0"/>
            </w:tcBorders>
            <w:vAlign w:val="center"/>
          </w:tcPr>
          <w:p>
            <w:pPr>
              <w:pStyle w:val="9"/>
              <w:numPr>
                <w:ilvl w:val="0"/>
                <w:numId w:val="12"/>
              </w:numPr>
              <w:spacing w:before="24"/>
              <w:ind w:left="124"/>
              <w:jc w:val="left"/>
              <w:rPr>
                <w:rFonts w:hint="eastAsia"/>
                <w:color w:val="333333"/>
                <w:sz w:val="18"/>
                <w:szCs w:val="18"/>
              </w:rPr>
            </w:pPr>
            <w:r>
              <w:rPr>
                <w:rFonts w:hint="eastAsia"/>
                <w:color w:val="333333"/>
                <w:sz w:val="18"/>
                <w:szCs w:val="18"/>
              </w:rPr>
              <w:t>按0分到100分划分，评分越高，企业的税率越高纳税负担越重</w:t>
            </w:r>
          </w:p>
          <w:p>
            <w:pPr>
              <w:pStyle w:val="9"/>
              <w:numPr>
                <w:ilvl w:val="0"/>
                <w:numId w:val="12"/>
              </w:numPr>
              <w:spacing w:before="24"/>
              <w:ind w:left="124"/>
              <w:jc w:val="left"/>
              <w:rPr>
                <w:rFonts w:hint="eastAsia"/>
                <w:color w:val="333333"/>
                <w:sz w:val="18"/>
                <w:szCs w:val="18"/>
              </w:rPr>
            </w:pPr>
            <w:r>
              <w:rPr>
                <w:rFonts w:hint="eastAsia"/>
                <w:color w:val="333333"/>
                <w:sz w:val="18"/>
                <w:szCs w:val="18"/>
              </w:rPr>
              <w:t>通过分析企业纳税与营收有关行为后的结果。主要反映企业税负率的合理程度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企业还款能力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${hknl_s}</w:t>
            </w:r>
          </w:p>
        </w:tc>
        <w:tc>
          <w:tcPr>
            <w:tcW w:w="5256" w:type="dxa"/>
            <w:tcBorders>
              <w:top w:val="single" w:color="7F7F7F" w:sz="6" w:space="0"/>
              <w:left w:val="single" w:color="7F7F7F" w:sz="6" w:space="0"/>
              <w:bottom w:val="single" w:color="7F7F7F" w:sz="6" w:space="0"/>
            </w:tcBorders>
            <w:vAlign w:val="center"/>
          </w:tcPr>
          <w:p>
            <w:pPr>
              <w:pStyle w:val="9"/>
              <w:numPr>
                <w:ilvl w:val="0"/>
                <w:numId w:val="13"/>
              </w:numPr>
              <w:spacing w:before="24"/>
              <w:ind w:left="124"/>
              <w:jc w:val="left"/>
              <w:rPr>
                <w:rFonts w:hint="eastAsia"/>
                <w:color w:val="333333"/>
                <w:sz w:val="18"/>
                <w:szCs w:val="18"/>
              </w:rPr>
            </w:pPr>
            <w:r>
              <w:rPr>
                <w:rFonts w:hint="eastAsia"/>
                <w:color w:val="333333"/>
                <w:sz w:val="18"/>
                <w:szCs w:val="18"/>
              </w:rPr>
              <w:t>按0分到100分划分，评分越高，企业对债权人的还款能力越强</w:t>
            </w:r>
          </w:p>
          <w:p>
            <w:pPr>
              <w:pStyle w:val="9"/>
              <w:numPr>
                <w:ilvl w:val="0"/>
                <w:numId w:val="13"/>
              </w:numPr>
              <w:spacing w:before="24"/>
              <w:ind w:left="124"/>
              <w:jc w:val="left"/>
              <w:rPr>
                <w:rFonts w:hint="eastAsia"/>
                <w:color w:val="333333"/>
                <w:sz w:val="18"/>
                <w:szCs w:val="18"/>
              </w:rPr>
            </w:pPr>
            <w:r>
              <w:rPr>
                <w:rFonts w:hint="eastAsia"/>
                <w:color w:val="333333"/>
                <w:sz w:val="18"/>
                <w:szCs w:val="18"/>
              </w:rPr>
              <w:t>通过分析企业资产健康、资产保值及人均创收有关行为后的结果。主要反映企业偿还债务的能力，供判断其授信与借款能力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11" w:hRule="atLeast"/>
        </w:trPr>
        <w:tc>
          <w:tcPr>
            <w:tcW w:w="2455" w:type="dxa"/>
            <w:tcBorders>
              <w:top w:val="single" w:color="7F7F7F" w:sz="6" w:space="0"/>
              <w:bottom w:val="single" w:color="7F7F7F" w:sz="6" w:space="0"/>
              <w:right w:val="single" w:color="7F7F7F" w:sz="6" w:space="0"/>
            </w:tcBorders>
            <w:vAlign w:val="center"/>
          </w:tcPr>
          <w:p>
            <w:pPr>
              <w:pStyle w:val="9"/>
              <w:spacing w:before="24"/>
              <w:ind w:left="283" w:leftChars="0" w:right="271" w:rightChars="0"/>
              <w:jc w:val="center"/>
              <w:rPr>
                <w:sz w:val="18"/>
                <w:szCs w:val="18"/>
              </w:rPr>
            </w:pPr>
            <w:r>
              <w:rPr>
                <w:rFonts w:hint="eastAsia"/>
                <w:sz w:val="18"/>
                <w:szCs w:val="18"/>
              </w:rPr>
              <w:t>企业担保能力</w:t>
            </w:r>
          </w:p>
        </w:tc>
        <w:tc>
          <w:tcPr>
            <w:tcW w:w="1067" w:type="dxa"/>
            <w:tcBorders>
              <w:top w:val="single" w:color="7F7F7F" w:sz="6" w:space="0"/>
              <w:left w:val="single" w:color="7F7F7F" w:sz="6" w:space="0"/>
              <w:bottom w:val="single" w:color="7F7F7F" w:sz="6" w:space="0"/>
            </w:tcBorders>
            <w:vAlign w:val="center"/>
          </w:tcPr>
          <w:p>
            <w:pPr>
              <w:pStyle w:val="9"/>
              <w:spacing w:before="24"/>
              <w:jc w:val="center"/>
              <w:rPr>
                <w:sz w:val="18"/>
                <w:szCs w:val="18"/>
              </w:rPr>
            </w:pPr>
            <w:r>
              <w:rPr>
                <w:sz w:val="18"/>
                <w:szCs w:val="18"/>
              </w:rPr>
              <w:t>${dbnl_s}</w:t>
            </w:r>
          </w:p>
        </w:tc>
        <w:tc>
          <w:tcPr>
            <w:tcW w:w="5256" w:type="dxa"/>
            <w:tcBorders>
              <w:top w:val="single" w:color="7F7F7F" w:sz="6" w:space="0"/>
              <w:left w:val="single" w:color="7F7F7F" w:sz="6" w:space="0"/>
              <w:bottom w:val="single" w:color="7F7F7F" w:sz="6" w:space="0"/>
            </w:tcBorders>
            <w:vAlign w:val="center"/>
          </w:tcPr>
          <w:p>
            <w:pPr>
              <w:pStyle w:val="9"/>
              <w:numPr>
                <w:ilvl w:val="0"/>
                <w:numId w:val="14"/>
              </w:numPr>
              <w:spacing w:before="24"/>
              <w:ind w:left="124"/>
              <w:jc w:val="left"/>
              <w:rPr>
                <w:rFonts w:hint="eastAsia"/>
                <w:color w:val="333333"/>
                <w:sz w:val="18"/>
                <w:szCs w:val="18"/>
              </w:rPr>
            </w:pPr>
            <w:r>
              <w:rPr>
                <w:rFonts w:hint="eastAsia"/>
                <w:color w:val="333333"/>
                <w:sz w:val="18"/>
                <w:szCs w:val="18"/>
              </w:rPr>
              <w:t>按0分到100分划分，评分越高，企业的对外担保能力越强</w:t>
            </w:r>
          </w:p>
          <w:p>
            <w:pPr>
              <w:pStyle w:val="9"/>
              <w:numPr>
                <w:ilvl w:val="0"/>
                <w:numId w:val="14"/>
              </w:numPr>
              <w:spacing w:before="24"/>
              <w:ind w:left="124"/>
              <w:jc w:val="left"/>
              <w:rPr>
                <w:rFonts w:hint="eastAsia"/>
                <w:color w:val="333333"/>
                <w:sz w:val="18"/>
                <w:szCs w:val="18"/>
              </w:rPr>
            </w:pPr>
            <w:r>
              <w:rPr>
                <w:rFonts w:hint="eastAsia"/>
                <w:color w:val="333333"/>
                <w:sz w:val="18"/>
                <w:szCs w:val="18"/>
              </w:rPr>
              <w:t>通过分析企业抵质押 出质及企业类型等经营行为后的结果。主要反映企业在外部担保合作的能力，供判断担保合作可行性</w:t>
            </w:r>
          </w:p>
        </w:tc>
      </w:tr>
    </w:tbl>
    <w:p>
      <w:pPr>
        <w:rPr>
          <w:rFonts w:ascii="Arial Unicode MS"/>
          <w:sz w:val="24"/>
        </w:rPr>
      </w:pPr>
      <w:r>
        <w:rPr>
          <w:rFonts w:ascii="Arial Unicode MS"/>
          <w:sz w:val="24"/>
        </w:rPr>
        <w:br w:type="page"/>
      </w:r>
    </w:p>
    <w:p>
      <w:pPr>
        <w:spacing w:after="0"/>
        <w:jc w:val="both"/>
        <w:rPr>
          <w:rFonts w:ascii="Arial Unicode MS"/>
          <w:sz w:val="24"/>
        </w:rPr>
      </w:pPr>
    </w:p>
    <w:p>
      <w:pPr>
        <w:pStyle w:val="2"/>
        <w:numPr>
          <w:ilvl w:val="0"/>
          <w:numId w:val="15"/>
        </w:numPr>
        <w:tabs>
          <w:tab w:val="left" w:pos="404"/>
        </w:tabs>
        <w:spacing w:before="0" w:after="45" w:line="585" w:lineRule="exact"/>
        <w:ind w:left="403" w:right="0" w:hanging="302"/>
        <w:jc w:val="left"/>
      </w:pPr>
      <w:r>
        <w:t>基本信息</w:t>
      </w:r>
    </w:p>
    <w:tbl>
      <w:tblPr>
        <w:tblStyle w:val="7"/>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9"/>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9"/>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9"/>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9"/>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49"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9"/>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9"/>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8" w:type="dxa"/>
            <w:gridSpan w:val="5"/>
            <w:tcBorders>
              <w:bottom w:val="single" w:color="7F7F7F" w:sz="6" w:space="0"/>
            </w:tcBorders>
            <w:shd w:val="clear" w:color="auto" w:fill="EEEEEE"/>
            <w:vAlign w:val="center"/>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9"/>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9"/>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9"/>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9"/>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04"/>
        </w:tabs>
        <w:spacing w:before="0" w:after="60" w:line="240" w:lineRule="auto"/>
        <w:ind w:left="503" w:right="0" w:hanging="402"/>
        <w:jc w:val="left"/>
      </w:pPr>
      <w:r>
        <w:t>实际控制人</w:t>
      </w:r>
    </w:p>
    <w:tbl>
      <w:tblPr>
        <w:tblStyle w:val="7"/>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2154" w:type="dxa"/>
            <w:tcBorders>
              <w:top w:val="single" w:color="7F7F7F" w:sz="6" w:space="0"/>
              <w:right w:val="single" w:color="7F7F7F" w:sz="6" w:space="0"/>
            </w:tcBorders>
            <w:vAlign w:val="center"/>
          </w:tcPr>
          <w:p>
            <w:pPr>
              <w:pStyle w:val="9"/>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9"/>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9"/>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5"/>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历史沿革及重大事项</w:t>
      </w:r>
    </w:p>
    <w:tbl>
      <w:tblPr>
        <w:tblStyle w:val="7"/>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top w:val="single" w:color="7F7F7F" w:sz="6" w:space="0"/>
              <w:bottom w:val="single" w:color="7F7F7F" w:sz="6" w:space="0"/>
              <w:right w:val="single" w:color="7F7F7F" w:sz="6" w:space="0"/>
            </w:tcBorders>
            <w:vAlign w:val="center"/>
          </w:tcPr>
          <w:p>
            <w:pPr>
              <w:pStyle w:val="9"/>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9"/>
              <w:spacing w:line="318" w:lineRule="exact"/>
              <w:ind w:left="124"/>
              <w:rPr>
                <w:sz w:val="19"/>
              </w:rPr>
            </w:pPr>
            <w:r>
              <w:rPr>
                <w:sz w:val="19"/>
              </w:rPr>
              <w:t>${lsyg_content}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法人对外投资</w:t>
      </w:r>
    </w:p>
    <w:p>
      <w:pPr>
        <w:pStyle w:val="5"/>
        <w:spacing w:before="11" w:line="333" w:lineRule="exact"/>
        <w:ind w:left="102"/>
        <w:rPr>
          <w:rFonts w:ascii="Arial Unicode MS"/>
        </w:rPr>
      </w:pPr>
      <w:r>
        <w:rPr>
          <w:rFonts w:hint="eastAsia"/>
          <w:w w:val="105"/>
          <w:lang w:val="en-US" w:eastAsia="zh-Hans"/>
        </w:rPr>
        <w:t>法人对外投资</w:t>
      </w:r>
      <w:r>
        <w:rPr>
          <w:w w:val="105"/>
        </w:rPr>
        <w:t xml:space="preserve"> ${frdwtz_total}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9"/>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733" w:type="dxa"/>
            <w:tcBorders>
              <w:top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法人对外任职</w:t>
      </w:r>
    </w:p>
    <w:p>
      <w:r>
        <w:rPr>
          <w:rFonts w:hint="eastAsia"/>
          <w:w w:val="105"/>
          <w:lang w:val="en-US" w:eastAsia="zh-Hans"/>
        </w:rPr>
        <w:t>法人对外任职</w:t>
      </w:r>
      <w:r>
        <w:rPr>
          <w:w w:val="105"/>
        </w:rPr>
        <w:t xml:space="preserve"> ${frdwrz_total}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9"/>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top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9"/>
              <w:spacing w:before="144" w:line="225" w:lineRule="auto"/>
              <w:ind w:right="110"/>
              <w:jc w:val="both"/>
              <w:rPr>
                <w:sz w:val="19"/>
              </w:rPr>
            </w:pPr>
            <w:r>
              <w:rPr>
                <w:sz w:val="19"/>
              </w:rPr>
              <w:t>${frdwrz_</w:t>
            </w:r>
            <w:r>
              <w:rPr>
                <w:rFonts w:hint="eastAsia"/>
                <w:sz w:val="19"/>
              </w:rPr>
              <w:t>ISFRDB</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企业对外投资</w:t>
      </w:r>
    </w:p>
    <w:p>
      <w:r>
        <w:rPr>
          <w:rFonts w:hint="eastAsia"/>
          <w:w w:val="105"/>
          <w:lang w:val="en-US" w:eastAsia="zh-Hans"/>
        </w:rPr>
        <w:t>企业对外投资</w:t>
      </w:r>
      <w:r>
        <w:rPr>
          <w:w w:val="105"/>
        </w:rPr>
        <w:t xml:space="preserve"> ${qydwtz_total}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9"/>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top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9"/>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pPr>
      <w:r>
        <w:t>主要分支机构</w:t>
      </w:r>
    </w:p>
    <w:p>
      <w:r>
        <w:rPr>
          <w:rFonts w:hint="eastAsia"/>
          <w:w w:val="105"/>
          <w:lang w:val="en-US" w:eastAsia="zh-Hans"/>
        </w:rPr>
        <w:t>主要分支机构</w:t>
      </w:r>
      <w:r>
        <w:rPr>
          <w:w w:val="105"/>
        </w:rPr>
        <w:t xml:space="preserve"> ${fzjg_total}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9"/>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9"/>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auto"/>
            <w:vAlign w:val="center"/>
          </w:tcPr>
          <w:p>
            <w:pPr>
              <w:pStyle w:val="9"/>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9"/>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t>银行信息</w:t>
      </w:r>
    </w:p>
    <w:tbl>
      <w:tblPr>
        <w:tblStyle w:val="7"/>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9"/>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9"/>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9"/>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bottom w:val="single" w:color="7F7F7F" w:sz="6" w:space="0"/>
              <w:right w:val="single" w:color="7F7F7F" w:sz="6" w:space="0"/>
            </w:tcBorders>
            <w:shd w:val="clear" w:color="auto" w:fill="auto"/>
            <w:vAlign w:val="center"/>
          </w:tcPr>
          <w:p>
            <w:pPr>
              <w:pStyle w:val="9"/>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9"/>
              <w:spacing w:before="24"/>
              <w:ind w:right="1194"/>
              <w:jc w:val="both"/>
              <w:rPr>
                <w:rFonts w:hint="eastAsia"/>
                <w:sz w:val="19"/>
                <w:lang w:eastAsia="zh-Hans"/>
              </w:rPr>
            </w:pPr>
            <w:r>
              <w:rPr>
                <w:rFonts w:hint="default"/>
                <w:sz w:val="19"/>
                <w:lang w:eastAsia="zh-Hans"/>
              </w:rPr>
              <w:t>${yhxx_hm}</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公司概况</w:t>
      </w:r>
    </w:p>
    <w:tbl>
      <w:tblPr>
        <w:tblStyle w:val="7"/>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9"/>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899" w:type="dxa"/>
            <w:tcBorders>
              <w:top w:val="single" w:color="7F7F7F" w:sz="6" w:space="0"/>
              <w:right w:val="single" w:color="7F7F7F" w:sz="6" w:space="0"/>
            </w:tcBorders>
            <w:vAlign w:val="center"/>
          </w:tcPr>
          <w:p>
            <w:pPr>
              <w:pStyle w:val="9"/>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9"/>
              <w:spacing w:line="318" w:lineRule="exact"/>
              <w:ind w:left="130" w:right="102"/>
              <w:jc w:val="both"/>
              <w:rPr>
                <w:sz w:val="19"/>
              </w:rPr>
            </w:pPr>
            <w:r>
              <w:rPr>
                <w:sz w:val="19"/>
              </w:rPr>
              <w:t>${gsgk_rz}</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5"/>
        </w:numPr>
        <w:tabs>
          <w:tab w:val="left" w:pos="583"/>
        </w:tabs>
        <w:spacing w:before="228" w:after="59" w:line="240" w:lineRule="auto"/>
        <w:ind w:left="582" w:right="0" w:hanging="481"/>
        <w:jc w:val="left"/>
      </w:pPr>
      <w:r>
        <w:t>招投标信息</w:t>
      </w:r>
    </w:p>
    <w:p>
      <w:r>
        <w:rPr>
          <w:rFonts w:hint="eastAsia"/>
          <w:w w:val="105"/>
          <w:lang w:val="en-US" w:eastAsia="zh-Hans"/>
        </w:rPr>
        <w:t>招投标信息</w:t>
      </w:r>
      <w:r>
        <w:rPr>
          <w:w w:val="105"/>
        </w:rPr>
        <w:t xml:space="preserve"> ${ztb_total}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9"/>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9"/>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9"/>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31" w:right="115"/>
              <w:jc w:val="both"/>
              <w:rPr>
                <w:color w:val="333333"/>
                <w:sz w:val="19"/>
              </w:rPr>
            </w:pPr>
            <w:r>
              <w:rPr>
                <w:color w:val="333333"/>
                <w:sz w:val="19"/>
              </w:rPr>
              <w:t>所属</w:t>
            </w:r>
          </w:p>
          <w:p>
            <w:pPr>
              <w:pStyle w:val="9"/>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9"/>
              <w:spacing w:line="225" w:lineRule="auto"/>
              <w:ind w:left="395" w:right="187" w:hanging="193"/>
              <w:rPr>
                <w:color w:val="333333"/>
                <w:sz w:val="19"/>
              </w:rPr>
            </w:pPr>
            <w:r>
              <w:rPr>
                <w:color w:val="333333"/>
                <w:sz w:val="19"/>
              </w:rPr>
              <w:t>项目</w:t>
            </w:r>
          </w:p>
          <w:p>
            <w:pPr>
              <w:pStyle w:val="9"/>
              <w:spacing w:line="225" w:lineRule="auto"/>
              <w:ind w:left="395" w:right="187" w:hanging="193"/>
              <w:rPr>
                <w:sz w:val="19"/>
              </w:rPr>
            </w:pPr>
            <w:r>
              <w:rPr>
                <w:color w:val="333333"/>
                <w:sz w:val="19"/>
              </w:rPr>
              <w:t>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54" w:type="dxa"/>
            <w:tcBorders>
              <w:top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9"/>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583"/>
        </w:tabs>
        <w:spacing w:before="228" w:after="59" w:line="240" w:lineRule="auto"/>
        <w:ind w:left="101" w:leftChars="0" w:right="0" w:rightChars="0"/>
        <w:jc w:val="left"/>
        <w:rPr>
          <w:sz w:val="29"/>
        </w:rPr>
      </w:pPr>
    </w:p>
    <w:p>
      <w:pPr>
        <w:pStyle w:val="3"/>
        <w:numPr>
          <w:ilvl w:val="1"/>
          <w:numId w:val="15"/>
        </w:numPr>
        <w:tabs>
          <w:tab w:val="left" w:pos="583"/>
        </w:tabs>
        <w:spacing w:before="90" w:after="60" w:line="240" w:lineRule="auto"/>
        <w:ind w:left="582" w:right="0" w:hanging="481"/>
        <w:jc w:val="left"/>
      </w:pPr>
      <w:r>
        <w:t>购地信息</w:t>
      </w:r>
    </w:p>
    <w:p>
      <w:r>
        <w:rPr>
          <w:rFonts w:hint="eastAsia"/>
          <w:w w:val="105"/>
          <w:lang w:val="en-US" w:eastAsia="zh-Hans"/>
        </w:rPr>
        <w:t>购地信息</w:t>
      </w:r>
      <w:r>
        <w:rPr>
          <w:w w:val="105"/>
        </w:rPr>
        <w:t xml:space="preserve"> ${gdxx_total}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9"/>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9"/>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auto"/>
            <w:vAlign w:val="top"/>
          </w:tcPr>
          <w:p>
            <w:pPr>
              <w:pStyle w:val="9"/>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9"/>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9"/>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pPr>
      <w:r>
        <w:rPr>
          <w:rFonts w:hint="eastAsia"/>
          <w:lang w:val="en-US" w:eastAsia="zh-Hans"/>
        </w:rPr>
        <w:t>土地</w:t>
      </w:r>
      <w:r>
        <w:t>公示</w:t>
      </w:r>
    </w:p>
    <w:p>
      <w:r>
        <w:rPr>
          <w:rFonts w:hint="eastAsia"/>
          <w:w w:val="105"/>
          <w:lang w:val="en-US" w:eastAsia="zh-Hans"/>
        </w:rPr>
        <w:t>土地公示</w:t>
      </w:r>
      <w:r>
        <w:rPr>
          <w:w w:val="105"/>
        </w:rPr>
        <w:t xml:space="preserve"> ${tdgs_total}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9"/>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auto"/>
            <w:vAlign w:val="center"/>
          </w:tcPr>
          <w:p>
            <w:pPr>
              <w:pStyle w:val="9"/>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9"/>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p>
      <w:pPr>
        <w:rPr>
          <w:rFonts w:hint="eastAsia"/>
          <w:lang w:val="en-US" w:eastAsia="zh-Hans"/>
        </w:rPr>
      </w:pPr>
      <w:r>
        <w:rPr>
          <w:rFonts w:hint="eastAsia"/>
          <w:w w:val="105"/>
          <w:lang w:val="en-US" w:eastAsia="zh-Hans"/>
        </w:rPr>
        <w:t>土地转让</w:t>
      </w:r>
      <w:r>
        <w:rPr>
          <w:w w:val="105"/>
        </w:rPr>
        <w:t xml:space="preserve"> ${tdzr_total}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rPr>
          <w:trHeight w:val="573" w:hRule="atLeast"/>
        </w:trPr>
        <w:tc>
          <w:tcPr>
            <w:tcW w:w="786" w:type="dxa"/>
            <w:tcBorders>
              <w:right w:val="single" w:color="7F7F7F" w:sz="6" w:space="0"/>
            </w:tcBorders>
            <w:shd w:val="clear" w:color="auto" w:fill="EEEEEE"/>
            <w:vAlign w:val="center"/>
          </w:tcPr>
          <w:p>
            <w:pPr>
              <w:pStyle w:val="9"/>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9"/>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成交额</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9"/>
              <w:spacing w:before="36" w:line="225" w:lineRule="auto"/>
              <w:ind w:left="215" w:right="199"/>
              <w:rPr>
                <w:color w:val="333333"/>
                <w:sz w:val="19"/>
              </w:rPr>
            </w:pPr>
            <w:r>
              <w:rPr>
                <w:color w:val="333333"/>
                <w:sz w:val="19"/>
              </w:rPr>
              <w:t>面积</w:t>
            </w:r>
          </w:p>
          <w:p>
            <w:pPr>
              <w:pStyle w:val="9"/>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9"/>
              <w:spacing w:before="36" w:line="225" w:lineRule="auto"/>
              <w:ind w:left="372" w:right="162" w:hanging="193"/>
              <w:rPr>
                <w:sz w:val="19"/>
              </w:rPr>
            </w:pPr>
            <w:r>
              <w:rPr>
                <w:color w:val="333333"/>
                <w:sz w:val="19"/>
              </w:rPr>
              <w:t>成交日期</w:t>
            </w:r>
          </w:p>
        </w:tc>
      </w:tr>
      <w:tr>
        <w:trPr>
          <w:trHeight w:val="573" w:hRule="atLeast"/>
        </w:trPr>
        <w:tc>
          <w:tcPr>
            <w:tcW w:w="786" w:type="dxa"/>
            <w:tcBorders>
              <w:right w:val="single" w:color="7F7F7F" w:sz="6" w:space="0"/>
            </w:tcBorders>
            <w:shd w:val="clear" w:color="auto" w:fill="auto"/>
            <w:vAlign w:val="center"/>
          </w:tcPr>
          <w:p>
            <w:pPr>
              <w:pStyle w:val="9"/>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9"/>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9"/>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9"/>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9"/>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9"/>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p>
      <w:pPr>
        <w:rPr>
          <w:rFonts w:hint="eastAsia"/>
          <w:lang w:val="en-US" w:eastAsia="zh-Hans"/>
        </w:rPr>
      </w:pPr>
      <w:r>
        <w:rPr>
          <w:rFonts w:hint="eastAsia"/>
          <w:w w:val="105"/>
          <w:lang w:val="en-US" w:eastAsia="zh-Hans"/>
        </w:rPr>
        <w:t>建筑资质证书</w:t>
      </w:r>
      <w:r>
        <w:rPr>
          <w:w w:val="105"/>
        </w:rPr>
        <w:t xml:space="preserve"> ${jzzz_total}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rPr>
          <w:trHeight w:val="345" w:hRule="atLeast"/>
        </w:trPr>
        <w:tc>
          <w:tcPr>
            <w:tcW w:w="803"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9"/>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p>
      <w:pPr>
        <w:rPr>
          <w:rFonts w:hint="eastAsia"/>
          <w:lang w:val="en-US" w:eastAsia="zh-Hans"/>
        </w:rPr>
      </w:pPr>
      <w:r>
        <w:rPr>
          <w:rFonts w:hint="eastAsia"/>
          <w:w w:val="105"/>
          <w:lang w:val="en-US" w:eastAsia="zh-Hans"/>
        </w:rPr>
        <w:t>建筑工程项目</w:t>
      </w:r>
      <w:r>
        <w:rPr>
          <w:w w:val="105"/>
        </w:rPr>
        <w:t xml:space="preserve"> ${jzgc_total}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rPr>
          <w:trHeight w:val="345" w:hRule="atLeast"/>
        </w:trPr>
        <w:tc>
          <w:tcPr>
            <w:tcW w:w="814"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建设单位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p>
      <w:pPr>
        <w:rPr>
          <w:rFonts w:hint="eastAsia"/>
          <w:lang w:val="en-US" w:eastAsia="zh-Hans"/>
        </w:rPr>
      </w:pPr>
      <w:r>
        <w:rPr>
          <w:rFonts w:hint="eastAsia"/>
          <w:w w:val="105"/>
          <w:lang w:val="en-US" w:eastAsia="zh-Hans"/>
        </w:rPr>
        <w:t>债券信息</w:t>
      </w:r>
      <w:r>
        <w:rPr>
          <w:w w:val="105"/>
        </w:rPr>
        <w:t xml:space="preserve"> ${zq_total}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rPr>
          <w:trHeight w:val="345" w:hRule="atLeast"/>
        </w:trPr>
        <w:tc>
          <w:tcPr>
            <w:tcW w:w="837"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9"/>
              <w:spacing w:before="24"/>
              <w:ind w:left="390"/>
              <w:rPr>
                <w:sz w:val="19"/>
              </w:rPr>
            </w:pPr>
            <w:r>
              <w:rPr>
                <w:color w:val="333333"/>
                <w:sz w:val="19"/>
              </w:rPr>
              <w:t>上市日期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9"/>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5"/>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p>
      <w:pPr>
        <w:rPr>
          <w:rFonts w:hint="eastAsia"/>
          <w:lang w:val="en-US" w:eastAsia="zh-Hans"/>
        </w:rPr>
      </w:pPr>
      <w:r>
        <w:rPr>
          <w:rFonts w:hint="eastAsia"/>
          <w:w w:val="105"/>
          <w:lang w:val="en-US" w:eastAsia="zh-Hans"/>
        </w:rPr>
        <w:t>网站信息</w:t>
      </w:r>
      <w:r>
        <w:rPr>
          <w:w w:val="105"/>
        </w:rPr>
        <w:t xml:space="preserve"> ${web_total}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9"/>
              <w:spacing w:before="24"/>
              <w:ind w:left="383"/>
              <w:rPr>
                <w:sz w:val="19"/>
              </w:rPr>
            </w:pPr>
            <w:r>
              <w:rPr>
                <w:color w:val="333333"/>
                <w:sz w:val="19"/>
              </w:rPr>
              <w:t>审核日期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auto"/>
            <w:vAlign w:val="center"/>
          </w:tcPr>
          <w:p>
            <w:pPr>
              <w:pStyle w:val="9"/>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9"/>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9"/>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微博</w:t>
      </w:r>
    </w:p>
    <w:p>
      <w:pPr>
        <w:rPr>
          <w:sz w:val="29"/>
        </w:rPr>
      </w:pPr>
      <w:r>
        <w:rPr>
          <w:rFonts w:hint="eastAsia"/>
          <w:w w:val="105"/>
          <w:lang w:val="en-US" w:eastAsia="zh-Hans"/>
        </w:rPr>
        <w:t>微博</w:t>
      </w:r>
      <w:r>
        <w:rPr>
          <w:w w:val="105"/>
        </w:rPr>
        <w:t xml:space="preserve"> ${weibo_total}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9"/>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9"/>
              <w:spacing w:before="24"/>
              <w:ind w:right="103"/>
              <w:jc w:val="both"/>
              <w:rPr>
                <w:sz w:val="19"/>
              </w:rPr>
            </w:pPr>
            <w:r>
              <w:rPr>
                <w:sz w:val="19"/>
              </w:rPr>
              <w:t>${weibo_</w:t>
            </w:r>
            <w:r>
              <w:rPr>
                <w:rFonts w:hint="eastAsia"/>
                <w:sz w:val="19"/>
              </w:rPr>
              <w:t>Description</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新闻舆情</w:t>
      </w:r>
    </w:p>
    <w:p>
      <w:pPr>
        <w:rPr>
          <w:sz w:val="29"/>
        </w:rPr>
      </w:pPr>
      <w:r>
        <w:rPr>
          <w:rFonts w:hint="eastAsia"/>
          <w:w w:val="105"/>
          <w:lang w:val="en-US" w:eastAsia="zh-Hans"/>
        </w:rPr>
        <w:t>新闻舆情</w:t>
      </w:r>
      <w:r>
        <w:rPr>
          <w:w w:val="105"/>
        </w:rPr>
        <w:t xml:space="preserve"> ${xwyq_total}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9"/>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9"/>
              <w:spacing w:line="318" w:lineRule="exact"/>
              <w:ind w:right="181"/>
              <w:jc w:val="both"/>
              <w:rPr>
                <w:sz w:val="19"/>
              </w:rPr>
            </w:pPr>
            <w:r>
              <w:rPr>
                <w:sz w:val="19"/>
              </w:rPr>
              <w:t>${xwyq_</w:t>
            </w:r>
            <w:r>
              <w:rPr>
                <w:rFonts w:hint="eastAsia"/>
                <w:sz w:val="19"/>
              </w:rPr>
              <w:t>PublishTime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团队与招聘</w:t>
      </w:r>
    </w:p>
    <w:p>
      <w:pPr>
        <w:pStyle w:val="10"/>
        <w:numPr>
          <w:ilvl w:val="1"/>
          <w:numId w:val="15"/>
        </w:numPr>
        <w:tabs>
          <w:tab w:val="left" w:pos="583"/>
        </w:tabs>
        <w:spacing w:before="0" w:after="59" w:line="240" w:lineRule="auto"/>
        <w:ind w:left="582" w:right="0" w:hanging="481"/>
        <w:jc w:val="left"/>
        <w:rPr>
          <w:sz w:val="29"/>
        </w:rPr>
      </w:pPr>
      <w:r>
        <w:rPr>
          <w:sz w:val="29"/>
        </w:rPr>
        <w:t>近三年团队人数</w:t>
      </w:r>
    </w:p>
    <w:tbl>
      <w:tblPr>
        <w:tblStyle w:val="7"/>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9"/>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9"/>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9"/>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9"/>
              <w:spacing w:line="187" w:lineRule="exact"/>
              <w:rPr>
                <w:color w:val="333333"/>
                <w:sz w:val="19"/>
              </w:rPr>
            </w:pPr>
            <w:r>
              <w:rPr>
                <w:color w:val="333333"/>
                <w:sz w:val="19"/>
              </w:rPr>
              <w:t>${tdrs_yoy}</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228" w:after="59" w:line="240" w:lineRule="auto"/>
        <w:ind w:left="582" w:right="0" w:hanging="481"/>
        <w:jc w:val="left"/>
        <w:rPr>
          <w:sz w:val="29"/>
        </w:rPr>
      </w:pPr>
      <w:r>
        <w:rPr>
          <w:sz w:val="29"/>
        </w:rPr>
        <w:t>专业注册人员</w:t>
      </w:r>
    </w:p>
    <w:p>
      <w:pPr>
        <w:rPr>
          <w:sz w:val="29"/>
        </w:rPr>
      </w:pPr>
      <w:r>
        <w:rPr>
          <w:rFonts w:hint="eastAsia"/>
          <w:w w:val="105"/>
          <w:lang w:val="en-US" w:eastAsia="zh-Hans"/>
        </w:rPr>
        <w:t>专业注册人员</w:t>
      </w:r>
      <w:r>
        <w:rPr>
          <w:w w:val="105"/>
        </w:rPr>
        <w:t xml:space="preserve"> ${zyry_total}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9"/>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9"/>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9"/>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9"/>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9"/>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10"/>
        <w:numPr>
          <w:ilvl w:val="1"/>
          <w:numId w:val="15"/>
        </w:numPr>
        <w:tabs>
          <w:tab w:val="left" w:pos="583"/>
        </w:tabs>
        <w:spacing w:before="0" w:after="59" w:line="240" w:lineRule="auto"/>
        <w:ind w:left="582" w:right="0" w:hanging="481"/>
        <w:jc w:val="left"/>
        <w:rPr>
          <w:sz w:val="29"/>
        </w:rPr>
      </w:pPr>
      <w:r>
        <w:rPr>
          <w:sz w:val="29"/>
        </w:rPr>
        <w:t>团队招聘</w:t>
      </w:r>
    </w:p>
    <w:p>
      <w:pPr>
        <w:pStyle w:val="10"/>
        <w:numPr>
          <w:ilvl w:val="0"/>
          <w:numId w:val="0"/>
        </w:numPr>
        <w:tabs>
          <w:tab w:val="left" w:pos="583"/>
        </w:tabs>
        <w:spacing w:before="0" w:after="59" w:line="240" w:lineRule="auto"/>
        <w:ind w:left="101" w:leftChars="0" w:right="0" w:rightChars="0"/>
        <w:jc w:val="left"/>
        <w:rPr>
          <w:sz w:val="29"/>
        </w:rPr>
      </w:pPr>
      <w:r>
        <w:rPr>
          <w:rFonts w:hint="eastAsia"/>
          <w:w w:val="105"/>
          <w:lang w:val="en-US" w:eastAsia="zh-Hans"/>
        </w:rPr>
        <w:t>团队招聘</w:t>
      </w:r>
      <w:r>
        <w:rPr>
          <w:w w:val="105"/>
        </w:rPr>
        <w:t xml:space="preserve"> ${zp_total}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9"/>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5"/>
        </w:numPr>
        <w:tabs>
          <w:tab w:val="left" w:pos="404"/>
        </w:tabs>
        <w:spacing w:before="0" w:after="45" w:line="577" w:lineRule="exact"/>
        <w:ind w:left="403" w:right="0" w:hanging="302"/>
        <w:jc w:val="left"/>
      </w:pPr>
      <w:r>
        <w:t>财务总览</w:t>
      </w:r>
    </w:p>
    <w:p>
      <w:pPr>
        <w:pStyle w:val="10"/>
        <w:numPr>
          <w:ilvl w:val="0"/>
          <w:numId w:val="0"/>
        </w:numPr>
        <w:tabs>
          <w:tab w:val="left" w:pos="404"/>
        </w:tabs>
        <w:spacing w:before="204" w:after="0" w:line="240" w:lineRule="auto"/>
        <w:ind w:left="101" w:leftChars="0" w:right="0" w:rightChars="0"/>
        <w:jc w:val="left"/>
        <w:rPr>
          <w:sz w:val="36"/>
        </w:rPr>
      </w:pPr>
      <w:r>
        <w:rPr>
          <w:sz w:val="36"/>
        </w:rPr>
        <w:t>${caiwu_pic0}</w:t>
      </w:r>
    </w:p>
    <w:p>
      <w:pPr>
        <w:pStyle w:val="10"/>
        <w:numPr>
          <w:ilvl w:val="0"/>
          <w:numId w:val="0"/>
        </w:numPr>
        <w:tabs>
          <w:tab w:val="left" w:pos="404"/>
        </w:tabs>
        <w:spacing w:before="204" w:after="0" w:line="240" w:lineRule="auto"/>
        <w:ind w:left="101" w:leftChars="0" w:right="0" w:rightChars="0"/>
        <w:jc w:val="left"/>
        <w:rPr>
          <w:sz w:val="36"/>
        </w:rPr>
      </w:pPr>
      <w:r>
        <w:rPr>
          <w:sz w:val="36"/>
        </w:rPr>
        <w:t>${caiwu_pic1}</w:t>
      </w:r>
    </w:p>
    <w:p>
      <w:pPr>
        <w:pStyle w:val="10"/>
        <w:numPr>
          <w:ilvl w:val="0"/>
          <w:numId w:val="0"/>
        </w:numPr>
        <w:tabs>
          <w:tab w:val="left" w:pos="404"/>
        </w:tabs>
        <w:spacing w:before="204" w:after="0" w:line="240" w:lineRule="auto"/>
        <w:ind w:left="101" w:leftChars="0" w:right="0" w:rightChars="0"/>
        <w:jc w:val="left"/>
        <w:rPr>
          <w:sz w:val="36"/>
        </w:rPr>
      </w:pPr>
      <w:r>
        <w:rPr>
          <w:sz w:val="36"/>
        </w:rPr>
        <w:t>${caiwu_pic2}</w:t>
      </w:r>
    </w:p>
    <w:p>
      <w:pPr>
        <w:pStyle w:val="10"/>
        <w:numPr>
          <w:ilvl w:val="0"/>
          <w:numId w:val="0"/>
        </w:numPr>
        <w:tabs>
          <w:tab w:val="left" w:pos="404"/>
        </w:tabs>
        <w:spacing w:before="204" w:after="0" w:line="240" w:lineRule="auto"/>
        <w:ind w:left="101" w:leftChars="0" w:right="0" w:rightChars="0"/>
        <w:jc w:val="left"/>
        <w:rPr>
          <w:sz w:val="36"/>
        </w:rPr>
      </w:pPr>
      <w:r>
        <w:rPr>
          <w:sz w:val="36"/>
        </w:rPr>
        <w:t>${caiwu_pic3}</w:t>
      </w:r>
    </w:p>
    <w:p>
      <w:pPr>
        <w:pStyle w:val="10"/>
        <w:numPr>
          <w:ilvl w:val="0"/>
          <w:numId w:val="0"/>
        </w:numPr>
        <w:tabs>
          <w:tab w:val="left" w:pos="404"/>
        </w:tabs>
        <w:spacing w:before="204" w:after="0" w:line="240" w:lineRule="auto"/>
        <w:ind w:left="101" w:leftChars="0" w:right="0" w:rightChars="0"/>
        <w:jc w:val="left"/>
        <w:rPr>
          <w:sz w:val="36"/>
        </w:rPr>
      </w:pPr>
      <w:r>
        <w:rPr>
          <w:sz w:val="36"/>
        </w:rPr>
        <w:t>${caiwu_pic4}</w:t>
      </w:r>
    </w:p>
    <w:p>
      <w:pPr>
        <w:pStyle w:val="10"/>
        <w:numPr>
          <w:ilvl w:val="0"/>
          <w:numId w:val="0"/>
        </w:numPr>
        <w:tabs>
          <w:tab w:val="left" w:pos="404"/>
        </w:tabs>
        <w:spacing w:before="204" w:after="0" w:line="240" w:lineRule="auto"/>
        <w:ind w:left="101" w:leftChars="0" w:right="0" w:rightChars="0"/>
        <w:jc w:val="left"/>
        <w:rPr>
          <w:sz w:val="36"/>
        </w:rPr>
      </w:pPr>
      <w:r>
        <w:rPr>
          <w:sz w:val="36"/>
        </w:rPr>
        <w:t>${caiwu_oneSaid}</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业务概况</w:t>
      </w:r>
    </w:p>
    <w:tbl>
      <w:tblPr>
        <w:tblStyle w:val="7"/>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9"/>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9"/>
              <w:spacing w:before="36" w:line="225" w:lineRule="auto"/>
              <w:ind w:left="130" w:right="116"/>
              <w:jc w:val="both"/>
              <w:rPr>
                <w:color w:val="333333"/>
                <w:sz w:val="19"/>
              </w:rPr>
            </w:pPr>
            <w:r>
              <w:rPr>
                <w:color w:val="333333"/>
                <w:sz w:val="19"/>
              </w:rPr>
              <w:t>产品</w:t>
            </w:r>
          </w:p>
          <w:p>
            <w:pPr>
              <w:pStyle w:val="9"/>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9"/>
              <w:spacing w:before="36" w:line="225" w:lineRule="auto"/>
              <w:ind w:left="124" w:right="110"/>
              <w:jc w:val="both"/>
              <w:rPr>
                <w:color w:val="333333"/>
                <w:sz w:val="19"/>
              </w:rPr>
            </w:pPr>
            <w:r>
              <w:rPr>
                <w:color w:val="333333"/>
                <w:sz w:val="19"/>
              </w:rPr>
              <w:t>产品</w:t>
            </w:r>
          </w:p>
          <w:p>
            <w:pPr>
              <w:pStyle w:val="9"/>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9"/>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9"/>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9"/>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3"/>
        <w:numPr>
          <w:ilvl w:val="0"/>
          <w:numId w:val="0"/>
        </w:numPr>
        <w:tabs>
          <w:tab w:val="left" w:pos="583"/>
        </w:tabs>
        <w:spacing w:before="33" w:after="0" w:line="240" w:lineRule="auto"/>
        <w:ind w:right="0" w:rightChars="0"/>
        <w:jc w:val="left"/>
        <w:rPr>
          <w:rFonts w:hint="default"/>
          <w:highlight w:val="none"/>
          <w:lang w:val="en-US" w:eastAsia="zh-CN"/>
        </w:rPr>
      </w:pPr>
    </w:p>
    <w:p>
      <w:pPr>
        <w:pStyle w:val="3"/>
        <w:numPr>
          <w:ilvl w:val="1"/>
          <w:numId w:val="15"/>
        </w:numPr>
        <w:tabs>
          <w:tab w:val="left" w:pos="583"/>
        </w:tabs>
        <w:spacing w:before="33" w:after="0" w:line="240" w:lineRule="auto"/>
        <w:ind w:left="582" w:right="0" w:hanging="481"/>
        <w:jc w:val="left"/>
        <w:rPr>
          <w:rFonts w:hint="default"/>
          <w:highlight w:val="none"/>
          <w:lang w:val="en-US" w:eastAsia="zh-CN"/>
        </w:rPr>
      </w:pPr>
      <w:r>
        <w:rPr>
          <w:rFonts w:hint="eastAsia"/>
          <w:highlight w:val="none"/>
          <w:lang w:val="en-US" w:eastAsia="zh-CN"/>
        </w:rPr>
        <w:t>备案主营产品</w:t>
      </w:r>
    </w:p>
    <w:tbl>
      <w:tblPr>
        <w:tblStyle w:val="7"/>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927"/>
        <w:gridCol w:w="3330"/>
        <w:gridCol w:w="281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9"/>
              <w:spacing w:before="24"/>
              <w:ind w:left="106" w:right="94"/>
              <w:jc w:val="center"/>
              <w:rPr>
                <w:sz w:val="19"/>
              </w:rPr>
            </w:pPr>
            <w:r>
              <w:rPr>
                <w:color w:val="333333"/>
                <w:sz w:val="19"/>
              </w:rPr>
              <w:t>序号</w:t>
            </w:r>
          </w:p>
        </w:tc>
        <w:tc>
          <w:tcPr>
            <w:tcW w:w="1927" w:type="dxa"/>
            <w:tcBorders>
              <w:left w:val="single" w:color="7F7F7F" w:sz="6" w:space="0"/>
              <w:bottom w:val="single" w:color="7F7F7F" w:sz="6" w:space="0"/>
              <w:right w:val="single" w:color="7F7F7F" w:sz="6" w:space="0"/>
            </w:tcBorders>
            <w:shd w:val="clear" w:color="auto" w:fill="EEEEEE"/>
            <w:vAlign w:val="center"/>
          </w:tcPr>
          <w:p>
            <w:pPr>
              <w:pStyle w:val="9"/>
              <w:spacing w:before="24"/>
              <w:ind w:left="115" w:right="103"/>
              <w:jc w:val="center"/>
              <w:rPr>
                <w:rFonts w:hint="default" w:eastAsia="宋体"/>
                <w:sz w:val="19"/>
                <w:lang w:val="en-US" w:eastAsia="zh-CN"/>
              </w:rPr>
            </w:pPr>
            <w:r>
              <w:rPr>
                <w:rFonts w:hint="eastAsia"/>
                <w:sz w:val="19"/>
                <w:lang w:val="en-US" w:eastAsia="zh-CN"/>
              </w:rPr>
              <w:t>产品名称</w:t>
            </w:r>
          </w:p>
        </w:tc>
        <w:tc>
          <w:tcPr>
            <w:tcW w:w="3330" w:type="dxa"/>
            <w:tcBorders>
              <w:left w:val="single" w:color="7F7F7F" w:sz="6" w:space="0"/>
              <w:bottom w:val="single" w:color="7F7F7F" w:sz="6" w:space="0"/>
              <w:right w:val="single" w:color="7F7F7F" w:sz="6" w:space="0"/>
            </w:tcBorders>
            <w:shd w:val="clear" w:color="auto" w:fill="EEEEEE"/>
            <w:vAlign w:val="center"/>
          </w:tcPr>
          <w:p>
            <w:pPr>
              <w:pStyle w:val="9"/>
              <w:spacing w:before="24"/>
              <w:ind w:left="123" w:right="110"/>
              <w:jc w:val="center"/>
              <w:rPr>
                <w:rFonts w:hint="default" w:eastAsia="宋体"/>
                <w:sz w:val="19"/>
                <w:lang w:val="en-US" w:eastAsia="zh-CN"/>
              </w:rPr>
            </w:pPr>
            <w:r>
              <w:rPr>
                <w:rFonts w:hint="eastAsia"/>
                <w:sz w:val="19"/>
                <w:lang w:val="en-US" w:eastAsia="zh-CN"/>
              </w:rPr>
              <w:t>标准名称</w:t>
            </w:r>
          </w:p>
        </w:tc>
        <w:tc>
          <w:tcPr>
            <w:tcW w:w="2819" w:type="dxa"/>
            <w:tcBorders>
              <w:left w:val="single" w:color="7F7F7F" w:sz="6" w:space="0"/>
              <w:bottom w:val="single" w:color="7F7F7F" w:sz="6" w:space="0"/>
            </w:tcBorders>
            <w:shd w:val="clear" w:color="auto" w:fill="EEEEEE"/>
            <w:vAlign w:val="center"/>
          </w:tcPr>
          <w:p>
            <w:pPr>
              <w:pStyle w:val="9"/>
              <w:spacing w:before="24"/>
              <w:ind w:left="138" w:right="126"/>
              <w:jc w:val="center"/>
              <w:rPr>
                <w:rFonts w:hint="default" w:eastAsia="宋体"/>
                <w:sz w:val="19"/>
                <w:lang w:val="en-US" w:eastAsia="zh-CN"/>
              </w:rPr>
            </w:pPr>
            <w:r>
              <w:rPr>
                <w:rFonts w:hint="eastAsia"/>
                <w:sz w:val="19"/>
                <w:lang w:val="en-US" w:eastAsia="zh-CN"/>
              </w:rPr>
              <w:t>标准编号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top w:val="single" w:color="7F7F7F" w:sz="6" w:space="0"/>
              <w:right w:val="single" w:color="7F7F7F" w:sz="6" w:space="0"/>
            </w:tcBorders>
            <w:vAlign w:val="center"/>
          </w:tcPr>
          <w:p>
            <w:pPr>
              <w:pStyle w:val="9"/>
              <w:spacing w:before="24"/>
              <w:ind w:right="103"/>
              <w:jc w:val="center"/>
              <w:rPr>
                <w:rFonts w:hint="default" w:eastAsia="宋体"/>
                <w:sz w:val="19"/>
                <w:lang w:eastAsia="zh-CN"/>
              </w:rPr>
            </w:pPr>
            <w:r>
              <w:rPr>
                <w:rFonts w:hint="default"/>
                <w:sz w:val="19"/>
                <w:lang w:eastAsia="zh-CN"/>
              </w:rPr>
              <w:t>${ps_no}</w:t>
            </w:r>
          </w:p>
        </w:tc>
        <w:tc>
          <w:tcPr>
            <w:tcW w:w="1927"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${ps_pname}</w:t>
            </w:r>
          </w:p>
        </w:tc>
        <w:tc>
          <w:tcPr>
            <w:tcW w:w="3330" w:type="dxa"/>
            <w:tcBorders>
              <w:top w:val="single" w:color="7F7F7F" w:sz="6" w:space="0"/>
              <w:left w:val="single" w:color="7F7F7F" w:sz="6" w:space="0"/>
              <w:right w:val="single" w:color="7F7F7F" w:sz="6" w:space="0"/>
            </w:tcBorders>
            <w:vAlign w:val="center"/>
          </w:tcPr>
          <w:p>
            <w:pPr>
              <w:pStyle w:val="9"/>
              <w:spacing w:before="24"/>
              <w:ind w:right="103"/>
              <w:jc w:val="center"/>
              <w:rPr>
                <w:sz w:val="19"/>
              </w:rPr>
            </w:pPr>
            <w:r>
              <w:rPr>
                <w:rFonts w:hint="default"/>
                <w:sz w:val="19"/>
                <w:lang w:eastAsia="zh-CN"/>
              </w:rPr>
              <w:t>${ps_sname}</w:t>
            </w:r>
          </w:p>
        </w:tc>
        <w:tc>
          <w:tcPr>
            <w:tcW w:w="2819" w:type="dxa"/>
            <w:tcBorders>
              <w:top w:val="single" w:color="7F7F7F" w:sz="6" w:space="0"/>
              <w:left w:val="single" w:color="7F7F7F" w:sz="6" w:space="0"/>
            </w:tcBorders>
            <w:vAlign w:val="center"/>
          </w:tcPr>
          <w:p>
            <w:pPr>
              <w:pStyle w:val="9"/>
              <w:spacing w:before="24"/>
              <w:ind w:right="103"/>
              <w:jc w:val="center"/>
              <w:rPr>
                <w:sz w:val="19"/>
              </w:rPr>
            </w:pPr>
            <w:r>
              <w:rPr>
                <w:rFonts w:hint="default"/>
                <w:sz w:val="19"/>
                <w:lang w:eastAsia="zh-CN"/>
              </w:rPr>
              <w:t>${ps_sno}</w:t>
            </w:r>
          </w:p>
        </w:tc>
      </w:tr>
    </w:tbl>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45" w:line="577" w:lineRule="exact"/>
        <w:ind w:left="403" w:right="0" w:hanging="302"/>
        <w:jc w:val="left"/>
      </w:pPr>
      <w:r>
        <w:t>创新能力</w:t>
      </w:r>
    </w:p>
    <w:p>
      <w:pPr>
        <w:pStyle w:val="3"/>
        <w:numPr>
          <w:ilvl w:val="1"/>
          <w:numId w:val="15"/>
        </w:numPr>
        <w:tabs>
          <w:tab w:val="left" w:pos="583"/>
        </w:tabs>
        <w:spacing w:before="33" w:after="0" w:line="240" w:lineRule="auto"/>
        <w:ind w:left="582" w:right="0" w:hanging="481"/>
        <w:jc w:val="left"/>
      </w:pPr>
      <w:r>
        <w:t>专利</w:t>
      </w:r>
    </w:p>
    <w:p>
      <w:pPr>
        <w:pStyle w:val="5"/>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9"/>
              <w:spacing w:before="36" w:line="225" w:lineRule="auto"/>
              <w:ind w:right="146"/>
              <w:rPr>
                <w:sz w:val="19"/>
              </w:rPr>
            </w:pPr>
            <w:r>
              <w:rPr>
                <w:sz w:val="19"/>
              </w:rPr>
              <w:t>${zl_</w:t>
            </w:r>
            <w:r>
              <w:rPr>
                <w:rFonts w:hint="eastAsia"/>
                <w:sz w:val="19"/>
              </w:rPr>
              <w:t>PublicationDate</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软件著作权</w:t>
      </w:r>
    </w:p>
    <w:p>
      <w:pPr>
        <w:pStyle w:val="5"/>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rPr>
          <w:rFonts w:ascii="Arial Unicode MS"/>
          <w:sz w:val="5"/>
        </w:rPr>
      </w:pPr>
    </w:p>
    <w:tbl>
      <w:tblPr>
        <w:tblStyle w:val="7"/>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rPr>
          <w:trHeight w:val="345" w:hRule="atLeast"/>
        </w:trPr>
        <w:tc>
          <w:tcPr>
            <w:tcW w:w="844" w:type="dxa"/>
            <w:tcBorders>
              <w:bottom w:val="single" w:color="7F7F7F" w:sz="6" w:space="0"/>
              <w:right w:val="single" w:color="7F7F7F" w:sz="6" w:space="0"/>
            </w:tcBorders>
            <w:shd w:val="clear" w:color="auto" w:fill="EEEEEE"/>
            <w:vAlign w:val="center"/>
          </w:tcPr>
          <w:p>
            <w:pPr>
              <w:pStyle w:val="9"/>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9"/>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9"/>
              <w:spacing w:before="24"/>
              <w:ind w:right="340"/>
              <w:jc w:val="both"/>
              <w:rPr>
                <w:sz w:val="19"/>
              </w:rPr>
            </w:pPr>
            <w:r>
              <w:rPr>
                <w:sz w:val="19"/>
              </w:rPr>
              <w:t>${rjzzq_</w:t>
            </w:r>
            <w:r>
              <w:rPr>
                <w:rFonts w:hint="eastAsia"/>
                <w:sz w:val="19"/>
              </w:rPr>
              <w:t>VersionNo</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商标</w:t>
      </w:r>
    </w:p>
    <w:p>
      <w:pPr>
        <w:pStyle w:val="5"/>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5" w:after="1"/>
        <w:rPr>
          <w:rFonts w:ascii="Arial Unicode MS"/>
          <w:sz w:val="5"/>
        </w:rPr>
      </w:pPr>
    </w:p>
    <w:tbl>
      <w:tblPr>
        <w:tblStyle w:val="7"/>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rPr>
          <w:trHeight w:val="573" w:hRule="atLeast"/>
        </w:trPr>
        <w:tc>
          <w:tcPr>
            <w:tcW w:w="843" w:type="dxa"/>
            <w:tcBorders>
              <w:bottom w:val="single" w:color="7F7F7F" w:sz="6" w:space="0"/>
              <w:right w:val="single" w:color="7F7F7F" w:sz="6" w:space="0"/>
            </w:tcBorders>
            <w:shd w:val="clear" w:color="auto" w:fill="EEEEEE"/>
            <w:vAlign w:val="center"/>
          </w:tcPr>
          <w:p>
            <w:pPr>
              <w:pStyle w:val="9"/>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16" w:right="111" w:hanging="193"/>
              <w:rPr>
                <w:color w:val="333333"/>
                <w:sz w:val="19"/>
              </w:rPr>
            </w:pPr>
            <w:r>
              <w:rPr>
                <w:color w:val="333333"/>
                <w:sz w:val="19"/>
              </w:rPr>
              <w:t>商标</w:t>
            </w:r>
          </w:p>
          <w:p>
            <w:pPr>
              <w:pStyle w:val="9"/>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9"/>
              <w:spacing w:before="36" w:line="225" w:lineRule="auto"/>
              <w:ind w:left="386" w:right="185" w:hanging="193"/>
              <w:rPr>
                <w:color w:val="333333"/>
                <w:sz w:val="19"/>
              </w:rPr>
            </w:pPr>
            <w:r>
              <w:rPr>
                <w:color w:val="333333"/>
                <w:sz w:val="19"/>
              </w:rPr>
              <w:t>申请</w:t>
            </w:r>
          </w:p>
          <w:p>
            <w:pPr>
              <w:pStyle w:val="9"/>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9"/>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作品著作权</w:t>
      </w:r>
    </w:p>
    <w:p>
      <w:pPr>
        <w:pStyle w:val="5"/>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5"/>
        <w:spacing w:before="11" w:line="333" w:lineRule="exact"/>
        <w:ind w:left="102"/>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9"/>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证书资质</w:t>
      </w:r>
    </w:p>
    <w:p>
      <w:pPr>
        <w:pStyle w:val="5"/>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57" w:line="196" w:lineRule="auto"/>
        <w:ind w:left="102" w:right="228"/>
        <w:rPr>
          <w:w w:val="105"/>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9"/>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9"/>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9"/>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0" w:after="0" w:line="240" w:lineRule="auto"/>
        <w:ind w:left="403" w:right="0" w:hanging="302"/>
        <w:jc w:val="left"/>
      </w:pPr>
      <w:r>
        <w:t>税务信息</w:t>
      </w:r>
    </w:p>
    <w:p>
      <w:pPr>
        <w:pStyle w:val="5"/>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5"/>
        </w:numPr>
        <w:tabs>
          <w:tab w:val="left" w:pos="583"/>
        </w:tabs>
        <w:spacing w:before="0" w:after="0" w:line="240" w:lineRule="auto"/>
        <w:ind w:left="582" w:right="0" w:hanging="481"/>
        <w:jc w:val="left"/>
      </w:pPr>
      <w:r>
        <w:t>纳税信用等级</w:t>
      </w:r>
    </w:p>
    <w:p>
      <w:pPr>
        <w:pStyle w:val="5"/>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9"/>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9"/>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9"/>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9"/>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9"/>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9"/>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税务许可信息</w:t>
      </w:r>
    </w:p>
    <w:p>
      <w:pPr>
        <w:pStyle w:val="5"/>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9"/>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认证登记信息</w:t>
      </w:r>
    </w:p>
    <w:p>
      <w:pPr>
        <w:pStyle w:val="5"/>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9"/>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9"/>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9"/>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9"/>
              <w:spacing w:before="24"/>
              <w:ind w:right="322"/>
              <w:jc w:val="both"/>
              <w:rPr>
                <w:sz w:val="19"/>
              </w:rPr>
            </w:pPr>
            <w:r>
              <w:rPr>
                <w:sz w:val="19"/>
              </w:rPr>
              <w:t>${swdj_</w:t>
            </w:r>
            <w:r>
              <w:rPr>
                <w:rFonts w:hint="eastAsia"/>
                <w:sz w:val="19"/>
              </w:rPr>
              <w:t>authority</w:t>
            </w:r>
            <w:r>
              <w:rPr>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非正常用户信息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欠税信息</w:t>
      </w:r>
    </w:p>
    <w:p>
      <w:pPr>
        <w:pStyle w:val="5"/>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rPr>
          <w:trHeight w:val="801" w:hRule="atLeast"/>
        </w:trPr>
        <w:tc>
          <w:tcPr>
            <w:tcW w:w="8871" w:type="dxa"/>
            <w:gridSpan w:val="6"/>
            <w:tcBorders>
              <w:bottom w:val="single" w:color="7F7F7F" w:sz="6" w:space="0"/>
              <w:right w:val="single" w:color="7F7F7F" w:sz="6" w:space="0"/>
            </w:tcBorders>
            <w:vAlign w:val="center"/>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9"/>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3"/>
        <w:numPr>
          <w:ilvl w:val="1"/>
          <w:numId w:val="15"/>
        </w:numPr>
        <w:tabs>
          <w:tab w:val="left" w:pos="583"/>
        </w:tabs>
        <w:spacing w:before="0" w:after="0" w:line="240" w:lineRule="auto"/>
        <w:ind w:left="582" w:right="0" w:hanging="481"/>
        <w:jc w:val="left"/>
      </w:pPr>
      <w:r>
        <w:t>重大税收违法</w:t>
      </w:r>
    </w:p>
    <w:p>
      <w:pPr>
        <w:pStyle w:val="5"/>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9"/>
              <w:spacing w:before="24"/>
              <w:ind w:left="246"/>
              <w:rPr>
                <w:sz w:val="19"/>
              </w:rPr>
            </w:pPr>
            <w:r>
              <w:rPr>
                <w:color w:val="333333"/>
                <w:sz w:val="19"/>
              </w:rPr>
              <w:t>管理机关</w:t>
            </w:r>
          </w:p>
        </w:tc>
      </w:tr>
      <w:tr>
        <w:trPr>
          <w:trHeight w:val="345" w:hRule="atLeast"/>
        </w:trPr>
        <w:tc>
          <w:tcPr>
            <w:tcW w:w="812" w:type="dxa"/>
            <w:tcBorders>
              <w:right w:val="single" w:color="7F7F7F" w:sz="6" w:space="0"/>
            </w:tcBorders>
            <w:shd w:val="clear" w:color="auto" w:fill="auto"/>
            <w:vAlign w:val="center"/>
          </w:tcPr>
          <w:p>
            <w:pPr>
              <w:pStyle w:val="9"/>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9"/>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197" w:after="0" w:line="240" w:lineRule="auto"/>
        <w:ind w:left="403" w:right="0" w:hanging="302"/>
        <w:jc w:val="left"/>
      </w:pPr>
      <w:r>
        <w:t>行政管理信息</w:t>
      </w:r>
    </w:p>
    <w:p>
      <w:pPr>
        <w:pStyle w:val="3"/>
        <w:numPr>
          <w:ilvl w:val="1"/>
          <w:numId w:val="15"/>
        </w:numPr>
        <w:tabs>
          <w:tab w:val="left" w:pos="583"/>
        </w:tabs>
        <w:spacing w:before="33" w:after="0" w:line="240" w:lineRule="auto"/>
        <w:ind w:left="582" w:right="0" w:hanging="481"/>
        <w:jc w:val="left"/>
      </w:pPr>
      <w:r>
        <w:rPr>
          <w:w w:val="95"/>
        </w:rPr>
        <w:t>行政许可信息</w:t>
      </w:r>
    </w:p>
    <w:p>
      <w:pPr>
        <w:pStyle w:val="5"/>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
        <w:rPr>
          <w:rFonts w:ascii="Arial Unicode MS"/>
          <w:sz w:val="7"/>
        </w:rPr>
      </w:pPr>
    </w:p>
    <w:tbl>
      <w:tblPr>
        <w:tblStyle w:val="7"/>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rPr>
          <w:trHeight w:val="573" w:hRule="atLeast"/>
        </w:trPr>
        <w:tc>
          <w:tcPr>
            <w:tcW w:w="712" w:type="dxa"/>
            <w:tcBorders>
              <w:bottom w:val="single" w:color="7F7F7F" w:sz="6" w:space="0"/>
              <w:right w:val="single" w:color="7F7F7F" w:sz="6" w:space="0"/>
            </w:tcBorders>
            <w:shd w:val="clear" w:color="auto" w:fill="EEEEEE"/>
            <w:vAlign w:val="center"/>
          </w:tcPr>
          <w:p>
            <w:pPr>
              <w:pStyle w:val="9"/>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9"/>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9"/>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9"/>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b/>
          <w:bCs/>
          <w:sz w:val="36"/>
        </w:rPr>
      </w:pPr>
    </w:p>
    <w:p>
      <w:pPr>
        <w:pStyle w:val="3"/>
        <w:numPr>
          <w:ilvl w:val="1"/>
          <w:numId w:val="15"/>
        </w:numPr>
        <w:tabs>
          <w:tab w:val="left" w:pos="583"/>
        </w:tabs>
        <w:spacing w:before="0" w:after="0" w:line="240" w:lineRule="auto"/>
        <w:ind w:left="582" w:right="0" w:hanging="481"/>
        <w:jc w:val="left"/>
      </w:pPr>
      <w:r>
        <w:t>行政处罚信息</w:t>
      </w:r>
    </w:p>
    <w:p>
      <w:pPr>
        <w:pStyle w:val="5"/>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9"/>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9"/>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9"/>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9"/>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404"/>
        </w:tabs>
        <w:spacing w:before="204" w:after="0" w:line="240" w:lineRule="auto"/>
        <w:ind w:left="403" w:right="0" w:hanging="302"/>
        <w:jc w:val="left"/>
      </w:pPr>
      <w:r>
        <w:t>环保信息</w:t>
      </w:r>
    </w:p>
    <w:p>
      <w:pPr>
        <w:pStyle w:val="3"/>
        <w:numPr>
          <w:ilvl w:val="1"/>
          <w:numId w:val="15"/>
        </w:numPr>
        <w:tabs>
          <w:tab w:val="left" w:pos="583"/>
        </w:tabs>
        <w:spacing w:before="34" w:after="0" w:line="240" w:lineRule="auto"/>
        <w:ind w:left="582" w:right="0" w:hanging="481"/>
        <w:jc w:val="left"/>
      </w:pPr>
      <w:r>
        <w:rPr>
          <w:w w:val="95"/>
        </w:rPr>
        <w:t>环保处罚</w:t>
      </w:r>
    </w:p>
    <w:p>
      <w:pPr>
        <w:pStyle w:val="5"/>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7"/>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9"/>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9"/>
              <w:spacing w:before="24"/>
              <w:ind w:left="522"/>
              <w:rPr>
                <w:sz w:val="19"/>
              </w:rPr>
            </w:pPr>
            <w:r>
              <w:rPr>
                <w:color w:val="333333"/>
                <w:sz w:val="19"/>
              </w:rPr>
              <w:t>处罚机关</w:t>
            </w:r>
          </w:p>
        </w:tc>
      </w:tr>
      <w:tr>
        <w:trPr>
          <w:trHeight w:val="345" w:hRule="atLeast"/>
        </w:trPr>
        <w:tc>
          <w:tcPr>
            <w:tcW w:w="971" w:type="dxa"/>
            <w:tcBorders>
              <w:right w:val="single" w:color="7F7F7F" w:sz="6" w:space="0"/>
            </w:tcBorders>
            <w:shd w:val="clear" w:color="auto" w:fill="auto"/>
            <w:vAlign w:val="center"/>
          </w:tcPr>
          <w:p>
            <w:pPr>
              <w:pStyle w:val="9"/>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9"/>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5"/>
        </w:numPr>
        <w:tabs>
          <w:tab w:val="left" w:pos="583"/>
        </w:tabs>
        <w:spacing w:before="0" w:after="0" w:line="240" w:lineRule="auto"/>
        <w:ind w:left="582" w:right="0" w:hanging="481"/>
        <w:jc w:val="left"/>
      </w:pPr>
      <w:r>
        <w:t>重点监控企业名单</w:t>
      </w:r>
    </w:p>
    <w:p>
      <w:pPr>
        <w:pStyle w:val="5"/>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9"/>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9"/>
              <w:spacing w:before="24"/>
              <w:ind w:left="1230" w:right="1220"/>
              <w:jc w:val="center"/>
              <w:rPr>
                <w:sz w:val="19"/>
              </w:rPr>
            </w:pPr>
            <w:r>
              <w:rPr>
                <w:color w:val="333333"/>
                <w:sz w:val="19"/>
              </w:rPr>
              <w:t>涉事企业</w:t>
            </w:r>
          </w:p>
        </w:tc>
      </w:tr>
      <w:tr>
        <w:trPr>
          <w:trHeight w:val="345" w:hRule="atLeast"/>
        </w:trPr>
        <w:tc>
          <w:tcPr>
            <w:tcW w:w="2084" w:type="dxa"/>
            <w:tcBorders>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9"/>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环保企业自行监测结果</w:t>
      </w:r>
    </w:p>
    <w:p>
      <w:pPr>
        <w:pStyle w:val="5"/>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9"/>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9"/>
              <w:spacing w:before="24"/>
              <w:ind w:left="405"/>
              <w:rPr>
                <w:sz w:val="19"/>
              </w:rPr>
            </w:pPr>
            <w:r>
              <w:rPr>
                <w:color w:val="333333"/>
                <w:sz w:val="19"/>
              </w:rPr>
              <w:t>监测时间</w:t>
            </w:r>
          </w:p>
        </w:tc>
      </w:tr>
      <w:tr>
        <w:trPr>
          <w:trHeight w:val="345" w:hRule="atLeast"/>
        </w:trPr>
        <w:tc>
          <w:tcPr>
            <w:tcW w:w="1126" w:type="dxa"/>
            <w:tcBorders>
              <w:right w:val="single" w:color="7F7F7F" w:sz="6" w:space="0"/>
            </w:tcBorders>
            <w:shd w:val="clear" w:color="auto" w:fill="auto"/>
            <w:vAlign w:val="center"/>
          </w:tcPr>
          <w:p>
            <w:pPr>
              <w:pStyle w:val="9"/>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9"/>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583"/>
        </w:tabs>
        <w:spacing w:before="0" w:after="0" w:line="240" w:lineRule="auto"/>
        <w:ind w:left="582" w:right="0" w:hanging="481"/>
        <w:jc w:val="left"/>
      </w:pPr>
      <w:r>
        <w:t>环评公示数据</w:t>
      </w:r>
    </w:p>
    <w:p>
      <w:pPr>
        <w:pStyle w:val="5"/>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9"/>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9"/>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9"/>
              <w:spacing w:before="24"/>
              <w:ind w:left="798"/>
              <w:rPr>
                <w:sz w:val="19"/>
              </w:rPr>
            </w:pPr>
            <w:r>
              <w:rPr>
                <w:rFonts w:hint="eastAsia"/>
                <w:color w:val="333333"/>
                <w:sz w:val="19"/>
                <w:lang w:val="en-US" w:eastAsia="zh-Hans"/>
              </w:rPr>
              <w:t>发生时间</w:t>
            </w:r>
          </w:p>
        </w:tc>
      </w:tr>
      <w:tr>
        <w:trPr>
          <w:trHeight w:val="345" w:hRule="atLeast"/>
        </w:trPr>
        <w:tc>
          <w:tcPr>
            <w:tcW w:w="1104"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0" w:after="0" w:line="605" w:lineRule="exact"/>
        <w:ind w:left="603" w:right="0" w:hanging="502"/>
        <w:jc w:val="left"/>
      </w:pPr>
      <w:r>
        <w:t>海关信息</w:t>
      </w:r>
    </w:p>
    <w:p>
      <w:pPr>
        <w:pStyle w:val="3"/>
        <w:numPr>
          <w:ilvl w:val="1"/>
          <w:numId w:val="15"/>
        </w:numPr>
        <w:tabs>
          <w:tab w:val="left" w:pos="743"/>
        </w:tabs>
        <w:spacing w:before="33" w:after="0" w:line="240" w:lineRule="auto"/>
        <w:ind w:left="742" w:right="0" w:hanging="641"/>
        <w:jc w:val="left"/>
      </w:pPr>
      <w:r>
        <w:t>海关基本信息</w:t>
      </w:r>
    </w:p>
    <w:p>
      <w:pPr>
        <w:pStyle w:val="5"/>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9"/>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9"/>
              <w:spacing w:before="24"/>
              <w:ind w:left="510"/>
              <w:rPr>
                <w:sz w:val="19"/>
              </w:rPr>
            </w:pPr>
            <w:r>
              <w:rPr>
                <w:color w:val="333333"/>
                <w:sz w:val="19"/>
              </w:rPr>
              <w:t>注册时间</w:t>
            </w:r>
          </w:p>
        </w:tc>
      </w:tr>
      <w:tr>
        <w:trPr>
          <w:trHeight w:val="345" w:hRule="atLeast"/>
        </w:trPr>
        <w:tc>
          <w:tcPr>
            <w:tcW w:w="1263" w:type="dxa"/>
            <w:tcBorders>
              <w:right w:val="single" w:color="7F7F7F" w:sz="6" w:space="0"/>
            </w:tcBorders>
            <w:shd w:val="clear" w:color="auto" w:fill="auto"/>
            <w:vAlign w:val="center"/>
          </w:tcPr>
          <w:p>
            <w:pPr>
              <w:pStyle w:val="9"/>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9"/>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海关许可</w:t>
      </w:r>
    </w:p>
    <w:p>
      <w:pPr>
        <w:pStyle w:val="5"/>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发布日期</w:t>
            </w:r>
          </w:p>
        </w:tc>
      </w:tr>
      <w:tr>
        <w:trPr>
          <w:trHeight w:val="345" w:hRule="atLeast"/>
        </w:trPr>
        <w:tc>
          <w:tcPr>
            <w:tcW w:w="1224" w:type="dxa"/>
            <w:tcBorders>
              <w:right w:val="single" w:color="7F7F7F" w:sz="6" w:space="0"/>
            </w:tcBorders>
            <w:shd w:val="clear" w:color="auto" w:fill="auto"/>
            <w:vAlign w:val="center"/>
          </w:tcPr>
          <w:p>
            <w:pPr>
              <w:pStyle w:val="9"/>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海关信用</w:t>
      </w:r>
    </w:p>
    <w:p>
      <w:pPr>
        <w:pStyle w:val="5"/>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9"/>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9"/>
              <w:spacing w:before="24"/>
              <w:ind w:left="798"/>
              <w:rPr>
                <w:sz w:val="19"/>
              </w:rPr>
            </w:pPr>
            <w:r>
              <w:rPr>
                <w:color w:val="333333"/>
                <w:sz w:val="19"/>
              </w:rPr>
              <w:t>认定年份</w:t>
            </w:r>
          </w:p>
        </w:tc>
      </w:tr>
      <w:tr>
        <w:trPr>
          <w:trHeight w:val="345" w:hRule="atLeast"/>
        </w:trPr>
        <w:tc>
          <w:tcPr>
            <w:tcW w:w="1206" w:type="dxa"/>
            <w:tcBorders>
              <w:right w:val="single" w:color="7F7F7F" w:sz="6" w:space="0"/>
            </w:tcBorders>
            <w:shd w:val="clear" w:color="auto" w:fill="auto"/>
            <w:vAlign w:val="center"/>
          </w:tcPr>
          <w:p>
            <w:pPr>
              <w:pStyle w:val="9"/>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9"/>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海关处罚</w:t>
      </w:r>
    </w:p>
    <w:p>
      <w:pPr>
        <w:pStyle w:val="5"/>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9"/>
              <w:spacing w:before="24"/>
              <w:ind w:left="588"/>
              <w:rPr>
                <w:sz w:val="19"/>
              </w:rPr>
            </w:pPr>
            <w:r>
              <w:rPr>
                <w:color w:val="333333"/>
                <w:sz w:val="19"/>
              </w:rPr>
              <w:t>处罚日期</w:t>
            </w:r>
          </w:p>
        </w:tc>
      </w:tr>
      <w:tr>
        <w:trPr>
          <w:trHeight w:val="345" w:hRule="atLeast"/>
        </w:trPr>
        <w:tc>
          <w:tcPr>
            <w:tcW w:w="1589" w:type="dxa"/>
            <w:tcBorders>
              <w:right w:val="single" w:color="7F7F7F" w:sz="6" w:space="0"/>
            </w:tcBorders>
            <w:shd w:val="clear" w:color="auto" w:fill="auto"/>
            <w:vAlign w:val="center"/>
          </w:tcPr>
          <w:p>
            <w:pPr>
              <w:pStyle w:val="9"/>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9"/>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4" w:after="0" w:line="240" w:lineRule="auto"/>
        <w:ind w:left="603" w:right="0" w:hanging="502"/>
        <w:jc w:val="left"/>
      </w:pPr>
      <w:r>
        <w:t>一行两会信息</w:t>
      </w:r>
    </w:p>
    <w:p>
      <w:pPr>
        <w:pStyle w:val="3"/>
        <w:numPr>
          <w:ilvl w:val="1"/>
          <w:numId w:val="15"/>
        </w:numPr>
        <w:tabs>
          <w:tab w:val="left" w:pos="743"/>
        </w:tabs>
        <w:spacing w:before="34" w:after="0" w:line="240" w:lineRule="auto"/>
        <w:ind w:left="742" w:right="0" w:hanging="641"/>
        <w:jc w:val="left"/>
      </w:pPr>
      <w:r>
        <w:rPr>
          <w:w w:val="95"/>
        </w:rPr>
        <w:t>央行行政处罚</w:t>
      </w:r>
    </w:p>
    <w:p>
      <w:pPr>
        <w:pStyle w:val="5"/>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rFonts w:hint="eastAsia"/>
          <w:w w:val="105"/>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9"/>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银保监会处罚公示</w:t>
      </w:r>
    </w:p>
    <w:p>
      <w:pPr>
        <w:pStyle w:val="5"/>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9"/>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9"/>
              <w:spacing w:before="24"/>
              <w:ind w:left="378"/>
              <w:rPr>
                <w:sz w:val="19"/>
              </w:rPr>
            </w:pPr>
            <w:r>
              <w:rPr>
                <w:color w:val="333333"/>
                <w:sz w:val="19"/>
              </w:rPr>
              <w:t>处罚时间</w:t>
            </w:r>
          </w:p>
        </w:tc>
      </w:tr>
      <w:tr>
        <w:trPr>
          <w:trHeight w:val="345" w:hRule="atLeast"/>
        </w:trPr>
        <w:tc>
          <w:tcPr>
            <w:tcW w:w="1046" w:type="dxa"/>
            <w:tcBorders>
              <w:right w:val="single" w:color="7F7F7F" w:sz="6" w:space="0"/>
            </w:tcBorders>
            <w:shd w:val="clear" w:color="auto" w:fill="auto"/>
            <w:vAlign w:val="center"/>
          </w:tcPr>
          <w:p>
            <w:pPr>
              <w:pStyle w:val="9"/>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9"/>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证监处罚公示</w:t>
      </w:r>
    </w:p>
    <w:p>
      <w:pPr>
        <w:pStyle w:val="5"/>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处罚时间</w:t>
            </w:r>
          </w:p>
        </w:tc>
      </w:tr>
      <w:tr>
        <w:trPr>
          <w:trHeight w:val="345" w:hRule="atLeast"/>
        </w:trPr>
        <w:tc>
          <w:tcPr>
            <w:tcW w:w="896" w:type="dxa"/>
            <w:tcBorders>
              <w:right w:val="single" w:color="7F7F7F" w:sz="6" w:space="0"/>
            </w:tcBorders>
            <w:shd w:val="clear" w:color="auto" w:fill="auto"/>
            <w:vAlign w:val="center"/>
          </w:tcPr>
          <w:p>
            <w:pPr>
              <w:pStyle w:val="9"/>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证监会许可信息</w:t>
      </w:r>
    </w:p>
    <w:p>
      <w:pPr>
        <w:pStyle w:val="5"/>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9"/>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9"/>
              <w:spacing w:before="24"/>
              <w:ind w:left="582"/>
              <w:rPr>
                <w:sz w:val="19"/>
              </w:rPr>
            </w:pPr>
            <w:r>
              <w:rPr>
                <w:color w:val="333333"/>
                <w:sz w:val="19"/>
              </w:rPr>
              <w:t>许可时间</w:t>
            </w:r>
          </w:p>
        </w:tc>
      </w:tr>
      <w:tr>
        <w:trPr>
          <w:trHeight w:val="345" w:hRule="atLeast"/>
        </w:trPr>
        <w:tc>
          <w:tcPr>
            <w:tcW w:w="956" w:type="dxa"/>
            <w:tcBorders>
              <w:right w:val="single" w:color="7F7F7F" w:sz="6" w:space="0"/>
            </w:tcBorders>
            <w:shd w:val="clear" w:color="auto" w:fill="auto"/>
            <w:vAlign w:val="center"/>
          </w:tcPr>
          <w:p>
            <w:pPr>
              <w:pStyle w:val="9"/>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9"/>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外汇局处罚</w:t>
      </w:r>
    </w:p>
    <w:p>
      <w:pPr>
        <w:pStyle w:val="5"/>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ind w:left="102"/>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9"/>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9"/>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9"/>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9"/>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9"/>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9"/>
              <w:spacing w:before="24"/>
              <w:rPr>
                <w:rFonts w:hint="eastAsia"/>
                <w:color w:val="333333"/>
                <w:sz w:val="19"/>
                <w:lang w:eastAsia="zh-Hans"/>
              </w:rPr>
            </w:pPr>
            <w:r>
              <w:rPr>
                <w:rFonts w:hint="default"/>
                <w:color w:val="333333"/>
                <w:sz w:val="19"/>
                <w:lang w:eastAsia="zh-Hans"/>
              </w:rPr>
              <w:t>${whjcf_sortTimeString}</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rPr>
          <w:sz w:val="17"/>
        </w:rPr>
      </w:pPr>
    </w:p>
    <w:p>
      <w:pPr>
        <w:pStyle w:val="3"/>
        <w:numPr>
          <w:ilvl w:val="1"/>
          <w:numId w:val="15"/>
        </w:numPr>
        <w:tabs>
          <w:tab w:val="left" w:pos="743"/>
        </w:tabs>
        <w:spacing w:before="0" w:after="0" w:line="240" w:lineRule="auto"/>
        <w:ind w:left="742" w:right="0" w:hanging="641"/>
        <w:jc w:val="left"/>
      </w:pPr>
      <w:r>
        <w:t>外汇局许可</w:t>
      </w:r>
    </w:p>
    <w:p>
      <w:pPr>
        <w:pStyle w:val="5"/>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EEEEEE"/>
            <w:vAlign w:val="center"/>
          </w:tcPr>
          <w:p>
            <w:pPr>
              <w:pStyle w:val="9"/>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9"/>
              <w:spacing w:before="24"/>
              <w:ind w:left="354"/>
              <w:rPr>
                <w:sz w:val="19"/>
              </w:rPr>
            </w:pPr>
            <w:r>
              <w:rPr>
                <w:color w:val="333333"/>
                <w:sz w:val="19"/>
              </w:rPr>
              <w:t>许可时间</w:t>
            </w:r>
          </w:p>
        </w:tc>
      </w:tr>
      <w:tr>
        <w:trPr>
          <w:trHeight w:val="345" w:hRule="atLeast"/>
        </w:trPr>
        <w:tc>
          <w:tcPr>
            <w:tcW w:w="963" w:type="dxa"/>
            <w:tcBorders>
              <w:right w:val="single" w:color="7F7F7F" w:sz="6" w:space="0"/>
            </w:tcBorders>
            <w:shd w:val="clear" w:color="auto" w:fill="auto"/>
            <w:vAlign w:val="center"/>
          </w:tcPr>
          <w:p>
            <w:pPr>
              <w:pStyle w:val="9"/>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9"/>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left="101" w:leftChars="0" w:right="0" w:rightChars="0"/>
        <w:jc w:val="left"/>
        <w:rPr>
          <w:sz w:val="36"/>
        </w:rPr>
      </w:pPr>
    </w:p>
    <w:p>
      <w:pPr>
        <w:pStyle w:val="2"/>
        <w:numPr>
          <w:ilvl w:val="0"/>
          <w:numId w:val="15"/>
        </w:numPr>
        <w:tabs>
          <w:tab w:val="left" w:pos="604"/>
        </w:tabs>
        <w:spacing w:before="204" w:after="0" w:line="240" w:lineRule="auto"/>
        <w:ind w:left="603" w:right="0" w:hanging="502"/>
        <w:jc w:val="left"/>
      </w:pPr>
      <w:r>
        <w:t>司法涉诉与抵质押信息</w:t>
      </w:r>
    </w:p>
    <w:p>
      <w:pPr>
        <w:pStyle w:val="3"/>
        <w:numPr>
          <w:ilvl w:val="1"/>
          <w:numId w:val="15"/>
        </w:numPr>
        <w:tabs>
          <w:tab w:val="left" w:pos="743"/>
        </w:tabs>
        <w:spacing w:before="34" w:after="0" w:line="240" w:lineRule="auto"/>
        <w:ind w:left="742" w:right="0" w:hanging="641"/>
        <w:jc w:val="left"/>
      </w:pPr>
      <w:r>
        <w:t>法院公告</w:t>
      </w:r>
    </w:p>
    <w:p>
      <w:pPr>
        <w:pStyle w:val="5"/>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9"/>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${fygg_content}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开庭公告</w:t>
      </w:r>
    </w:p>
    <w:p>
      <w:pPr>
        <w:pStyle w:val="5"/>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06" w:type="dxa"/>
            <w:tcBorders>
              <w:right w:val="single" w:color="7F7F7F" w:sz="6" w:space="0"/>
            </w:tcBorders>
            <w:shd w:val="clear" w:color="auto" w:fill="auto"/>
            <w:vAlign w:val="center"/>
          </w:tcPr>
          <w:p>
            <w:pPr>
              <w:pStyle w:val="9"/>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9"/>
              <w:spacing w:before="24"/>
              <w:rPr>
                <w:color w:val="333333"/>
                <w:sz w:val="19"/>
              </w:rPr>
            </w:pPr>
            <w:r>
              <w:rPr>
                <w:color w:val="333333"/>
                <w:sz w:val="19"/>
              </w:rPr>
              <w:t>${ktgg_content}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rPr>
          <w:rFonts w:hint="eastAsia"/>
          <w:lang w:val="en-US" w:eastAsia="zh-Hans"/>
        </w:rPr>
        <w:t>裁判</w:t>
      </w:r>
      <w:r>
        <w:t>文书</w:t>
      </w:r>
    </w:p>
    <w:p>
      <w:pPr>
        <w:pStyle w:val="5"/>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9"/>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9"/>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${cpws_content}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240" w:lineRule="auto"/>
        <w:ind w:left="742" w:right="0" w:hanging="641"/>
        <w:jc w:val="left"/>
      </w:pPr>
      <w:r>
        <w:t>执行公告</w:t>
      </w:r>
    </w:p>
    <w:p>
      <w:pPr>
        <w:pStyle w:val="5"/>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rPr>
          <w:sz w:val="8"/>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9"/>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9"/>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9"/>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9"/>
              <w:spacing w:before="24"/>
              <w:rPr>
                <w:color w:val="333333"/>
                <w:sz w:val="19"/>
              </w:rPr>
            </w:pPr>
            <w:r>
              <w:rPr>
                <w:color w:val="333333"/>
                <w:sz w:val="19"/>
              </w:rPr>
              <w:t>${zxgg_content}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失信公告</w:t>
      </w:r>
    </w:p>
    <w:p>
      <w:pPr>
        <w:pStyle w:val="5"/>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rPr>
          <w:trHeight w:val="345" w:hRule="atLeast"/>
        </w:trPr>
        <w:tc>
          <w:tcPr>
            <w:tcW w:w="824" w:type="dxa"/>
            <w:tcBorders>
              <w:right w:val="single" w:color="7F7F7F" w:sz="6" w:space="0"/>
            </w:tcBorders>
            <w:shd w:val="clear" w:color="auto" w:fill="EEEEEE"/>
            <w:vAlign w:val="center"/>
          </w:tcPr>
          <w:p>
            <w:pPr>
              <w:pStyle w:val="9"/>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9"/>
              <w:spacing w:before="24"/>
              <w:ind w:left="210"/>
              <w:rPr>
                <w:sz w:val="19"/>
              </w:rPr>
            </w:pPr>
            <w:r>
              <w:rPr>
                <w:color w:val="333333"/>
                <w:sz w:val="19"/>
              </w:rPr>
              <w:t>当事人</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9"/>
              <w:spacing w:before="24"/>
              <w:rPr>
                <w:color w:val="333333"/>
                <w:sz w:val="19"/>
              </w:rPr>
            </w:pPr>
            <w:r>
              <w:rPr>
                <w:color w:val="333333"/>
                <w:sz w:val="19"/>
              </w:rPr>
              <w:t>${sx_content}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被执行人信息</w:t>
      </w:r>
    </w:p>
    <w:p>
      <w:pPr>
        <w:pStyle w:val="5"/>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rPr>
          <w:trHeight w:val="345" w:hRule="atLeast"/>
        </w:trPr>
        <w:tc>
          <w:tcPr>
            <w:tcW w:w="813" w:type="dxa"/>
            <w:tcBorders>
              <w:right w:val="single" w:color="7F7F7F" w:sz="6" w:space="0"/>
            </w:tcBorders>
            <w:shd w:val="clear" w:color="auto" w:fill="EEEEEE"/>
            <w:vAlign w:val="center"/>
          </w:tcPr>
          <w:p>
            <w:pPr>
              <w:pStyle w:val="9"/>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9"/>
              <w:spacing w:before="24"/>
              <w:ind w:left="432"/>
              <w:rPr>
                <w:sz w:val="19"/>
              </w:rPr>
            </w:pPr>
            <w:r>
              <w:rPr>
                <w:color w:val="333333"/>
                <w:sz w:val="19"/>
              </w:rPr>
              <w:t>案件状态</w:t>
            </w:r>
          </w:p>
        </w:tc>
      </w:tr>
      <w:tr>
        <w:trPr>
          <w:trHeight w:val="345" w:hRule="atLeast"/>
        </w:trPr>
        <w:tc>
          <w:tcPr>
            <w:tcW w:w="813" w:type="dxa"/>
            <w:tcBorders>
              <w:right w:val="single" w:color="7F7F7F" w:sz="6" w:space="0"/>
            </w:tcBorders>
            <w:shd w:val="clear" w:color="auto" w:fill="auto"/>
            <w:vAlign w:val="center"/>
          </w:tcPr>
          <w:p>
            <w:pPr>
              <w:pStyle w:val="9"/>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9"/>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查封冻结扣押</w:t>
      </w:r>
    </w:p>
    <w:p>
      <w:pPr>
        <w:pStyle w:val="5"/>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9"/>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9"/>
              <w:spacing w:before="24"/>
              <w:ind w:left="180"/>
              <w:rPr>
                <w:sz w:val="19"/>
              </w:rPr>
            </w:pPr>
            <w:r>
              <w:rPr>
                <w:color w:val="333333"/>
                <w:sz w:val="19"/>
              </w:rPr>
              <w:t>涉及金额</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9"/>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3"/>
        <w:rPr>
          <w:sz w:val="17"/>
        </w:rPr>
      </w:pPr>
    </w:p>
    <w:p>
      <w:pPr>
        <w:pStyle w:val="3"/>
        <w:numPr>
          <w:ilvl w:val="1"/>
          <w:numId w:val="15"/>
        </w:numPr>
        <w:tabs>
          <w:tab w:val="left" w:pos="743"/>
        </w:tabs>
        <w:spacing w:before="0" w:after="0" w:line="492" w:lineRule="exact"/>
        <w:ind w:left="742" w:right="0" w:hanging="641"/>
        <w:jc w:val="left"/>
        <w:rPr>
          <w:sz w:val="21"/>
        </w:rPr>
      </w:pPr>
      <w:r>
        <w:t>抵质押信息</w:t>
      </w:r>
    </w:p>
    <w:p>
      <w:pPr>
        <w:pStyle w:val="5"/>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rFonts w:hint="eastAsia"/>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rPr>
          <w:trHeight w:val="320" w:hRule="atLeast"/>
        </w:trPr>
        <w:tc>
          <w:tcPr>
            <w:tcW w:w="826"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9"/>
              <w:spacing w:before="24"/>
              <w:ind w:left="204"/>
              <w:rPr>
                <w:sz w:val="19"/>
              </w:rPr>
            </w:pPr>
            <w:r>
              <w:rPr>
                <w:color w:val="333333"/>
                <w:sz w:val="19"/>
              </w:rPr>
              <w:t>状态</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9"/>
              <w:spacing w:before="24"/>
              <w:rPr>
                <w:color w:val="333333"/>
                <w:sz w:val="19"/>
              </w:rPr>
            </w:pPr>
            <w:r>
              <w:rPr>
                <w:color w:val="333333"/>
                <w:sz w:val="19"/>
              </w:rPr>
              <w:t>${dcdy_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rFonts w:hint="eastAsia"/>
          <w:spacing w:val="-13"/>
          <w:w w:val="105"/>
          <w:lang w:val="en-US" w:eastAsia="zh-Hans"/>
        </w:rPr>
      </w:pPr>
    </w:p>
    <w:p>
      <w:pPr>
        <w:pStyle w:val="5"/>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rFonts w:hint="eastAsia"/>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rPr>
          <w:trHeight w:val="345" w:hRule="atLeast"/>
        </w:trPr>
        <w:tc>
          <w:tcPr>
            <w:tcW w:w="824" w:type="dxa"/>
            <w:tcBorders>
              <w:right w:val="single" w:color="7F7F7F" w:sz="6" w:space="0"/>
            </w:tcBorders>
            <w:shd w:val="clear" w:color="auto" w:fill="EEEEEE"/>
            <w:vAlign w:val="center"/>
          </w:tcPr>
          <w:p>
            <w:pPr>
              <w:pStyle w:val="9"/>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9"/>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9"/>
              <w:spacing w:before="24"/>
              <w:ind w:left="269"/>
              <w:rPr>
                <w:color w:val="333333"/>
                <w:sz w:val="19"/>
              </w:rPr>
            </w:pPr>
            <w:r>
              <w:rPr>
                <w:color w:val="333333"/>
                <w:sz w:val="19"/>
              </w:rPr>
              <w:t>股权出质设立</w:t>
            </w:r>
          </w:p>
          <w:p>
            <w:pPr>
              <w:pStyle w:val="9"/>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9"/>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9"/>
              <w:spacing w:before="24"/>
              <w:ind w:left="174"/>
              <w:rPr>
                <w:sz w:val="19"/>
              </w:rPr>
            </w:pPr>
            <w:r>
              <w:rPr>
                <w:color w:val="333333"/>
                <w:sz w:val="19"/>
              </w:rPr>
              <w:t>状态</w:t>
            </w:r>
          </w:p>
        </w:tc>
      </w:tr>
      <w:tr>
        <w:trPr>
          <w:trHeight w:val="345" w:hRule="atLeast"/>
        </w:trPr>
        <w:tc>
          <w:tcPr>
            <w:tcW w:w="824" w:type="dxa"/>
            <w:tcBorders>
              <w:right w:val="single" w:color="7F7F7F" w:sz="6" w:space="0"/>
            </w:tcBorders>
            <w:shd w:val="clear" w:color="auto" w:fill="auto"/>
            <w:vAlign w:val="center"/>
          </w:tcPr>
          <w:p>
            <w:pPr>
              <w:pStyle w:val="9"/>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9"/>
              <w:spacing w:before="24"/>
              <w:rPr>
                <w:color w:val="333333"/>
                <w:sz w:val="19"/>
              </w:rPr>
            </w:pPr>
            <w:r>
              <w:rPr>
                <w:color w:val="333333"/>
                <w:sz w:val="19"/>
              </w:rPr>
              <w:t>${gqcz_</w:t>
            </w:r>
            <w:r>
              <w:rPr>
                <w:rFonts w:hint="eastAsia"/>
                <w:color w:val="333333"/>
                <w:sz w:val="19"/>
              </w:rPr>
              <w:t>ZT</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8"/>
        <w:rPr>
          <w:sz w:val="6"/>
        </w:rPr>
      </w:pPr>
    </w:p>
    <w:p>
      <w:pPr>
        <w:pStyle w:val="5"/>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8"/>
        <w:rPr>
          <w:sz w:val="6"/>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9"/>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9"/>
              <w:spacing w:before="24"/>
              <w:ind w:left="240"/>
              <w:rPr>
                <w:sz w:val="19"/>
              </w:rPr>
            </w:pPr>
            <w:r>
              <w:rPr>
                <w:color w:val="333333"/>
                <w:sz w:val="19"/>
              </w:rPr>
              <w:t>担保期止</w:t>
            </w:r>
          </w:p>
        </w:tc>
      </w:tr>
      <w:tr>
        <w:trPr>
          <w:trHeight w:val="345" w:hRule="atLeast"/>
        </w:trPr>
        <w:tc>
          <w:tcPr>
            <w:tcW w:w="846" w:type="dxa"/>
            <w:tcBorders>
              <w:right w:val="single" w:color="7F7F7F" w:sz="6" w:space="0"/>
            </w:tcBorders>
            <w:shd w:val="clear" w:color="auto" w:fill="auto"/>
            <w:vAlign w:val="center"/>
          </w:tcPr>
          <w:p>
            <w:pPr>
              <w:pStyle w:val="9"/>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9"/>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7"/>
        <w:rPr>
          <w:sz w:val="6"/>
        </w:rPr>
      </w:pPr>
    </w:p>
    <w:p>
      <w:pPr>
        <w:pStyle w:val="5"/>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7"/>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rPr>
          <w:trHeight w:val="345" w:hRule="atLeast"/>
        </w:trPr>
        <w:tc>
          <w:tcPr>
            <w:tcW w:w="826" w:type="dxa"/>
            <w:tcBorders>
              <w:right w:val="single" w:color="7F7F7F" w:sz="6" w:space="0"/>
            </w:tcBorders>
            <w:shd w:val="clear" w:color="auto" w:fill="EEEEEE"/>
            <w:vAlign w:val="center"/>
          </w:tcPr>
          <w:p>
            <w:pPr>
              <w:pStyle w:val="9"/>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9"/>
              <w:spacing w:before="24"/>
              <w:ind w:left="330"/>
              <w:rPr>
                <w:sz w:val="19"/>
              </w:rPr>
            </w:pPr>
            <w:r>
              <w:rPr>
                <w:color w:val="333333"/>
                <w:sz w:val="19"/>
              </w:rPr>
              <w:t>行政区地址</w:t>
            </w:r>
          </w:p>
        </w:tc>
      </w:tr>
      <w:tr>
        <w:trPr>
          <w:trHeight w:val="345" w:hRule="atLeast"/>
        </w:trPr>
        <w:tc>
          <w:tcPr>
            <w:tcW w:w="826" w:type="dxa"/>
            <w:tcBorders>
              <w:right w:val="single" w:color="7F7F7F" w:sz="6" w:space="0"/>
            </w:tcBorders>
            <w:shd w:val="clear" w:color="auto" w:fill="auto"/>
            <w:vAlign w:val="center"/>
          </w:tcPr>
          <w:p>
            <w:pPr>
              <w:pStyle w:val="9"/>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9"/>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2"/>
        <w:numPr>
          <w:ilvl w:val="0"/>
          <w:numId w:val="15"/>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5"/>
        </w:numPr>
        <w:tabs>
          <w:tab w:val="left" w:pos="743"/>
        </w:tabs>
        <w:spacing w:before="34" w:after="0" w:line="240" w:lineRule="auto"/>
        <w:ind w:left="742" w:right="0" w:hanging="641"/>
        <w:jc w:val="left"/>
      </w:pPr>
      <w:r>
        <w:t>应收账款</w:t>
      </w:r>
    </w:p>
    <w:p>
      <w:pPr>
        <w:pStyle w:val="5"/>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rPr>
          <w:trHeight w:val="345" w:hRule="atLeast"/>
        </w:trPr>
        <w:tc>
          <w:tcPr>
            <w:tcW w:w="837" w:type="dxa"/>
            <w:tcBorders>
              <w:right w:val="single" w:color="7F7F7F" w:sz="6" w:space="0"/>
            </w:tcBorders>
            <w:shd w:val="clear" w:color="auto" w:fill="EEEEEE"/>
            <w:vAlign w:val="center"/>
          </w:tcPr>
          <w:p>
            <w:pPr>
              <w:pStyle w:val="9"/>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9"/>
              <w:spacing w:before="24"/>
              <w:ind w:left="351"/>
              <w:rPr>
                <w:sz w:val="19"/>
              </w:rPr>
            </w:pPr>
            <w:r>
              <w:rPr>
                <w:color w:val="333333"/>
                <w:sz w:val="19"/>
              </w:rPr>
              <w:t>转让财产价值</w:t>
            </w:r>
          </w:p>
        </w:tc>
      </w:tr>
      <w:tr>
        <w:trPr>
          <w:trHeight w:val="345" w:hRule="atLeast"/>
        </w:trPr>
        <w:tc>
          <w:tcPr>
            <w:tcW w:w="837" w:type="dxa"/>
            <w:tcBorders>
              <w:right w:val="single" w:color="7F7F7F" w:sz="6" w:space="0"/>
            </w:tcBorders>
            <w:shd w:val="clear" w:color="auto" w:fill="auto"/>
            <w:vAlign w:val="center"/>
          </w:tcPr>
          <w:p>
            <w:pPr>
              <w:pStyle w:val="9"/>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9"/>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所有权保留</w:t>
      </w:r>
    </w:p>
    <w:p>
      <w:pPr>
        <w:pStyle w:val="5"/>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9"/>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9"/>
              <w:spacing w:before="24"/>
              <w:ind w:left="270"/>
              <w:rPr>
                <w:sz w:val="19"/>
              </w:rPr>
            </w:pPr>
            <w:r>
              <w:rPr>
                <w:color w:val="333333"/>
                <w:sz w:val="19"/>
              </w:rPr>
              <w:t>登记日期</w:t>
            </w:r>
          </w:p>
        </w:tc>
      </w:tr>
      <w:tr>
        <w:trPr>
          <w:trHeight w:val="345" w:hRule="atLeast"/>
        </w:trPr>
        <w:tc>
          <w:tcPr>
            <w:tcW w:w="849" w:type="dxa"/>
            <w:tcBorders>
              <w:right w:val="single" w:color="7F7F7F" w:sz="6" w:space="0"/>
            </w:tcBorders>
            <w:shd w:val="clear" w:color="auto" w:fill="auto"/>
            <w:vAlign w:val="center"/>
          </w:tcPr>
          <w:p>
            <w:pPr>
              <w:pStyle w:val="9"/>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9"/>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2"/>
        <w:numPr>
          <w:ilvl w:val="0"/>
          <w:numId w:val="15"/>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5"/>
        </w:numPr>
        <w:tabs>
          <w:tab w:val="left" w:pos="743"/>
        </w:tabs>
        <w:spacing w:before="0" w:after="0" w:line="240" w:lineRule="auto"/>
        <w:ind w:left="742" w:right="0" w:hanging="641"/>
        <w:jc w:val="left"/>
      </w:pPr>
      <w:r>
        <w:t>租赁登记</w:t>
      </w:r>
    </w:p>
    <w:p>
      <w:pPr>
        <w:pStyle w:val="5"/>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9"/>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9"/>
              <w:spacing w:before="24"/>
              <w:ind w:left="444"/>
              <w:rPr>
                <w:sz w:val="19"/>
              </w:rPr>
            </w:pPr>
            <w:r>
              <w:rPr>
                <w:color w:val="333333"/>
                <w:sz w:val="19"/>
              </w:rPr>
              <w:t>登记日期</w:t>
            </w:r>
          </w:p>
        </w:tc>
      </w:tr>
      <w:tr>
        <w:trPr>
          <w:trHeight w:val="345" w:hRule="atLeast"/>
        </w:trPr>
        <w:tc>
          <w:tcPr>
            <w:tcW w:w="850" w:type="dxa"/>
            <w:tcBorders>
              <w:right w:val="single" w:color="7F7F7F" w:sz="6" w:space="0"/>
            </w:tcBorders>
            <w:shd w:val="clear" w:color="auto" w:fill="auto"/>
            <w:vAlign w:val="center"/>
          </w:tcPr>
          <w:p>
            <w:pPr>
              <w:pStyle w:val="9"/>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9"/>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保证金质押登记</w:t>
      </w:r>
    </w:p>
    <w:p>
      <w:pPr>
        <w:pStyle w:val="5"/>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sz w:val="7"/>
        </w:rPr>
      </w:pPr>
    </w:p>
    <w:tbl>
      <w:tblPr>
        <w:tblStyle w:val="7"/>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9"/>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9"/>
              <w:spacing w:before="24"/>
              <w:ind w:left="216"/>
              <w:rPr>
                <w:sz w:val="19"/>
              </w:rPr>
            </w:pPr>
            <w:r>
              <w:rPr>
                <w:color w:val="333333"/>
                <w:sz w:val="19"/>
              </w:rPr>
              <w:t>登记日期</w:t>
            </w:r>
          </w:p>
        </w:tc>
      </w:tr>
      <w:tr>
        <w:trPr>
          <w:trHeight w:val="345" w:hRule="atLeast"/>
        </w:trPr>
        <w:tc>
          <w:tcPr>
            <w:tcW w:w="838" w:type="dxa"/>
            <w:tcBorders>
              <w:right w:val="single" w:color="7F7F7F" w:sz="6" w:space="0"/>
            </w:tcBorders>
            <w:shd w:val="clear" w:color="auto" w:fill="auto"/>
            <w:vAlign w:val="center"/>
          </w:tcPr>
          <w:p>
            <w:pPr>
              <w:pStyle w:val="9"/>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9"/>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仓单质押</w:t>
      </w:r>
    </w:p>
    <w:p>
      <w:pPr>
        <w:pStyle w:val="5"/>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9"/>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9"/>
              <w:spacing w:before="24"/>
              <w:ind w:left="258"/>
              <w:rPr>
                <w:sz w:val="19"/>
              </w:rPr>
            </w:pPr>
            <w:r>
              <w:rPr>
                <w:color w:val="333333"/>
                <w:sz w:val="19"/>
              </w:rPr>
              <w:t>登记日期</w:t>
            </w:r>
          </w:p>
        </w:tc>
      </w:tr>
      <w:tr>
        <w:trPr>
          <w:trHeight w:val="345" w:hRule="atLeast"/>
        </w:trPr>
        <w:tc>
          <w:tcPr>
            <w:tcW w:w="815" w:type="dxa"/>
            <w:tcBorders>
              <w:right w:val="single" w:color="7F7F7F" w:sz="6" w:space="0"/>
            </w:tcBorders>
            <w:shd w:val="clear" w:color="auto" w:fill="auto"/>
            <w:vAlign w:val="center"/>
          </w:tcPr>
          <w:p>
            <w:pPr>
              <w:pStyle w:val="9"/>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9"/>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5"/>
        <w:spacing w:before="10"/>
        <w:rPr>
          <w:sz w:val="17"/>
        </w:rPr>
      </w:pPr>
    </w:p>
    <w:p>
      <w:pPr>
        <w:pStyle w:val="3"/>
        <w:numPr>
          <w:ilvl w:val="1"/>
          <w:numId w:val="15"/>
        </w:numPr>
        <w:tabs>
          <w:tab w:val="left" w:pos="743"/>
        </w:tabs>
        <w:spacing w:before="0" w:after="0" w:line="240" w:lineRule="auto"/>
        <w:ind w:left="742" w:right="0" w:hanging="641"/>
        <w:jc w:val="left"/>
      </w:pPr>
      <w:r>
        <w:t>其他动产融资</w:t>
      </w:r>
    </w:p>
    <w:p>
      <w:pPr>
        <w:pStyle w:val="5"/>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5"/>
        <w:spacing w:before="12"/>
        <w:rPr>
          <w:w w:val="105"/>
        </w:rPr>
      </w:pPr>
    </w:p>
    <w:tbl>
      <w:tblPr>
        <w:tblStyle w:val="7"/>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9"/>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9"/>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9"/>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9"/>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10"/>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10"/>
        <w:numPr>
          <w:ilvl w:val="0"/>
          <w:numId w:val="0"/>
        </w:numPr>
        <w:tabs>
          <w:tab w:val="left" w:pos="404"/>
        </w:tabs>
        <w:spacing w:before="204" w:after="0" w:line="240" w:lineRule="auto"/>
        <w:ind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left="101" w:leftChars="0" w:right="0" w:rightChars="0"/>
        <w:jc w:val="left"/>
        <w:rPr>
          <w:sz w:val="36"/>
        </w:rPr>
      </w:pPr>
    </w:p>
    <w:p>
      <w:pPr>
        <w:pStyle w:val="10"/>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1">
    <w:nsid w:val="606FB1EA"/>
    <w:multiLevelType w:val="singleLevel"/>
    <w:tmpl w:val="606FB1EA"/>
    <w:lvl w:ilvl="0" w:tentative="0">
      <w:start w:val="1"/>
      <w:numFmt w:val="decimal"/>
      <w:suff w:val="nothing"/>
      <w:lvlText w:val="%1."/>
      <w:lvlJc w:val="left"/>
    </w:lvl>
  </w:abstractNum>
  <w:abstractNum w:abstractNumId="2">
    <w:nsid w:val="606FB216"/>
    <w:multiLevelType w:val="singleLevel"/>
    <w:tmpl w:val="606FB216"/>
    <w:lvl w:ilvl="0" w:tentative="0">
      <w:start w:val="1"/>
      <w:numFmt w:val="decimal"/>
      <w:suff w:val="nothing"/>
      <w:lvlText w:val="%1."/>
      <w:lvlJc w:val="left"/>
    </w:lvl>
  </w:abstractNum>
  <w:abstractNum w:abstractNumId="3">
    <w:nsid w:val="606FB22D"/>
    <w:multiLevelType w:val="singleLevel"/>
    <w:tmpl w:val="606FB22D"/>
    <w:lvl w:ilvl="0" w:tentative="0">
      <w:start w:val="1"/>
      <w:numFmt w:val="decimal"/>
      <w:suff w:val="nothing"/>
      <w:lvlText w:val="%1."/>
      <w:lvlJc w:val="left"/>
    </w:lvl>
  </w:abstractNum>
  <w:abstractNum w:abstractNumId="4">
    <w:nsid w:val="606FB2C4"/>
    <w:multiLevelType w:val="singleLevel"/>
    <w:tmpl w:val="606FB2C4"/>
    <w:lvl w:ilvl="0" w:tentative="0">
      <w:start w:val="1"/>
      <w:numFmt w:val="decimal"/>
      <w:suff w:val="nothing"/>
      <w:lvlText w:val="%1."/>
      <w:lvlJc w:val="left"/>
    </w:lvl>
  </w:abstractNum>
  <w:abstractNum w:abstractNumId="5">
    <w:nsid w:val="606FB2E0"/>
    <w:multiLevelType w:val="singleLevel"/>
    <w:tmpl w:val="606FB2E0"/>
    <w:lvl w:ilvl="0" w:tentative="0">
      <w:start w:val="1"/>
      <w:numFmt w:val="decimal"/>
      <w:suff w:val="nothing"/>
      <w:lvlText w:val="%1."/>
      <w:lvlJc w:val="left"/>
    </w:lvl>
  </w:abstractNum>
  <w:abstractNum w:abstractNumId="6">
    <w:nsid w:val="606FB303"/>
    <w:multiLevelType w:val="singleLevel"/>
    <w:tmpl w:val="606FB303"/>
    <w:lvl w:ilvl="0" w:tentative="0">
      <w:start w:val="1"/>
      <w:numFmt w:val="decimal"/>
      <w:suff w:val="nothing"/>
      <w:lvlText w:val="%1."/>
      <w:lvlJc w:val="left"/>
    </w:lvl>
  </w:abstractNum>
  <w:abstractNum w:abstractNumId="7">
    <w:nsid w:val="606FB321"/>
    <w:multiLevelType w:val="singleLevel"/>
    <w:tmpl w:val="606FB321"/>
    <w:lvl w:ilvl="0" w:tentative="0">
      <w:start w:val="1"/>
      <w:numFmt w:val="decimal"/>
      <w:suff w:val="nothing"/>
      <w:lvlText w:val="%1."/>
      <w:lvlJc w:val="left"/>
    </w:lvl>
  </w:abstractNum>
  <w:abstractNum w:abstractNumId="8">
    <w:nsid w:val="606FB353"/>
    <w:multiLevelType w:val="singleLevel"/>
    <w:tmpl w:val="606FB353"/>
    <w:lvl w:ilvl="0" w:tentative="0">
      <w:start w:val="1"/>
      <w:numFmt w:val="decimal"/>
      <w:suff w:val="nothing"/>
      <w:lvlText w:val="%1."/>
      <w:lvlJc w:val="left"/>
    </w:lvl>
  </w:abstractNum>
  <w:abstractNum w:abstractNumId="9">
    <w:nsid w:val="606FB369"/>
    <w:multiLevelType w:val="singleLevel"/>
    <w:tmpl w:val="606FB369"/>
    <w:lvl w:ilvl="0" w:tentative="0">
      <w:start w:val="1"/>
      <w:numFmt w:val="decimal"/>
      <w:suff w:val="nothing"/>
      <w:lvlText w:val="%1."/>
      <w:lvlJc w:val="left"/>
    </w:lvl>
  </w:abstractNum>
  <w:abstractNum w:abstractNumId="10">
    <w:nsid w:val="606FB383"/>
    <w:multiLevelType w:val="singleLevel"/>
    <w:tmpl w:val="606FB383"/>
    <w:lvl w:ilvl="0" w:tentative="0">
      <w:start w:val="1"/>
      <w:numFmt w:val="decimal"/>
      <w:suff w:val="nothing"/>
      <w:lvlText w:val="%1."/>
      <w:lvlJc w:val="left"/>
    </w:lvl>
  </w:abstractNum>
  <w:abstractNum w:abstractNumId="11">
    <w:nsid w:val="606FB39C"/>
    <w:multiLevelType w:val="singleLevel"/>
    <w:tmpl w:val="606FB39C"/>
    <w:lvl w:ilvl="0" w:tentative="0">
      <w:start w:val="1"/>
      <w:numFmt w:val="decimal"/>
      <w:suff w:val="nothing"/>
      <w:lvlText w:val="%1."/>
      <w:lvlJc w:val="left"/>
    </w:lvl>
  </w:abstractNum>
  <w:abstractNum w:abstractNumId="12">
    <w:nsid w:val="606FB3B1"/>
    <w:multiLevelType w:val="singleLevel"/>
    <w:tmpl w:val="606FB3B1"/>
    <w:lvl w:ilvl="0" w:tentative="0">
      <w:start w:val="1"/>
      <w:numFmt w:val="decimal"/>
      <w:suff w:val="nothing"/>
      <w:lvlText w:val="%1."/>
      <w:lvlJc w:val="left"/>
    </w:lvl>
  </w:abstractNum>
  <w:abstractNum w:abstractNumId="13">
    <w:nsid w:val="606FB3C9"/>
    <w:multiLevelType w:val="singleLevel"/>
    <w:tmpl w:val="606FB3C9"/>
    <w:lvl w:ilvl="0" w:tentative="0">
      <w:start w:val="1"/>
      <w:numFmt w:val="decimal"/>
      <w:suff w:val="nothing"/>
      <w:lvlText w:val="%1."/>
      <w:lvlJc w:val="left"/>
    </w:lvl>
  </w:abstractNum>
  <w:abstractNum w:abstractNumId="14">
    <w:nsid w:val="606FB3DF"/>
    <w:multiLevelType w:val="singleLevel"/>
    <w:tmpl w:val="606FB3DF"/>
    <w:lvl w:ilvl="0" w:tentative="0">
      <w:start w:val="1"/>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E267F80"/>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A4572C"/>
    <w:rsid w:val="34F45B63"/>
    <w:rsid w:val="35602CB2"/>
    <w:rsid w:val="359C4AA1"/>
    <w:rsid w:val="35EF6C88"/>
    <w:rsid w:val="35FD866C"/>
    <w:rsid w:val="35FDCF71"/>
    <w:rsid w:val="364DABB2"/>
    <w:rsid w:val="365D83B2"/>
    <w:rsid w:val="37DF0CB0"/>
    <w:rsid w:val="37F77094"/>
    <w:rsid w:val="380E1B83"/>
    <w:rsid w:val="389BC5FC"/>
    <w:rsid w:val="3A1113BB"/>
    <w:rsid w:val="3A777EE6"/>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D73219"/>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23B03"/>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7844F4"/>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BD5AF7"/>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CFF5D97"/>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37EB4"/>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EF832F"/>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4DBD333"/>
    <w:rsid w:val="F5EF2FC3"/>
    <w:rsid w:val="F5FB325B"/>
    <w:rsid w:val="F5FF567F"/>
    <w:rsid w:val="F620919D"/>
    <w:rsid w:val="F66DC530"/>
    <w:rsid w:val="F6D7C544"/>
    <w:rsid w:val="F6E2D78D"/>
    <w:rsid w:val="F6FEC8CB"/>
    <w:rsid w:val="F6FF556A"/>
    <w:rsid w:val="F73E9266"/>
    <w:rsid w:val="F7730405"/>
    <w:rsid w:val="F7A39554"/>
    <w:rsid w:val="F7B3110B"/>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9E"/>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24C8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BFF0E7"/>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rFonts w:ascii="宋体" w:hAnsi="宋体" w:eastAsia="宋体" w:cs="宋体"/>
      <w:sz w:val="21"/>
      <w:szCs w:val="21"/>
      <w:lang w:val="zh-CN" w:eastAsia="zh-CN" w:bidi="zh-CN"/>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Table Paragraph"/>
    <w:basedOn w:val="1"/>
    <w:qFormat/>
    <w:uiPriority w:val="1"/>
    <w:rPr>
      <w:rFonts w:ascii="宋体" w:hAnsi="宋体" w:eastAsia="宋体" w:cs="宋体"/>
      <w:lang w:val="zh-CN" w:eastAsia="zh-CN" w:bidi="zh-CN"/>
    </w:rPr>
  </w:style>
  <w:style w:type="paragraph" w:customStyle="1" w:styleId="10">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2020-09-30T00:58:00Z</dcterms:created>
  <dc:creator>wanghan</dc:creator>
  <cp:lastModifiedBy>wanghan</cp:lastModifiedBy>
  <dcterms:modified xsi:type="dcterms:W3CDTF">2021-06-22T11:04:44Z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