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both"/>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both"/>
        <w:rPr>
          <w:sz w:val="24"/>
        </w:rPr>
      </w:pPr>
      <w:r>
        <w:rPr>
          <w:color w:val="333333"/>
          <w:sz w:val="24"/>
        </w:rPr>
        <w:t>二、本报告根据与该企业有关的国家企业信用信息公示系统、信用中国、裁判文书网、新闻媒体、行业数据等公开互联网网站等相关数据信息生成。</w:t>
      </w:r>
      <w:bookmarkStart w:id="0" w:name="_GoBack"/>
      <w:bookmarkEnd w:id="0"/>
    </w:p>
    <w:p>
      <w:pPr>
        <w:spacing w:before="121" w:line="374" w:lineRule="auto"/>
        <w:ind w:left="102" w:right="153" w:firstLine="360"/>
        <w:jc w:val="both"/>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both"/>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both"/>
        <w:rPr>
          <w:sz w:val="24"/>
        </w:rPr>
      </w:pPr>
      <w:r>
        <w:rPr>
          <w:color w:val="333333"/>
          <w:sz w:val="24"/>
        </w:rPr>
        <w:t>五、北京每日信动科技有限公司保留对其信用状态的跟踪观察并根据实际情况及时调整与公布评估报告内容之权力。</w:t>
      </w:r>
    </w:p>
    <w:p>
      <w:pPr>
        <w:pStyle w:val="4"/>
        <w:jc w:val="both"/>
        <w:rPr>
          <w:sz w:val="24"/>
        </w:rPr>
      </w:pPr>
    </w:p>
    <w:p>
      <w:pPr>
        <w:pStyle w:val="4"/>
        <w:rPr>
          <w:sz w:val="24"/>
        </w:rPr>
      </w:pPr>
    </w:p>
    <w:p>
      <w:pPr>
        <w:pStyle w:val="4"/>
        <w:rPr>
          <w:sz w:val="24"/>
        </w:rPr>
      </w:pPr>
    </w:p>
    <w:p>
      <w:pPr>
        <w:spacing w:before="207"/>
        <w:ind w:leftChars="100"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both"/>
        <w:rPr>
          <w:rFonts w:ascii="Arial Unicode MS"/>
          <w:sz w:val="24"/>
        </w:rPr>
      </w:pPr>
    </w:p>
    <w:p>
      <w:pPr>
        <w:rPr>
          <w:sz w:val="29"/>
        </w:rPr>
      </w:pPr>
      <w:r>
        <w:rPr>
          <w:sz w:val="29"/>
        </w:rPr>
        <w:br w:type="page"/>
      </w:r>
    </w:p>
    <w:p>
      <w:pPr>
        <w:spacing w:before="40"/>
        <w:ind w:left="102" w:right="0" w:firstLine="0"/>
        <w:jc w:val="left"/>
        <w:rPr>
          <w:sz w:val="29"/>
        </w:rPr>
      </w:pPr>
    </w:p>
    <w:p>
      <w:pPr>
        <w:spacing w:before="40"/>
        <w:ind w:left="102" w:right="0" w:firstLine="0"/>
        <w:jc w:val="left"/>
        <w:rPr>
          <w:sz w:val="29"/>
        </w:rPr>
      </w:pPr>
      <w:r>
        <w:rPr>
          <w:b/>
          <w:bCs/>
          <w:sz w:val="29"/>
        </w:rPr>
        <w:t>每日信动指数</w:t>
      </w:r>
    </w:p>
    <w:p>
      <w:pPr>
        <w:pStyle w:val="4"/>
        <w:spacing w:before="92"/>
        <w:ind w:left="102"/>
        <w:rPr>
          <w:b/>
          <w:bCs/>
        </w:rPr>
      </w:pPr>
      <w:r>
        <w:rPr>
          <w:b/>
          <w:bCs/>
        </w:rPr>
        <w:t>企业发展指数</w:t>
      </w:r>
    </w:p>
    <w:p>
      <w:pPr>
        <w:pStyle w:val="4"/>
        <w:spacing w:before="92"/>
        <w:ind w:left="102"/>
        <w:rPr>
          <w:b/>
          <w:bCs/>
        </w:rPr>
      </w:pPr>
    </w:p>
    <w:tbl>
      <w:tblPr>
        <w:tblStyle w:val="6"/>
        <w:tblW w:w="8767"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35"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fz_score</w:t>
            </w:r>
            <w:r>
              <w:rPr>
                <w:rFonts w:ascii="Arial Unicode MS"/>
                <w:sz w:val="19"/>
              </w:rPr>
              <w:t>}</w:t>
            </w:r>
          </w:p>
        </w:tc>
        <w:tc>
          <w:tcPr>
            <w:tcW w:w="5772"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1"/>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2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71"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71"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71"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71"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8717"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1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15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rPr>
          <w:trHeight w:val="758"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19"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96"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88"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157"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pStyle w:val="4"/>
        <w:spacing w:before="10"/>
        <w:rPr>
          <w:sz w:val="24"/>
        </w:rPr>
      </w:pPr>
    </w:p>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774" w:type="dxa"/>
        <w:tblInd w:w="-1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9"/>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29"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fx_score</w:t>
            </w:r>
            <w:r>
              <w:rPr>
                <w:rFonts w:ascii="Arial Unicode MS"/>
                <w:sz w:val="19"/>
              </w:rPr>
              <w:t>}</w:t>
            </w:r>
          </w:p>
        </w:tc>
        <w:tc>
          <w:tcPr>
            <w:tcW w:w="5785"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3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57"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jc w:val="center"/>
              <w:rPr>
                <w:sz w:val="19"/>
              </w:rPr>
            </w:pPr>
            <w:r>
              <w:rPr>
                <w:color w:val="333333"/>
                <w:sz w:val="19"/>
              </w:rPr>
              <w:t>企业风险指数</w:t>
            </w: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57"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企业业务、企业股东层稳定性、履约能力方面分析，抗风险能力较强</w:t>
            </w:r>
          </w:p>
        </w:tc>
      </w:tr>
    </w:tbl>
    <w:p>
      <w:pPr>
        <w:pStyle w:val="4"/>
        <w:spacing w:before="1"/>
        <w:rPr>
          <w:sz w:val="28"/>
        </w:rPr>
      </w:pPr>
    </w:p>
    <w:tbl>
      <w:tblPr>
        <w:tblStyle w:val="6"/>
        <w:tblW w:w="8771"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21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211"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1560"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211"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746" w:type="dxa"/>
        <w:tblInd w:w="-136"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65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46"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企业类型</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注册地址</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统一社会信用代码</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核准日期</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营业期限</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所属行业</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vAlign w:val="center"/>
          </w:tcPr>
          <w:p>
            <w:pPr>
              <w:pStyle w:val="8"/>
              <w:spacing w:before="132"/>
              <w:ind w:left="124"/>
              <w:rPr>
                <w:color w:val="333333"/>
                <w:sz w:val="19"/>
              </w:rPr>
            </w:pPr>
            <w:r>
              <w:rPr>
                <w:color w:val="333333"/>
                <w:sz w:val="19"/>
              </w:rPr>
              <w:t>经营范围</w:t>
            </w:r>
          </w:p>
        </w:tc>
        <w:tc>
          <w:tcPr>
            <w:tcW w:w="7186" w:type="dxa"/>
            <w:gridSpan w:val="3"/>
            <w:tcBorders>
              <w:top w:val="single" w:color="7F7F7F" w:sz="6" w:space="0"/>
              <w:lef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OPSCOPE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688" w:type="dxa"/>
        <w:tblInd w:w="-91"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201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88"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2016"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RemoveDate</w:t>
            </w:r>
            <w:r>
              <w:rPr>
                <w:color w:val="333333"/>
                <w:sz w:val="19"/>
              </w:rPr>
              <w:t>}</w:t>
            </w:r>
          </w:p>
        </w:tc>
        <w:tc>
          <w:tcPr>
            <w:tcW w:w="2016"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p>
      <w:pPr>
        <w:spacing w:after="0"/>
        <w:jc w:val="both"/>
        <w:rPr>
          <w:rFonts w:hint="eastAsia" w:ascii="Arial Unicode MS"/>
          <w:sz w:val="24"/>
        </w:rPr>
      </w:pP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hint="eastAsia" w:ascii="Arial Unicode MS"/>
          <w:sz w:val="24"/>
        </w:rPr>
      </w:pPr>
    </w:p>
    <w:p>
      <w:pPr>
        <w:pStyle w:val="2"/>
        <w:numPr>
          <w:ilvl w:val="0"/>
          <w:numId w:val="1"/>
        </w:numPr>
        <w:tabs>
          <w:tab w:val="left" w:pos="404"/>
        </w:tabs>
        <w:spacing w:before="197" w:after="0" w:line="240" w:lineRule="auto"/>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${zl_ocr}</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9"/>
        <w:numPr>
          <w:ilvl w:val="0"/>
          <w:numId w:val="0"/>
        </w:numPr>
        <w:tabs>
          <w:tab w:val="left" w:pos="404"/>
        </w:tabs>
        <w:spacing w:before="204" w:after="0" w:line="240" w:lineRule="auto"/>
        <w:ind w:right="0" w:rightChars="0"/>
        <w:jc w:val="left"/>
        <w:rPr>
          <w:sz w:val="36"/>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right="0" w:rightChars="0"/>
        <w:jc w:val="left"/>
        <w:rPr>
          <w:sz w:val="36"/>
        </w:rPr>
      </w:pPr>
      <w:r>
        <w:rPr>
          <w:sz w:val="36"/>
        </w:rPr>
        <w:t>${rjzzq_ocr}</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left="101" w:leftChars="0" w:right="0" w:rightChars="0"/>
        <w:jc w:val="left"/>
        <w:rPr>
          <w:sz w:val="36"/>
        </w:rPr>
      </w:pPr>
      <w:r>
        <w:rPr>
          <w:sz w:val="36"/>
        </w:rPr>
        <w:t>${xzxk_ocr}</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r>
        <w:rPr>
          <w:sz w:val="36"/>
        </w:rPr>
        <w:t>${xzcf_ocr}</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rPr>
          <w:sz w:val="17"/>
        </w:rPr>
      </w:pPr>
      <w:r>
        <w:t>司法涉诉</w:t>
      </w: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17"/>
        </w:rPr>
      </w:pPr>
    </w:p>
    <w:p>
      <w:pPr>
        <w:pStyle w:val="4"/>
        <w:spacing w:before="10"/>
        <w:rPr>
          <w:sz w:val="17"/>
        </w:rPr>
      </w:pPr>
      <w:r>
        <w:rPr>
          <w:sz w:val="17"/>
        </w:rPr>
        <w:t>${cpws_oneSaid}</w:t>
      </w:r>
    </w:p>
    <w:p>
      <w:pPr>
        <w:pStyle w:val="4"/>
        <w:spacing w:before="10"/>
        <w:rPr>
          <w:sz w:val="17"/>
        </w:rPr>
      </w:pPr>
      <w:r>
        <w:rPr>
          <w:sz w:val="17"/>
        </w:rPr>
        <w:t>${cpws_ocr}</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p>
    <w:p>
      <w:pPr>
        <w:pStyle w:val="4"/>
        <w:spacing w:before="10"/>
        <w:rPr>
          <w:sz w:val="17"/>
        </w:rPr>
      </w:pPr>
      <w:r>
        <w:rPr>
          <w:sz w:val="17"/>
        </w:rPr>
        <w:t>${zxgg_oneSaid}</w:t>
      </w:r>
    </w:p>
    <w:p>
      <w:pPr>
        <w:pStyle w:val="4"/>
        <w:spacing w:before="10"/>
        <w:rPr>
          <w:sz w:val="17"/>
        </w:rPr>
      </w:pPr>
      <w:r>
        <w:rPr>
          <w:sz w:val="17"/>
        </w:rPr>
        <w:t>${zxgg_ocr}</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p>
    <w:p>
      <w:pPr>
        <w:pStyle w:val="4"/>
        <w:spacing w:before="10"/>
        <w:rPr>
          <w:sz w:val="17"/>
        </w:rPr>
      </w:pPr>
      <w:r>
        <w:rPr>
          <w:sz w:val="17"/>
        </w:rPr>
        <w:t>${sx_oneSaid}</w:t>
      </w:r>
    </w:p>
    <w:p>
      <w:pPr>
        <w:pStyle w:val="4"/>
        <w:spacing w:before="10"/>
        <w:rPr>
          <w:sz w:val="36"/>
        </w:rPr>
      </w:pPr>
      <w:r>
        <w:rPr>
          <w:sz w:val="17"/>
        </w:rPr>
        <w:t>${sx_ocr}</w:t>
      </w:r>
    </w:p>
    <w:p>
      <w:pPr>
        <w:pStyle w:val="4"/>
        <w:spacing w:before="10"/>
        <w:rPr>
          <w:sz w:val="17"/>
        </w:rPr>
      </w:pPr>
    </w:p>
    <w:sectPr>
      <w:pgSz w:w="11906" w:h="16838"/>
      <w:pgMar w:top="1440" w:right="1800"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24C8D"/>
    <w:rsid w:val="024546FD"/>
    <w:rsid w:val="03CD44EF"/>
    <w:rsid w:val="077F6C6C"/>
    <w:rsid w:val="099F9FEF"/>
    <w:rsid w:val="0A2A4801"/>
    <w:rsid w:val="0A5B4C6B"/>
    <w:rsid w:val="0AE31AAB"/>
    <w:rsid w:val="0E0169E5"/>
    <w:rsid w:val="0FE792CA"/>
    <w:rsid w:val="13B7D579"/>
    <w:rsid w:val="14A36E16"/>
    <w:rsid w:val="15FF68E3"/>
    <w:rsid w:val="169F3F6D"/>
    <w:rsid w:val="16CF525C"/>
    <w:rsid w:val="17F99B94"/>
    <w:rsid w:val="18FE9F82"/>
    <w:rsid w:val="197F33CE"/>
    <w:rsid w:val="1B748664"/>
    <w:rsid w:val="1C7A493C"/>
    <w:rsid w:val="1DB25011"/>
    <w:rsid w:val="1DCF50AB"/>
    <w:rsid w:val="1F1D221D"/>
    <w:rsid w:val="1F39A903"/>
    <w:rsid w:val="1F7F47C2"/>
    <w:rsid w:val="1FFB816D"/>
    <w:rsid w:val="20772D2A"/>
    <w:rsid w:val="226A3A4E"/>
    <w:rsid w:val="25341554"/>
    <w:rsid w:val="25794BCA"/>
    <w:rsid w:val="266C70EC"/>
    <w:rsid w:val="27AD6A27"/>
    <w:rsid w:val="29B625A7"/>
    <w:rsid w:val="2AC604E0"/>
    <w:rsid w:val="2B9023A2"/>
    <w:rsid w:val="2BB1B865"/>
    <w:rsid w:val="2D9D5900"/>
    <w:rsid w:val="2E0D2357"/>
    <w:rsid w:val="2EEF14AC"/>
    <w:rsid w:val="2FDB4338"/>
    <w:rsid w:val="2FE95709"/>
    <w:rsid w:val="2FFD1EFB"/>
    <w:rsid w:val="30235746"/>
    <w:rsid w:val="313F5A54"/>
    <w:rsid w:val="3377416C"/>
    <w:rsid w:val="33B675C6"/>
    <w:rsid w:val="33DAE6A8"/>
    <w:rsid w:val="33F78687"/>
    <w:rsid w:val="35A15D69"/>
    <w:rsid w:val="35FD866C"/>
    <w:rsid w:val="35FDCF71"/>
    <w:rsid w:val="364DABB2"/>
    <w:rsid w:val="365D83B2"/>
    <w:rsid w:val="36C4601B"/>
    <w:rsid w:val="37DF0CB0"/>
    <w:rsid w:val="37F77094"/>
    <w:rsid w:val="389BC5FC"/>
    <w:rsid w:val="38F0640F"/>
    <w:rsid w:val="39F16D20"/>
    <w:rsid w:val="3AFB0DB2"/>
    <w:rsid w:val="3AFFFE72"/>
    <w:rsid w:val="3B9C022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A85B68"/>
    <w:rsid w:val="410730C9"/>
    <w:rsid w:val="42211E96"/>
    <w:rsid w:val="42E67009"/>
    <w:rsid w:val="43F139E3"/>
    <w:rsid w:val="466D24D5"/>
    <w:rsid w:val="477B7EF2"/>
    <w:rsid w:val="477D0513"/>
    <w:rsid w:val="47FE84ED"/>
    <w:rsid w:val="48AC0C75"/>
    <w:rsid w:val="492F34B8"/>
    <w:rsid w:val="49FD65F7"/>
    <w:rsid w:val="4A225FE3"/>
    <w:rsid w:val="4A7517C4"/>
    <w:rsid w:val="4BEB1F41"/>
    <w:rsid w:val="4BFF4790"/>
    <w:rsid w:val="4C1F3155"/>
    <w:rsid w:val="4DFB74F8"/>
    <w:rsid w:val="4E390B74"/>
    <w:rsid w:val="4F9B7FA5"/>
    <w:rsid w:val="4FDC2F87"/>
    <w:rsid w:val="4FFFA3A6"/>
    <w:rsid w:val="51FE78C7"/>
    <w:rsid w:val="53AF4EE3"/>
    <w:rsid w:val="547F027C"/>
    <w:rsid w:val="54DE74D9"/>
    <w:rsid w:val="56EB4299"/>
    <w:rsid w:val="56FFE628"/>
    <w:rsid w:val="57334047"/>
    <w:rsid w:val="5737C9A4"/>
    <w:rsid w:val="573BB163"/>
    <w:rsid w:val="574346D9"/>
    <w:rsid w:val="576285A9"/>
    <w:rsid w:val="57FE1C6C"/>
    <w:rsid w:val="57FF8BF8"/>
    <w:rsid w:val="5954C980"/>
    <w:rsid w:val="59B3076D"/>
    <w:rsid w:val="59FBCE06"/>
    <w:rsid w:val="5AFF5CB3"/>
    <w:rsid w:val="5AFF5F94"/>
    <w:rsid w:val="5B0F3E70"/>
    <w:rsid w:val="5B3B8FB6"/>
    <w:rsid w:val="5BA02A45"/>
    <w:rsid w:val="5BCF6825"/>
    <w:rsid w:val="5BFDA8E1"/>
    <w:rsid w:val="5DBD12E3"/>
    <w:rsid w:val="5DBD7928"/>
    <w:rsid w:val="5DFDDEAC"/>
    <w:rsid w:val="5DFFF1BE"/>
    <w:rsid w:val="5E5F3E3A"/>
    <w:rsid w:val="5E69D5C0"/>
    <w:rsid w:val="5E9F37E7"/>
    <w:rsid w:val="5EAF8341"/>
    <w:rsid w:val="5EBF32C0"/>
    <w:rsid w:val="5ED2D0C1"/>
    <w:rsid w:val="5EF59B5A"/>
    <w:rsid w:val="5EF7C515"/>
    <w:rsid w:val="5F2393E2"/>
    <w:rsid w:val="5F2D8885"/>
    <w:rsid w:val="5F2E3F43"/>
    <w:rsid w:val="5F3FACB7"/>
    <w:rsid w:val="5F5B5D1A"/>
    <w:rsid w:val="5F7DC7BD"/>
    <w:rsid w:val="5F887F2B"/>
    <w:rsid w:val="5F9E9BE7"/>
    <w:rsid w:val="5FB34154"/>
    <w:rsid w:val="5FB71D2C"/>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EC6D8E"/>
    <w:rsid w:val="65FF809B"/>
    <w:rsid w:val="65FF9E89"/>
    <w:rsid w:val="677F9BCB"/>
    <w:rsid w:val="67D6B30A"/>
    <w:rsid w:val="67E68AC8"/>
    <w:rsid w:val="67ED942C"/>
    <w:rsid w:val="67F89262"/>
    <w:rsid w:val="67FB3E7F"/>
    <w:rsid w:val="67FF6BFF"/>
    <w:rsid w:val="69F82C7E"/>
    <w:rsid w:val="69FD5DAD"/>
    <w:rsid w:val="6AFBA163"/>
    <w:rsid w:val="6B630D86"/>
    <w:rsid w:val="6B7D5CCB"/>
    <w:rsid w:val="6B7EF021"/>
    <w:rsid w:val="6BBDA28F"/>
    <w:rsid w:val="6BDD16E0"/>
    <w:rsid w:val="6BF574B6"/>
    <w:rsid w:val="6BF738B6"/>
    <w:rsid w:val="6C5F4DE1"/>
    <w:rsid w:val="6C6B524D"/>
    <w:rsid w:val="6CF5FEB4"/>
    <w:rsid w:val="6D6BB1A3"/>
    <w:rsid w:val="6DFED6AE"/>
    <w:rsid w:val="6E5D857F"/>
    <w:rsid w:val="6EEF6F8E"/>
    <w:rsid w:val="6F605B4D"/>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3FD6D2B"/>
    <w:rsid w:val="74D68DFA"/>
    <w:rsid w:val="74FA8977"/>
    <w:rsid w:val="74FFE0C7"/>
    <w:rsid w:val="75FBA4C8"/>
    <w:rsid w:val="76BFF1D5"/>
    <w:rsid w:val="76D69D3D"/>
    <w:rsid w:val="76E7CBB7"/>
    <w:rsid w:val="76FEF56E"/>
    <w:rsid w:val="77599002"/>
    <w:rsid w:val="777EAE86"/>
    <w:rsid w:val="778372CE"/>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BD3D3E"/>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0F326DD"/>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BD18EE"/>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EFD421"/>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63936B"/>
    <w:rsid w:val="FF6BE88E"/>
    <w:rsid w:val="FF6C7D2B"/>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2020-09-27T00:58:00Z</dcterms:created>
  <dc:creator>wanghan</dc:creator>
  <cp:lastModifiedBy>wanghan</cp:lastModifiedBy>
  <dcterms:modified xsi:type="dcterms:W3CDTF">2021-02-07T16:26:50Z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