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both"/>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both"/>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both"/>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both"/>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both"/>
        <w:rPr>
          <w:sz w:val="24"/>
        </w:rPr>
      </w:pPr>
      <w:r>
        <w:rPr>
          <w:color w:val="333333"/>
          <w:sz w:val="24"/>
        </w:rPr>
        <w:t>五、北京每日信动科技有限公司保留对其信用状态的跟踪观察并根据实际情况及时调整与公布评估报告内容之权力。</w:t>
      </w:r>
    </w:p>
    <w:p>
      <w:pPr>
        <w:pStyle w:val="4"/>
        <w:jc w:val="both"/>
        <w:rPr>
          <w:sz w:val="24"/>
        </w:rPr>
      </w:pPr>
    </w:p>
    <w:p>
      <w:pPr>
        <w:pStyle w:val="4"/>
        <w:rPr>
          <w:sz w:val="24"/>
        </w:rPr>
      </w:pPr>
    </w:p>
    <w:p>
      <w:pPr>
        <w:pStyle w:val="4"/>
        <w:rPr>
          <w:sz w:val="24"/>
        </w:rPr>
      </w:pPr>
    </w:p>
    <w:p>
      <w:pPr>
        <w:spacing w:before="207"/>
        <w:ind w:leftChars="100"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both"/>
        <w:rPr>
          <w:rFonts w:ascii="Arial Unicode MS"/>
          <w:sz w:val="24"/>
        </w:rPr>
      </w:pPr>
    </w:p>
    <w:p>
      <w:pPr>
        <w:rPr>
          <w:sz w:val="29"/>
        </w:rPr>
      </w:pPr>
      <w:r>
        <w:rPr>
          <w:sz w:val="29"/>
        </w:rPr>
        <w:br w:type="page"/>
      </w:r>
    </w:p>
    <w:p>
      <w:pPr>
        <w:spacing w:before="40"/>
        <w:ind w:left="102" w:right="0" w:firstLine="0"/>
        <w:jc w:val="left"/>
        <w:rPr>
          <w:sz w:val="29"/>
        </w:rPr>
      </w:pPr>
    </w:p>
    <w:p>
      <w:pPr>
        <w:spacing w:before="40"/>
        <w:ind w:left="102" w:right="0" w:firstLine="0"/>
        <w:jc w:val="left"/>
        <w:rPr>
          <w:sz w:val="29"/>
        </w:rPr>
      </w:pPr>
      <w:r>
        <w:rPr>
          <w:b/>
          <w:bCs/>
          <w:sz w:val="29"/>
        </w:rPr>
        <w:t>每日信动指数</w:t>
      </w:r>
    </w:p>
    <w:p>
      <w:pPr>
        <w:pStyle w:val="4"/>
        <w:spacing w:before="92"/>
        <w:ind w:left="102"/>
        <w:rPr>
          <w:b/>
          <w:bCs/>
        </w:rPr>
      </w:pPr>
      <w:r>
        <w:rPr>
          <w:b/>
          <w:bCs/>
        </w:rPr>
        <w:t>企业发展指数</w:t>
      </w:r>
    </w:p>
    <w:p>
      <w:pPr>
        <w:pStyle w:val="4"/>
        <w:spacing w:before="92"/>
        <w:ind w:left="102"/>
        <w:rPr>
          <w:b/>
          <w:bCs/>
        </w:rPr>
      </w:pPr>
    </w:p>
    <w:tbl>
      <w:tblPr>
        <w:tblStyle w:val="6"/>
        <w:tblW w:w="8767"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35"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fz_score</w:t>
            </w:r>
            <w:r>
              <w:rPr>
                <w:rFonts w:ascii="Arial Unicode MS"/>
                <w:sz w:val="19"/>
              </w:rPr>
              <w:t>}</w:t>
            </w:r>
          </w:p>
        </w:tc>
        <w:tc>
          <w:tcPr>
            <w:tcW w:w="5772"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1"/>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2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71"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71"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71"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2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71"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8717"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1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15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58"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719"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96"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157"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88"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157"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pStyle w:val="4"/>
        <w:spacing w:before="10"/>
        <w:rPr>
          <w:sz w:val="24"/>
        </w:rPr>
      </w:pPr>
    </w:p>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774" w:type="dxa"/>
        <w:tblInd w:w="-1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29"/>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29" w:type="dxa"/>
            <w:tcBorders>
              <w:left w:val="single" w:color="7F7F7F" w:sz="6" w:space="0"/>
              <w:right w:val="single" w:color="7F7F7F" w:sz="6" w:space="0"/>
            </w:tcBorders>
            <w:shd w:val="clear" w:color="auto" w:fill="EEEEEE"/>
          </w:tcPr>
          <w:p>
            <w:pPr>
              <w:pStyle w:val="8"/>
              <w:spacing w:line="318" w:lineRule="exact"/>
              <w:ind w:left="227" w:right="213"/>
              <w:jc w:val="both"/>
              <w:rPr>
                <w:rFonts w:ascii="Arial Unicode MS"/>
                <w:sz w:val="19"/>
              </w:rPr>
            </w:pPr>
            <w:r>
              <w:rPr>
                <w:rFonts w:ascii="Arial Unicode MS"/>
                <w:sz w:val="19"/>
              </w:rPr>
              <w:t>${</w:t>
            </w:r>
            <w:r>
              <w:rPr>
                <w:rFonts w:hint="eastAsia" w:ascii="Arial Unicode MS"/>
                <w:sz w:val="19"/>
              </w:rPr>
              <w:t>fx_score</w:t>
            </w:r>
            <w:r>
              <w:rPr>
                <w:rFonts w:ascii="Arial Unicode MS"/>
                <w:sz w:val="19"/>
              </w:rPr>
              <w:t>}</w:t>
            </w:r>
          </w:p>
        </w:tc>
        <w:tc>
          <w:tcPr>
            <w:tcW w:w="5785"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8752" w:type="dxa"/>
        <w:tblInd w:w="-11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35"/>
        <w:gridCol w:w="57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43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57"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vAlign w:val="center"/>
          </w:tcPr>
          <w:p>
            <w:pPr>
              <w:pStyle w:val="8"/>
              <w:jc w:val="center"/>
              <w:rPr>
                <w:sz w:val="19"/>
              </w:rPr>
            </w:pPr>
            <w:r>
              <w:rPr>
                <w:color w:val="333333"/>
                <w:sz w:val="19"/>
              </w:rPr>
              <w:t>企业风险指数</w:t>
            </w: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57"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vAlign w:val="center"/>
          </w:tcPr>
          <w:p>
            <w:pPr>
              <w:rPr>
                <w:sz w:val="2"/>
                <w:szCs w:val="2"/>
              </w:rPr>
            </w:pPr>
          </w:p>
        </w:tc>
        <w:tc>
          <w:tcPr>
            <w:tcW w:w="1435"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57"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企业业务、企业股东层稳定性、履约能力方面分析，抗风险能力较强</w:t>
            </w:r>
          </w:p>
        </w:tc>
      </w:tr>
    </w:tbl>
    <w:p>
      <w:pPr>
        <w:pStyle w:val="4"/>
        <w:spacing w:before="1"/>
        <w:rPr>
          <w:sz w:val="28"/>
        </w:rPr>
      </w:pPr>
    </w:p>
    <w:tbl>
      <w:tblPr>
        <w:tblStyle w:val="6"/>
        <w:tblW w:w="8771"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721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211"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211"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1560"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211"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rFonts w:hint="eastAsia" w:eastAsia="宋体"/>
                <w:sz w:val="18"/>
                <w:szCs w:val="18"/>
                <w:lang w:val="en-US" w:eastAsia="zh-Hans"/>
              </w:rPr>
            </w:pPr>
            <w:bookmarkStart w:id="0" w:name="_GoBack" w:colFirst="0" w:colLast="0"/>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bookmarkEnd w:id="0"/>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746" w:type="dxa"/>
        <w:tblInd w:w="-136"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65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46"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企业类型</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注册地址</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统一社会信用代码</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核准日期</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营业期限</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4"/>
              <w:rPr>
                <w:color w:val="333333"/>
                <w:sz w:val="19"/>
              </w:rPr>
            </w:pPr>
            <w:r>
              <w:rPr>
                <w:color w:val="333333"/>
                <w:sz w:val="19"/>
              </w:rPr>
              <w:t>所属行业</w:t>
            </w:r>
          </w:p>
        </w:tc>
        <w:tc>
          <w:tcPr>
            <w:tcW w:w="3658" w:type="dxa"/>
            <w:tcBorders>
              <w:top w:val="single" w:color="7F7F7F" w:sz="6" w:space="0"/>
              <w:left w:val="single" w:color="7F7F7F" w:sz="6" w:space="0"/>
              <w:bottom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vAlign w:val="center"/>
          </w:tcPr>
          <w:p>
            <w:pPr>
              <w:pStyle w:val="8"/>
              <w:spacing w:before="132"/>
              <w:ind w:left="124"/>
              <w:rPr>
                <w:color w:val="333333"/>
                <w:sz w:val="19"/>
              </w:rPr>
            </w:pPr>
            <w:r>
              <w:rPr>
                <w:color w:val="333333"/>
                <w:sz w:val="19"/>
              </w:rPr>
              <w:t>经营范围</w:t>
            </w:r>
          </w:p>
        </w:tc>
        <w:tc>
          <w:tcPr>
            <w:tcW w:w="7186" w:type="dxa"/>
            <w:gridSpan w:val="3"/>
            <w:tcBorders>
              <w:top w:val="single" w:color="7F7F7F" w:sz="6" w:space="0"/>
              <w:left w:val="single" w:color="7F7F7F" w:sz="6" w:space="0"/>
            </w:tcBorders>
            <w:vAlign w:val="center"/>
          </w:tcPr>
          <w:p>
            <w:pPr>
              <w:pStyle w:val="8"/>
              <w:spacing w:before="132"/>
              <w:ind w:left="124"/>
              <w:rPr>
                <w:color w:val="333333"/>
                <w:sz w:val="19"/>
              </w:rPr>
            </w:pPr>
            <w:r>
              <w:rPr>
                <w:color w:val="333333"/>
                <w:sz w:val="19"/>
              </w:rPr>
              <w:t>${</w:t>
            </w:r>
            <w:r>
              <w:rPr>
                <w:rFonts w:hint="eastAsia"/>
                <w:color w:val="333333"/>
                <w:sz w:val="19"/>
              </w:rPr>
              <w:t>OPSCOPE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8688" w:type="dxa"/>
        <w:tblInd w:w="-91"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201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88"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2016"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RemoveDate</w:t>
            </w:r>
            <w:r>
              <w:rPr>
                <w:color w:val="333333"/>
                <w:sz w:val="19"/>
              </w:rPr>
              <w:t>}</w:t>
            </w:r>
          </w:p>
        </w:tc>
        <w:tc>
          <w:tcPr>
            <w:tcW w:w="2016"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pStyle w:val="9"/>
        <w:numPr>
          <w:ilvl w:val="1"/>
          <w:numId w:val="15"/>
        </w:numPr>
        <w:tabs>
          <w:tab w:val="left" w:pos="583"/>
        </w:tabs>
        <w:spacing w:before="228" w:after="59" w:line="240" w:lineRule="auto"/>
        <w:ind w:left="582" w:right="0" w:hanging="481"/>
        <w:jc w:val="left"/>
        <w:rPr>
          <w:sz w:val="29"/>
        </w:rPr>
      </w:pPr>
      <w:r>
        <w:rPr>
          <w:w w:val="95"/>
          <w:sz w:val="29"/>
        </w:rPr>
        <w:t>企业对外投资</w:t>
      </w:r>
    </w:p>
    <w:p>
      <w:pPr>
        <w:spacing w:after="0"/>
        <w:jc w:val="both"/>
        <w:rPr>
          <w:rFonts w:hint="eastAsia" w:ascii="Arial Unicode MS"/>
          <w:sz w:val="24"/>
        </w:rPr>
      </w:pP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w:t>
      </w:r>
      <w:r>
        <w:rPr>
          <w:rFonts w:hint="default" w:ascii="Arial Unicode MS"/>
          <w:sz w:val="24"/>
        </w:rPr>
        <w:t>ocr</w:t>
      </w:r>
      <w:r>
        <w:rPr>
          <w:rFonts w:hint="eastAsia" w:ascii="Arial Unicode MS"/>
          <w:sz w:val="24"/>
        </w:rPr>
        <w:t>}</w:t>
      </w:r>
    </w:p>
    <w:p>
      <w:pPr>
        <w:spacing w:after="0"/>
        <w:jc w:val="both"/>
        <w:rPr>
          <w:rFonts w:hint="eastAsia" w:ascii="Arial Unicode MS"/>
          <w:sz w:val="24"/>
        </w:rPr>
      </w:pPr>
    </w:p>
    <w:p>
      <w:pPr>
        <w:pStyle w:val="2"/>
        <w:numPr>
          <w:ilvl w:val="0"/>
          <w:numId w:val="15"/>
        </w:numPr>
        <w:tabs>
          <w:tab w:val="left" w:pos="404"/>
        </w:tabs>
        <w:spacing w:before="197" w:after="0" w:line="240" w:lineRule="auto"/>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${zl_ocr}</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9"/>
        <w:numPr>
          <w:ilvl w:val="0"/>
          <w:numId w:val="0"/>
        </w:numPr>
        <w:tabs>
          <w:tab w:val="left" w:pos="404"/>
        </w:tabs>
        <w:spacing w:before="204" w:after="0" w:line="240" w:lineRule="auto"/>
        <w:ind w:right="0" w:rightChars="0"/>
        <w:jc w:val="left"/>
        <w:rPr>
          <w:sz w:val="36"/>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${rjzzq_ocr}</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${xzxk_ocr}</w:t>
      </w:r>
    </w:p>
    <w:p>
      <w:pPr>
        <w:pStyle w:val="9"/>
        <w:numPr>
          <w:ilvl w:val="0"/>
          <w:numId w:val="0"/>
        </w:numPr>
        <w:tabs>
          <w:tab w:val="left" w:pos="404"/>
        </w:tabs>
        <w:spacing w:before="204" w:after="0" w:line="240" w:lineRule="auto"/>
        <w:ind w:right="0" w:rightChars="0"/>
        <w:jc w:val="left"/>
        <w:rPr>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9"/>
        <w:numPr>
          <w:ilvl w:val="0"/>
          <w:numId w:val="0"/>
        </w:numPr>
        <w:tabs>
          <w:tab w:val="left" w:pos="404"/>
        </w:tabs>
        <w:spacing w:before="204" w:after="0" w:line="240" w:lineRule="auto"/>
        <w:ind w:right="0" w:rightChars="0"/>
        <w:jc w:val="left"/>
        <w:rPr>
          <w:sz w:val="36"/>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${xzcf_ocr}</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rPr>
          <w:sz w:val="17"/>
        </w:rPr>
      </w:pPr>
      <w:r>
        <w:t>司法涉诉</w:t>
      </w: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${cpws_ocr}</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${zxgg_ocr}</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0"/>
        <w:rPr>
          <w:sz w:val="1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4"/>
        <w:spacing w:before="10"/>
        <w:rPr>
          <w:sz w:val="17"/>
        </w:rPr>
      </w:pP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${sx_oneSaid}</w:t>
      </w:r>
    </w:p>
    <w:p>
      <w:pPr>
        <w:pStyle w:val="9"/>
        <w:numPr>
          <w:ilvl w:val="0"/>
          <w:numId w:val="0"/>
        </w:numPr>
        <w:tabs>
          <w:tab w:val="left" w:pos="404"/>
        </w:tabs>
        <w:spacing w:before="204" w:after="0" w:line="240" w:lineRule="auto"/>
        <w:ind w:left="101" w:leftChars="0" w:right="0" w:rightChars="0"/>
        <w:jc w:val="left"/>
        <w:rPr>
          <w:rFonts w:ascii="宋体" w:hAnsi="宋体" w:eastAsia="宋体" w:cs="宋体"/>
          <w:b/>
          <w:bCs/>
          <w:w w:val="105"/>
          <w:kern w:val="2"/>
          <w:sz w:val="21"/>
          <w:szCs w:val="21"/>
          <w:lang w:val="zh-CN" w:eastAsia="zh-CN" w:bidi="zh-CN"/>
        </w:rPr>
      </w:pPr>
      <w:r>
        <w:rPr>
          <w:rFonts w:ascii="宋体" w:hAnsi="宋体" w:eastAsia="宋体" w:cs="宋体"/>
          <w:b/>
          <w:bCs/>
          <w:w w:val="105"/>
          <w:kern w:val="2"/>
          <w:sz w:val="21"/>
          <w:szCs w:val="21"/>
          <w:lang w:val="zh-CN" w:eastAsia="zh-CN" w:bidi="zh-CN"/>
        </w:rPr>
        <w:t>${sx_ocr}</w:t>
      </w:r>
    </w:p>
    <w:p>
      <w:pPr>
        <w:pStyle w:val="4"/>
        <w:spacing w:before="10"/>
        <w:rPr>
          <w:b/>
          <w:bCs/>
          <w:sz w:val="17"/>
        </w:rPr>
      </w:pPr>
    </w:p>
    <w:sectPr>
      <w:pgSz w:w="11906" w:h="16838"/>
      <w:pgMar w:top="1440" w:right="1800"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24C8D"/>
    <w:rsid w:val="024546FD"/>
    <w:rsid w:val="03CD44EF"/>
    <w:rsid w:val="077F6C6C"/>
    <w:rsid w:val="099F9FEF"/>
    <w:rsid w:val="0A2A4801"/>
    <w:rsid w:val="0A5B4C6B"/>
    <w:rsid w:val="0AE31AAB"/>
    <w:rsid w:val="0E0169E5"/>
    <w:rsid w:val="0FE792CA"/>
    <w:rsid w:val="13B7D579"/>
    <w:rsid w:val="14A36E16"/>
    <w:rsid w:val="15FF68E3"/>
    <w:rsid w:val="169F3F6D"/>
    <w:rsid w:val="16CF525C"/>
    <w:rsid w:val="17F99B94"/>
    <w:rsid w:val="18FE9F82"/>
    <w:rsid w:val="197F33CE"/>
    <w:rsid w:val="1B748664"/>
    <w:rsid w:val="1C7A493C"/>
    <w:rsid w:val="1DB25011"/>
    <w:rsid w:val="1DCF50AB"/>
    <w:rsid w:val="1F1D221D"/>
    <w:rsid w:val="1F39A903"/>
    <w:rsid w:val="1F7F47C2"/>
    <w:rsid w:val="1FFB816D"/>
    <w:rsid w:val="20772D2A"/>
    <w:rsid w:val="226A3A4E"/>
    <w:rsid w:val="25341554"/>
    <w:rsid w:val="25794BCA"/>
    <w:rsid w:val="266C70EC"/>
    <w:rsid w:val="27AD6A27"/>
    <w:rsid w:val="29B625A7"/>
    <w:rsid w:val="2AC604E0"/>
    <w:rsid w:val="2B9023A2"/>
    <w:rsid w:val="2BB1B865"/>
    <w:rsid w:val="2D9D5900"/>
    <w:rsid w:val="2E0D2357"/>
    <w:rsid w:val="2EEF14AC"/>
    <w:rsid w:val="2FDB4338"/>
    <w:rsid w:val="2FE95709"/>
    <w:rsid w:val="2FFD1EFB"/>
    <w:rsid w:val="30235746"/>
    <w:rsid w:val="313F5A54"/>
    <w:rsid w:val="3377416C"/>
    <w:rsid w:val="33B675C6"/>
    <w:rsid w:val="33DAE6A8"/>
    <w:rsid w:val="33F78687"/>
    <w:rsid w:val="35A15D69"/>
    <w:rsid w:val="35FD866C"/>
    <w:rsid w:val="35FDCF71"/>
    <w:rsid w:val="364DABB2"/>
    <w:rsid w:val="365D83B2"/>
    <w:rsid w:val="36C4601B"/>
    <w:rsid w:val="37DF0CB0"/>
    <w:rsid w:val="37F77094"/>
    <w:rsid w:val="389BC5FC"/>
    <w:rsid w:val="38F0640F"/>
    <w:rsid w:val="39F16D20"/>
    <w:rsid w:val="3AFB0DB2"/>
    <w:rsid w:val="3AFFFE72"/>
    <w:rsid w:val="3B9C022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A85B68"/>
    <w:rsid w:val="410730C9"/>
    <w:rsid w:val="42211E96"/>
    <w:rsid w:val="42E67009"/>
    <w:rsid w:val="43F139E3"/>
    <w:rsid w:val="466D24D5"/>
    <w:rsid w:val="477B7EF2"/>
    <w:rsid w:val="477D0513"/>
    <w:rsid w:val="47FE84ED"/>
    <w:rsid w:val="48AC0C75"/>
    <w:rsid w:val="492F34B8"/>
    <w:rsid w:val="49FD65F7"/>
    <w:rsid w:val="4A225FE3"/>
    <w:rsid w:val="4A7517C4"/>
    <w:rsid w:val="4BEB1F41"/>
    <w:rsid w:val="4BFF4790"/>
    <w:rsid w:val="4C1F3155"/>
    <w:rsid w:val="4D444718"/>
    <w:rsid w:val="4DFB74F8"/>
    <w:rsid w:val="4E390B74"/>
    <w:rsid w:val="4F9B7FA5"/>
    <w:rsid w:val="4FDC2F87"/>
    <w:rsid w:val="4FFFA3A6"/>
    <w:rsid w:val="51FE78C7"/>
    <w:rsid w:val="53AF4EE3"/>
    <w:rsid w:val="547F027C"/>
    <w:rsid w:val="54DE74D9"/>
    <w:rsid w:val="56EB4299"/>
    <w:rsid w:val="56FFE628"/>
    <w:rsid w:val="57334047"/>
    <w:rsid w:val="5737C9A4"/>
    <w:rsid w:val="573BB163"/>
    <w:rsid w:val="574346D9"/>
    <w:rsid w:val="575E0F50"/>
    <w:rsid w:val="576285A9"/>
    <w:rsid w:val="57FE1C6C"/>
    <w:rsid w:val="57FF8BF8"/>
    <w:rsid w:val="5954C980"/>
    <w:rsid w:val="59B3076D"/>
    <w:rsid w:val="59FBCE06"/>
    <w:rsid w:val="5AFF5CB3"/>
    <w:rsid w:val="5AFF5F94"/>
    <w:rsid w:val="5B0F3E70"/>
    <w:rsid w:val="5B3B8FB6"/>
    <w:rsid w:val="5BA02A45"/>
    <w:rsid w:val="5BCF6825"/>
    <w:rsid w:val="5BFDA8E1"/>
    <w:rsid w:val="5DBD12E3"/>
    <w:rsid w:val="5DBD7928"/>
    <w:rsid w:val="5DFDDEAC"/>
    <w:rsid w:val="5DFFF1BE"/>
    <w:rsid w:val="5E5F3E3A"/>
    <w:rsid w:val="5E69D5C0"/>
    <w:rsid w:val="5E9F37E7"/>
    <w:rsid w:val="5EAF8341"/>
    <w:rsid w:val="5EBF32C0"/>
    <w:rsid w:val="5ED2D0C1"/>
    <w:rsid w:val="5EF59B5A"/>
    <w:rsid w:val="5EF7C515"/>
    <w:rsid w:val="5F2393E2"/>
    <w:rsid w:val="5F2D8885"/>
    <w:rsid w:val="5F2E3F43"/>
    <w:rsid w:val="5F3FACB7"/>
    <w:rsid w:val="5F5B5D1A"/>
    <w:rsid w:val="5F7DC7BD"/>
    <w:rsid w:val="5F887F2B"/>
    <w:rsid w:val="5F9E9BE7"/>
    <w:rsid w:val="5FB34154"/>
    <w:rsid w:val="5FB71D2C"/>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EC6D8E"/>
    <w:rsid w:val="65FF809B"/>
    <w:rsid w:val="65FF9E89"/>
    <w:rsid w:val="677F9BCB"/>
    <w:rsid w:val="67D6B30A"/>
    <w:rsid w:val="67E68AC8"/>
    <w:rsid w:val="67ED942C"/>
    <w:rsid w:val="67F89262"/>
    <w:rsid w:val="67FB3E7F"/>
    <w:rsid w:val="67FF6BFF"/>
    <w:rsid w:val="69F82C7E"/>
    <w:rsid w:val="69FD5DAD"/>
    <w:rsid w:val="6AFBA163"/>
    <w:rsid w:val="6B630D86"/>
    <w:rsid w:val="6B7D5CCB"/>
    <w:rsid w:val="6B7EF021"/>
    <w:rsid w:val="6BBDA28F"/>
    <w:rsid w:val="6BDD16E0"/>
    <w:rsid w:val="6BF574B6"/>
    <w:rsid w:val="6BF738B6"/>
    <w:rsid w:val="6C5F4DE1"/>
    <w:rsid w:val="6C6B524D"/>
    <w:rsid w:val="6CF5FEB4"/>
    <w:rsid w:val="6D6BB1A3"/>
    <w:rsid w:val="6DFED6AE"/>
    <w:rsid w:val="6E5D857F"/>
    <w:rsid w:val="6EEF6F8E"/>
    <w:rsid w:val="6F605B4D"/>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3FD6D2B"/>
    <w:rsid w:val="74D68DFA"/>
    <w:rsid w:val="74FA8977"/>
    <w:rsid w:val="74FFE0C7"/>
    <w:rsid w:val="75FBA4C8"/>
    <w:rsid w:val="76BFF1D5"/>
    <w:rsid w:val="76D69D3D"/>
    <w:rsid w:val="76E7CBB7"/>
    <w:rsid w:val="76FEF56E"/>
    <w:rsid w:val="77599002"/>
    <w:rsid w:val="777EAE86"/>
    <w:rsid w:val="778372CE"/>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BC6DF6"/>
    <w:rsid w:val="78D7B8E5"/>
    <w:rsid w:val="78DDAD44"/>
    <w:rsid w:val="78F7BBC3"/>
    <w:rsid w:val="79BD5AAD"/>
    <w:rsid w:val="79DF75A0"/>
    <w:rsid w:val="7A153E07"/>
    <w:rsid w:val="7A158BF6"/>
    <w:rsid w:val="7A5F4EB1"/>
    <w:rsid w:val="7A7BE200"/>
    <w:rsid w:val="7AAACADD"/>
    <w:rsid w:val="7AB60EAF"/>
    <w:rsid w:val="7ABD49B9"/>
    <w:rsid w:val="7ABF86F4"/>
    <w:rsid w:val="7AF3BD62"/>
    <w:rsid w:val="7AFFB90D"/>
    <w:rsid w:val="7B378B0E"/>
    <w:rsid w:val="7B7CF697"/>
    <w:rsid w:val="7B7F4E11"/>
    <w:rsid w:val="7B950001"/>
    <w:rsid w:val="7B9C270A"/>
    <w:rsid w:val="7BCEB537"/>
    <w:rsid w:val="7BE7789B"/>
    <w:rsid w:val="7BEE10DC"/>
    <w:rsid w:val="7BEE58F9"/>
    <w:rsid w:val="7BF75684"/>
    <w:rsid w:val="7BFAE620"/>
    <w:rsid w:val="7C9FA30E"/>
    <w:rsid w:val="7CB20A74"/>
    <w:rsid w:val="7CDEBA93"/>
    <w:rsid w:val="7CDF84B4"/>
    <w:rsid w:val="7CFB03BC"/>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AAE7E0A"/>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507F1"/>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BD3D3E"/>
    <w:rsid w:val="E7DD02D4"/>
    <w:rsid w:val="E7DD2398"/>
    <w:rsid w:val="E7EF872A"/>
    <w:rsid w:val="E7FFA3E7"/>
    <w:rsid w:val="E7FFEB96"/>
    <w:rsid w:val="E7FFFD8B"/>
    <w:rsid w:val="E9FB3ABB"/>
    <w:rsid w:val="EA8F43A3"/>
    <w:rsid w:val="EAAF6036"/>
    <w:rsid w:val="EB5F9C51"/>
    <w:rsid w:val="EB6F4DC8"/>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0F326DD"/>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BD18EE"/>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EFD421"/>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EC0157"/>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2020-09-27T16:58:00Z</dcterms:created>
  <dc:creator>wanghan</dc:creator>
  <cp:lastModifiedBy>wanghan</cp:lastModifiedBy>
  <dcterms:modified xsi:type="dcterms:W3CDTF">2021-05-17T10:21:32Z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