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6"/>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rPr>
          <w:trHeight w:val="573" w:hRule="atLeast"/>
        </w:trPr>
        <w:tc>
          <w:tcPr>
            <w:tcW w:w="1560"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企业业务、企业股东层稳定性、履约能力方面分析，抗风险能力较强</w:t>
            </w:r>
          </w:p>
        </w:tc>
      </w:tr>
    </w:tbl>
    <w:p>
      <w:pPr>
        <w:pStyle w:val="4"/>
        <w:spacing w:before="1"/>
        <w:rPr>
          <w:sz w:val="28"/>
        </w:rPr>
      </w:pPr>
    </w:p>
    <w:tbl>
      <w:tblPr>
        <w:tblStyle w:val="6"/>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455"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rFonts w:hint="eastAsia" w:eastAsia="宋体"/>
                <w:sz w:val="18"/>
                <w:szCs w:val="18"/>
                <w:lang w:val="en-US" w:eastAsia="zh-Hans"/>
              </w:rPr>
            </w:pPr>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qyczx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qyzczz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2"/>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2"/>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qyrjcn</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3"/>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3"/>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bl>
    <w:p>
      <w:pP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注：标“--”项一般指未分析到与该指标有关的发展行为。</w:t>
      </w:r>
    </w:p>
    <w:tbl>
      <w:tblPr>
        <w:tblStyle w:val="6"/>
        <w:tblW w:w="8782"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35"/>
        <w:gridCol w:w="734"/>
        <w:gridCol w:w="3613"/>
        <w:gridCol w:w="27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28" w:hRule="atLeast"/>
        </w:trPr>
        <w:tc>
          <w:tcPr>
            <w:tcW w:w="1735"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eastAsia="宋体"/>
                <w:sz w:val="19"/>
                <w:lang w:val="en-US" w:eastAsia="zh-Hans"/>
              </w:rPr>
              <w:t>指标名称</w:t>
            </w:r>
          </w:p>
        </w:tc>
        <w:tc>
          <w:tcPr>
            <w:tcW w:w="734"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值</w:t>
            </w:r>
          </w:p>
        </w:tc>
        <w:tc>
          <w:tcPr>
            <w:tcW w:w="3613"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eastAsia="宋体"/>
                <w:color w:val="333333"/>
                <w:sz w:val="19"/>
                <w:lang w:val="en-US" w:eastAsia="zh-Hans"/>
              </w:rPr>
              <w:t>能力等级</w:t>
            </w:r>
          </w:p>
        </w:tc>
        <w:tc>
          <w:tcPr>
            <w:tcW w:w="2700"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eastAsia="宋体"/>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52" w:hRule="atLeast"/>
        </w:trPr>
        <w:tc>
          <w:tcPr>
            <w:tcW w:w="1735" w:type="dxa"/>
            <w:tcBorders>
              <w:top w:val="single" w:color="7F7F7F" w:sz="6" w:space="0"/>
              <w:bottom w:val="single" w:color="7F7F7F" w:sz="6" w:space="0"/>
              <w:right w:val="single" w:color="7F7F7F" w:sz="6" w:space="0"/>
            </w:tcBorders>
            <w:vAlign w:val="center"/>
          </w:tcPr>
          <w:p>
            <w:pPr>
              <w:pStyle w:val="8"/>
              <w:spacing w:before="132"/>
              <w:ind w:left="283" w:right="271"/>
              <w:jc w:val="center"/>
              <w:rPr>
                <w:rFonts w:hint="eastAsia" w:eastAsia="宋体"/>
                <w:sz w:val="18"/>
                <w:szCs w:val="18"/>
                <w:lang w:val="en-US" w:eastAsia="zh-Hans"/>
              </w:rPr>
            </w:pPr>
            <w:r>
              <w:rPr>
                <w:rFonts w:hint="eastAsia"/>
                <w:sz w:val="18"/>
                <w:szCs w:val="18"/>
                <w:lang w:val="en-US" w:eastAsia="zh-Hans"/>
              </w:rPr>
              <w:t>企业成长性状况</w:t>
            </w:r>
          </w:p>
        </w:tc>
        <w:tc>
          <w:tcPr>
            <w:tcW w:w="734"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qyczx</w:t>
            </w:r>
            <w:r>
              <w:rPr>
                <w:sz w:val="18"/>
                <w:szCs w:val="18"/>
              </w:rPr>
              <w:t>_s}</w:t>
            </w:r>
          </w:p>
        </w:tc>
        <w:tc>
          <w:tcPr>
            <w:tcW w:w="3613" w:type="dxa"/>
            <w:tcBorders>
              <w:top w:val="single" w:color="7F7F7F" w:sz="6" w:space="0"/>
              <w:left w:val="single" w:color="7F7F7F" w:sz="6" w:space="0"/>
              <w:bottom w:val="single" w:color="7F7F7F" w:sz="6" w:space="0"/>
            </w:tcBorders>
            <w:vAlign w:val="center"/>
          </w:tcPr>
          <w:p>
            <w:pPr>
              <w:pStyle w:val="8"/>
              <w:numPr>
                <w:numId w:val="0"/>
              </w:numPr>
              <w:spacing w:before="36" w:line="225" w:lineRule="auto"/>
              <w:ind w:right="122" w:rightChars="0"/>
              <w:jc w:val="center"/>
              <w:rPr>
                <w:rFonts w:hint="eastAsia"/>
                <w:color w:val="333333"/>
                <w:sz w:val="18"/>
                <w:szCs w:val="18"/>
              </w:rPr>
            </w:pPr>
            <w:r>
              <w:rPr>
                <w:rFonts w:hint="default"/>
                <w:color w:val="333333"/>
                <w:sz w:val="18"/>
                <w:szCs w:val="18"/>
              </w:rPr>
              <w:t>${wanghanpic1}</w:t>
            </w:r>
          </w:p>
        </w:tc>
        <w:tc>
          <w:tcPr>
            <w:tcW w:w="2700" w:type="dxa"/>
            <w:tcBorders>
              <w:top w:val="single" w:color="7F7F7F" w:sz="6" w:space="0"/>
              <w:left w:val="single" w:color="7F7F7F" w:sz="6" w:space="0"/>
              <w:bottom w:val="single" w:color="7F7F7F" w:sz="6" w:space="0"/>
            </w:tcBorders>
            <w:vAlign w:val="center"/>
          </w:tcPr>
          <w:p>
            <w:pPr>
              <w:pStyle w:val="8"/>
              <w:numPr>
                <w:numId w:val="0"/>
              </w:numPr>
              <w:spacing w:before="36" w:line="225" w:lineRule="auto"/>
              <w:ind w:right="122" w:rightChars="0"/>
              <w:jc w:val="both"/>
              <w:rPr>
                <w:rFonts w:hint="eastAsia"/>
                <w:color w:val="333333"/>
                <w:sz w:val="18"/>
                <w:szCs w:val="18"/>
              </w:rPr>
            </w:pPr>
            <w:r>
              <w:rPr>
                <w:rFonts w:hint="eastAsia"/>
                <w:color w:val="333333"/>
                <w:sz w:val="18"/>
                <w:szCs w:val="18"/>
              </w:rPr>
              <w:t>1.按0分到100分划分，评分越高，企业发展与经营的增速越高</w:t>
            </w:r>
          </w:p>
          <w:p>
            <w:pPr>
              <w:pStyle w:val="8"/>
              <w:numPr>
                <w:numId w:val="0"/>
              </w:numPr>
              <w:spacing w:before="36" w:line="225" w:lineRule="auto"/>
              <w:ind w:right="122" w:rightChars="0"/>
              <w:jc w:val="both"/>
              <w:rPr>
                <w:rFonts w:hint="eastAsia"/>
                <w:color w:val="333333"/>
                <w:sz w:val="18"/>
                <w:szCs w:val="18"/>
              </w:rPr>
            </w:pPr>
          </w:p>
          <w:p>
            <w:pPr>
              <w:pStyle w:val="8"/>
              <w:numPr>
                <w:numId w:val="0"/>
              </w:numPr>
              <w:spacing w:before="36" w:line="225" w:lineRule="auto"/>
              <w:ind w:right="122" w:rightChars="0"/>
              <w:jc w:val="both"/>
              <w:rPr>
                <w:rFonts w:hint="eastAsia"/>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86" w:hRule="atLeast"/>
        </w:trPr>
        <w:tc>
          <w:tcPr>
            <w:tcW w:w="173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企业资产周转能力</w:t>
            </w:r>
          </w:p>
        </w:tc>
        <w:tc>
          <w:tcPr>
            <w:tcW w:w="734"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qyzczz</w:t>
            </w:r>
            <w:r>
              <w:rPr>
                <w:sz w:val="18"/>
                <w:szCs w:val="18"/>
              </w:rPr>
              <w:t>_s}</w:t>
            </w:r>
          </w:p>
        </w:tc>
        <w:tc>
          <w:tcPr>
            <w:tcW w:w="3613" w:type="dxa"/>
            <w:tcBorders>
              <w:top w:val="single" w:color="7F7F7F" w:sz="6" w:space="0"/>
              <w:left w:val="single" w:color="7F7F7F" w:sz="6" w:space="0"/>
              <w:bottom w:val="single" w:color="7F7F7F" w:sz="6" w:space="0"/>
            </w:tcBorders>
            <w:vAlign w:val="center"/>
          </w:tcPr>
          <w:p>
            <w:pPr>
              <w:pStyle w:val="8"/>
              <w:numPr>
                <w:numId w:val="0"/>
              </w:numPr>
              <w:spacing w:before="24"/>
              <w:jc w:val="center"/>
              <w:rPr>
                <w:rFonts w:hint="eastAsia"/>
                <w:color w:val="333333"/>
                <w:sz w:val="18"/>
                <w:szCs w:val="18"/>
              </w:rPr>
            </w:pPr>
            <w:r>
              <w:rPr>
                <w:rFonts w:hint="default"/>
                <w:color w:val="333333"/>
                <w:sz w:val="18"/>
                <w:szCs w:val="18"/>
              </w:rPr>
              <w:t>${wanghanpic</w:t>
            </w:r>
            <w:r>
              <w:rPr>
                <w:rFonts w:hint="default"/>
                <w:color w:val="333333"/>
                <w:sz w:val="18"/>
                <w:szCs w:val="18"/>
              </w:rPr>
              <w:t>2</w:t>
            </w:r>
            <w:r>
              <w:rPr>
                <w:rFonts w:hint="default"/>
                <w:color w:val="333333"/>
                <w:sz w:val="18"/>
                <w:szCs w:val="18"/>
              </w:rPr>
              <w:t>}</w:t>
            </w:r>
          </w:p>
        </w:tc>
        <w:tc>
          <w:tcPr>
            <w:tcW w:w="2700" w:type="dxa"/>
            <w:tcBorders>
              <w:top w:val="single" w:color="7F7F7F" w:sz="6" w:space="0"/>
              <w:left w:val="single" w:color="7F7F7F" w:sz="6" w:space="0"/>
              <w:bottom w:val="single" w:color="7F7F7F" w:sz="6" w:space="0"/>
            </w:tcBorders>
            <w:vAlign w:val="center"/>
          </w:tcPr>
          <w:p>
            <w:pPr>
              <w:pStyle w:val="8"/>
              <w:numPr>
                <w:numId w:val="0"/>
              </w:numPr>
              <w:spacing w:before="24"/>
              <w:jc w:val="both"/>
              <w:rPr>
                <w:rFonts w:hint="eastAsia"/>
                <w:color w:val="333333"/>
                <w:sz w:val="18"/>
                <w:szCs w:val="18"/>
              </w:rPr>
            </w:pPr>
            <w:r>
              <w:rPr>
                <w:rFonts w:hint="eastAsia"/>
                <w:color w:val="333333"/>
                <w:sz w:val="18"/>
                <w:szCs w:val="18"/>
              </w:rPr>
              <w:t>1.按0分到100分划分，评分越高，企业发展与经营的增速越高</w:t>
            </w:r>
          </w:p>
          <w:p>
            <w:pPr>
              <w:pStyle w:val="8"/>
              <w:numPr>
                <w:numId w:val="0"/>
              </w:numPr>
              <w:spacing w:before="24"/>
              <w:jc w:val="both"/>
              <w:rPr>
                <w:rFonts w:hint="eastAsia"/>
                <w:color w:val="333333"/>
                <w:sz w:val="18"/>
                <w:szCs w:val="18"/>
              </w:rPr>
            </w:pPr>
          </w:p>
          <w:p>
            <w:pPr>
              <w:pStyle w:val="8"/>
              <w:numPr>
                <w:numId w:val="0"/>
              </w:numPr>
              <w:spacing w:before="24"/>
              <w:jc w:val="both"/>
              <w:rPr>
                <w:rFonts w:hint="eastAsia"/>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0" w:hRule="atLeast"/>
        </w:trPr>
        <w:tc>
          <w:tcPr>
            <w:tcW w:w="173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企业人均产能</w:t>
            </w:r>
          </w:p>
        </w:tc>
        <w:tc>
          <w:tcPr>
            <w:tcW w:w="734"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qyrjcn</w:t>
            </w:r>
            <w:r>
              <w:rPr>
                <w:sz w:val="18"/>
                <w:szCs w:val="18"/>
              </w:rPr>
              <w:t>_s}</w:t>
            </w:r>
          </w:p>
        </w:tc>
        <w:tc>
          <w:tcPr>
            <w:tcW w:w="3613" w:type="dxa"/>
            <w:tcBorders>
              <w:top w:val="single" w:color="7F7F7F" w:sz="6" w:space="0"/>
              <w:left w:val="single" w:color="7F7F7F" w:sz="6" w:space="0"/>
              <w:bottom w:val="single" w:color="7F7F7F" w:sz="6" w:space="0"/>
            </w:tcBorders>
            <w:vAlign w:val="center"/>
          </w:tcPr>
          <w:p>
            <w:pPr>
              <w:pStyle w:val="8"/>
              <w:numPr>
                <w:numId w:val="0"/>
              </w:numPr>
              <w:spacing w:before="24"/>
              <w:jc w:val="center"/>
              <w:rPr>
                <w:rFonts w:hint="eastAsia"/>
                <w:color w:val="333333"/>
                <w:sz w:val="18"/>
                <w:szCs w:val="18"/>
              </w:rPr>
            </w:pPr>
            <w:r>
              <w:rPr>
                <w:rFonts w:hint="default"/>
                <w:color w:val="333333"/>
                <w:sz w:val="18"/>
                <w:szCs w:val="18"/>
              </w:rPr>
              <w:t>${wanghanpic</w:t>
            </w:r>
            <w:r>
              <w:rPr>
                <w:rFonts w:hint="default"/>
                <w:color w:val="333333"/>
                <w:sz w:val="18"/>
                <w:szCs w:val="18"/>
              </w:rPr>
              <w:t>3</w:t>
            </w:r>
            <w:bookmarkStart w:id="0" w:name="_GoBack"/>
            <w:bookmarkEnd w:id="0"/>
            <w:r>
              <w:rPr>
                <w:rFonts w:hint="default"/>
                <w:color w:val="333333"/>
                <w:sz w:val="18"/>
                <w:szCs w:val="18"/>
              </w:rPr>
              <w:t>}</w:t>
            </w:r>
          </w:p>
        </w:tc>
        <w:tc>
          <w:tcPr>
            <w:tcW w:w="2700" w:type="dxa"/>
            <w:tcBorders>
              <w:top w:val="single" w:color="7F7F7F" w:sz="6" w:space="0"/>
              <w:left w:val="single" w:color="7F7F7F" w:sz="6" w:space="0"/>
              <w:bottom w:val="single" w:color="7F7F7F" w:sz="6" w:space="0"/>
            </w:tcBorders>
            <w:vAlign w:val="center"/>
          </w:tcPr>
          <w:p>
            <w:pPr>
              <w:pStyle w:val="8"/>
              <w:numPr>
                <w:numId w:val="0"/>
              </w:numPr>
              <w:spacing w:before="24"/>
              <w:jc w:val="both"/>
              <w:rPr>
                <w:rFonts w:hint="eastAsia"/>
                <w:color w:val="333333"/>
                <w:sz w:val="18"/>
                <w:szCs w:val="18"/>
              </w:rPr>
            </w:pPr>
            <w:r>
              <w:rPr>
                <w:rFonts w:hint="eastAsia"/>
                <w:color w:val="333333"/>
                <w:sz w:val="18"/>
                <w:szCs w:val="18"/>
              </w:rPr>
              <w:t>1.按0分到100分划分，评分越高，企业发展与经营的增速越高</w:t>
            </w:r>
          </w:p>
          <w:p>
            <w:pPr>
              <w:pStyle w:val="8"/>
              <w:numPr>
                <w:numId w:val="0"/>
              </w:numPr>
              <w:spacing w:before="24"/>
              <w:jc w:val="both"/>
              <w:rPr>
                <w:rFonts w:hint="eastAsia"/>
                <w:color w:val="333333"/>
                <w:sz w:val="18"/>
                <w:szCs w:val="18"/>
              </w:rPr>
            </w:pPr>
          </w:p>
          <w:p>
            <w:pPr>
              <w:pStyle w:val="8"/>
              <w:numPr>
                <w:numId w:val="0"/>
              </w:numPr>
              <w:spacing w:before="24"/>
              <w:jc w:val="both"/>
              <w:rPr>
                <w:rFonts w:hint="eastAsia"/>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bl>
    <w:p>
      <w:pPr>
        <w:rPr>
          <w:rFonts w:hint="eastAsia" w:asciiTheme="majorEastAsia" w:hAnsiTheme="majorEastAsia" w:eastAsiaTheme="majorEastAsia" w:cstheme="majorEastAsia"/>
          <w:sz w:val="18"/>
          <w:szCs w:val="18"/>
        </w:rPr>
      </w:pPr>
    </w:p>
    <w:p>
      <w:pPr>
        <w:rPr>
          <w:rFonts w:ascii="Arial Unicode MS"/>
          <w:sz w:val="24"/>
        </w:rPr>
      </w:pPr>
      <w:r>
        <w:rPr>
          <w:rFonts w:ascii="Arial Unicode MS"/>
          <w:sz w:val="24"/>
        </w:rPr>
        <w:br w:type="page"/>
      </w:r>
    </w:p>
    <w:p>
      <w:pPr>
        <w:rPr>
          <w:rFonts w:ascii="Arial Unicode MS"/>
          <w:sz w:val="24"/>
        </w:rPr>
      </w:pPr>
    </w:p>
    <w:p>
      <w:pPr>
        <w:spacing w:after="0"/>
        <w:jc w:val="both"/>
        <w:rPr>
          <w:rFonts w:ascii="Arial Unicode MS"/>
          <w:sz w:val="24"/>
        </w:rPr>
      </w:pPr>
    </w:p>
    <w:p>
      <w:pPr>
        <w:pStyle w:val="2"/>
        <w:numPr>
          <w:ilvl w:val="0"/>
          <w:numId w:val="4"/>
        </w:numPr>
        <w:tabs>
          <w:tab w:val="left" w:pos="404"/>
        </w:tabs>
        <w:spacing w:before="0" w:after="45" w:line="585" w:lineRule="exact"/>
        <w:ind w:left="403" w:right="0" w:hanging="302"/>
        <w:jc w:val="left"/>
      </w:pPr>
      <w:r>
        <w:t>基本信息</w:t>
      </w:r>
    </w:p>
    <w:tbl>
      <w:tblPr>
        <w:tblStyle w:val="6"/>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rPr>
          <w:trHeight w:val="345" w:hRule="atLeast"/>
        </w:trPr>
        <w:tc>
          <w:tcPr>
            <w:tcW w:w="8746"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${END</w:t>
            </w:r>
            <w:r>
              <w:rPr>
                <w:rFonts w:hint="eastAsia"/>
                <w:color w:val="333333"/>
                <w:sz w:val="19"/>
              </w:rPr>
              <w:t>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vAlign w:val="center"/>
          </w:tcPr>
          <w:p>
            <w:pPr>
              <w:pStyle w:val="8"/>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4"/>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4"/>
        </w:numPr>
        <w:tabs>
          <w:tab w:val="left" w:pos="404"/>
        </w:tabs>
        <w:spacing w:before="197" w:after="0" w:line="240" w:lineRule="auto"/>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4"/>
        </w:numPr>
        <w:tabs>
          <w:tab w:val="left" w:pos="404"/>
        </w:tabs>
        <w:spacing w:before="197" w:after="0" w:line="240" w:lineRule="auto"/>
        <w:ind w:left="403" w:right="0" w:hanging="302"/>
        <w:jc w:val="left"/>
      </w:pPr>
      <w:r>
        <w:t>创新能力</w:t>
      </w:r>
    </w:p>
    <w:p>
      <w:pPr>
        <w:pStyle w:val="3"/>
        <w:numPr>
          <w:ilvl w:val="1"/>
          <w:numId w:val="4"/>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${zl_ocr}</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4"/>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9"/>
        <w:numPr>
          <w:ilvl w:val="0"/>
          <w:numId w:val="0"/>
        </w:numPr>
        <w:tabs>
          <w:tab w:val="left" w:pos="404"/>
        </w:tabs>
        <w:spacing w:before="204" w:after="0" w:line="240" w:lineRule="auto"/>
        <w:ind w:right="0" w:rightChars="0"/>
        <w:jc w:val="left"/>
        <w:rPr>
          <w:sz w:val="36"/>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${rjzzq_ocr}</w:t>
      </w:r>
    </w:p>
    <w:p>
      <w:pPr>
        <w:pStyle w:val="9"/>
        <w:numPr>
          <w:ilvl w:val="0"/>
          <w:numId w:val="0"/>
        </w:numPr>
        <w:tabs>
          <w:tab w:val="left" w:pos="404"/>
        </w:tabs>
        <w:spacing w:before="204" w:after="0" w:line="240" w:lineRule="auto"/>
        <w:ind w:right="0" w:rightChars="0"/>
        <w:jc w:val="left"/>
        <w:rPr>
          <w:sz w:val="36"/>
        </w:rPr>
      </w:pPr>
    </w:p>
    <w:p>
      <w:pPr>
        <w:pStyle w:val="2"/>
        <w:numPr>
          <w:ilvl w:val="0"/>
          <w:numId w:val="4"/>
        </w:numPr>
        <w:tabs>
          <w:tab w:val="left" w:pos="404"/>
        </w:tabs>
        <w:spacing w:before="197" w:after="0" w:line="240" w:lineRule="auto"/>
        <w:ind w:left="403" w:right="0" w:hanging="302"/>
        <w:jc w:val="left"/>
      </w:pPr>
      <w:r>
        <w:t>行政管理信息</w:t>
      </w:r>
    </w:p>
    <w:p>
      <w:pPr>
        <w:pStyle w:val="3"/>
        <w:numPr>
          <w:ilvl w:val="1"/>
          <w:numId w:val="4"/>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${xzxk_ocr}</w:t>
      </w:r>
    </w:p>
    <w:p>
      <w:pPr>
        <w:pStyle w:val="9"/>
        <w:numPr>
          <w:ilvl w:val="0"/>
          <w:numId w:val="0"/>
        </w:numPr>
        <w:tabs>
          <w:tab w:val="left" w:pos="404"/>
        </w:tabs>
        <w:spacing w:before="204" w:after="0" w:line="240" w:lineRule="auto"/>
        <w:ind w:right="0" w:rightChars="0"/>
        <w:jc w:val="left"/>
        <w:rPr>
          <w:sz w:val="36"/>
        </w:rPr>
      </w:pPr>
    </w:p>
    <w:p>
      <w:pPr>
        <w:pStyle w:val="3"/>
        <w:numPr>
          <w:ilvl w:val="1"/>
          <w:numId w:val="4"/>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${xzcf_ocr}</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4"/>
        </w:numPr>
        <w:tabs>
          <w:tab w:val="left" w:pos="604"/>
        </w:tabs>
        <w:spacing w:before="204" w:after="0" w:line="240" w:lineRule="auto"/>
        <w:ind w:left="603" w:right="0" w:hanging="502"/>
        <w:jc w:val="left"/>
        <w:rPr>
          <w:sz w:val="17"/>
        </w:rPr>
      </w:pPr>
      <w:r>
        <w:t>司法涉诉</w:t>
      </w:r>
    </w:p>
    <w:p>
      <w:pPr>
        <w:pStyle w:val="3"/>
        <w:numPr>
          <w:ilvl w:val="1"/>
          <w:numId w:val="4"/>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${cpws_ocr}</w:t>
      </w:r>
    </w:p>
    <w:p>
      <w:pPr>
        <w:pStyle w:val="4"/>
        <w:spacing w:before="3"/>
        <w:rPr>
          <w:sz w:val="17"/>
        </w:rPr>
      </w:pPr>
    </w:p>
    <w:p>
      <w:pPr>
        <w:pStyle w:val="3"/>
        <w:numPr>
          <w:ilvl w:val="1"/>
          <w:numId w:val="4"/>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${zxgg_ocr}</w:t>
      </w:r>
    </w:p>
    <w:p>
      <w:pPr>
        <w:pStyle w:val="4"/>
        <w:spacing w:before="10"/>
        <w:rPr>
          <w:sz w:val="17"/>
        </w:rPr>
      </w:pPr>
    </w:p>
    <w:p>
      <w:pPr>
        <w:pStyle w:val="3"/>
        <w:numPr>
          <w:ilvl w:val="1"/>
          <w:numId w:val="4"/>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${sx_ocr}</w:t>
      </w:r>
    </w:p>
    <w:p>
      <w:pPr>
        <w:pStyle w:val="4"/>
        <w:spacing w:before="10"/>
        <w:rPr>
          <w:b/>
          <w:bCs/>
          <w:sz w:val="17"/>
        </w:rPr>
      </w:pP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隶书">
    <w:altName w:val="报隶-简"/>
    <w:panose1 w:val="02010509060101010101"/>
    <w:charset w:val="86"/>
    <w:family w:val="auto"/>
    <w:pitch w:val="default"/>
    <w:sig w:usb0="00000000" w:usb1="00000000" w:usb2="00000000" w:usb3="00000000" w:csb0="00040000" w:csb1="00000000"/>
  </w:font>
  <w:font w:name="报隶-简">
    <w:panose1 w:val="02010600040101010101"/>
    <w:charset w:val="86"/>
    <w:family w:val="auto"/>
    <w:pitch w:val="default"/>
    <w:sig w:usb0="80000287" w:usb1="280F3C52" w:usb2="00000016" w:usb3="00000000" w:csb0="0004001F"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Songti SC Regular">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383"/>
    <w:multiLevelType w:val="singleLevel"/>
    <w:tmpl w:val="606FB383"/>
    <w:lvl w:ilvl="0" w:tentative="0">
      <w:start w:val="1"/>
      <w:numFmt w:val="decimal"/>
      <w:suff w:val="nothing"/>
      <w:lvlText w:val="%1."/>
      <w:lvlJc w:val="left"/>
    </w:lvl>
  </w:abstractNum>
  <w:abstractNum w:abstractNumId="3">
    <w:nsid w:val="606FB39C"/>
    <w:multiLevelType w:val="singleLevel"/>
    <w:tmpl w:val="606FB39C"/>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7D0513"/>
    <w:rsid w:val="47FE84ED"/>
    <w:rsid w:val="48AC0C75"/>
    <w:rsid w:val="492F34B8"/>
    <w:rsid w:val="49FD65F7"/>
    <w:rsid w:val="4A225FE3"/>
    <w:rsid w:val="4A7517C4"/>
    <w:rsid w:val="4BEB1F41"/>
    <w:rsid w:val="4BFF4790"/>
    <w:rsid w:val="4C1F3155"/>
    <w:rsid w:val="4D444718"/>
    <w:rsid w:val="4DFB74F8"/>
    <w:rsid w:val="4E390B74"/>
    <w:rsid w:val="4F9B7FA5"/>
    <w:rsid w:val="4FDC2F87"/>
    <w:rsid w:val="4FDE8E9E"/>
    <w:rsid w:val="4FFFA3A6"/>
    <w:rsid w:val="51FE78C7"/>
    <w:rsid w:val="53AF4EE3"/>
    <w:rsid w:val="547F027C"/>
    <w:rsid w:val="54DE74D9"/>
    <w:rsid w:val="56EB4299"/>
    <w:rsid w:val="56FFE628"/>
    <w:rsid w:val="57334047"/>
    <w:rsid w:val="5737C9A4"/>
    <w:rsid w:val="573BB163"/>
    <w:rsid w:val="574346D9"/>
    <w:rsid w:val="575E0F50"/>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BC6DF6"/>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5D2E6F"/>
    <w:rsid w:val="7B7CF697"/>
    <w:rsid w:val="7B7F4E11"/>
    <w:rsid w:val="7B950001"/>
    <w:rsid w:val="7B9C270A"/>
    <w:rsid w:val="7BCEB537"/>
    <w:rsid w:val="7BE7789B"/>
    <w:rsid w:val="7BEE10DC"/>
    <w:rsid w:val="7BEE58F9"/>
    <w:rsid w:val="7BF75684"/>
    <w:rsid w:val="7BFAE620"/>
    <w:rsid w:val="7C9FA30E"/>
    <w:rsid w:val="7CB20A74"/>
    <w:rsid w:val="7CDEBA93"/>
    <w:rsid w:val="7CDF84B4"/>
    <w:rsid w:val="7CFB03BC"/>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AAE7E0A"/>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507F1"/>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BD3D3E"/>
    <w:rsid w:val="E7DD02D4"/>
    <w:rsid w:val="E7DD2398"/>
    <w:rsid w:val="E7EF872A"/>
    <w:rsid w:val="E7FFA3E7"/>
    <w:rsid w:val="E7FFEB96"/>
    <w:rsid w:val="E7FFFD8B"/>
    <w:rsid w:val="E9FB3ABB"/>
    <w:rsid w:val="EA8F43A3"/>
    <w:rsid w:val="EAAF6036"/>
    <w:rsid w:val="EB5F9C51"/>
    <w:rsid w:val="EB6F4DC8"/>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BA71D"/>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EC0157"/>
    <w:rsid w:val="FFEF7BC9"/>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2020-09-29T00:58:00Z</dcterms:created>
  <dc:creator>wanghan</dc:creator>
  <cp:lastModifiedBy>wanghan</cp:lastModifiedBy>
  <dcterms:modified xsi:type="dcterms:W3CDTF">2021-08-20T10:36:42Z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