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both"/>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both"/>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both"/>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both"/>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both"/>
        <w:rPr>
          <w:sz w:val="24"/>
        </w:rPr>
      </w:pPr>
      <w:r>
        <w:rPr>
          <w:color w:val="333333"/>
          <w:sz w:val="24"/>
        </w:rPr>
        <w:t>五、北京每日信动科技有限公司保留对其信用状态的跟踪观察并根据实际情况及时调整与公布评估报告内容之权力。</w:t>
      </w:r>
    </w:p>
    <w:p>
      <w:pPr>
        <w:pStyle w:val="4"/>
        <w:jc w:val="both"/>
        <w:rPr>
          <w:sz w:val="24"/>
        </w:rPr>
      </w:pPr>
    </w:p>
    <w:p>
      <w:pPr>
        <w:pStyle w:val="4"/>
        <w:rPr>
          <w:sz w:val="24"/>
        </w:rPr>
      </w:pPr>
    </w:p>
    <w:p>
      <w:pPr>
        <w:pStyle w:val="4"/>
        <w:rPr>
          <w:sz w:val="24"/>
        </w:rPr>
      </w:pPr>
    </w:p>
    <w:p>
      <w:pPr>
        <w:spacing w:before="207"/>
        <w:ind w:leftChars="100"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both"/>
        <w:rPr>
          <w:rFonts w:ascii="Arial Unicode MS"/>
          <w:sz w:val="24"/>
        </w:rPr>
      </w:pPr>
    </w:p>
    <w:p>
      <w:pPr>
        <w:rPr>
          <w:sz w:val="29"/>
        </w:rPr>
      </w:pPr>
      <w:r>
        <w:rPr>
          <w:sz w:val="29"/>
        </w:rPr>
        <w:br w:type="page"/>
      </w:r>
    </w:p>
    <w:p>
      <w:pPr>
        <w:spacing w:before="40"/>
        <w:ind w:left="102" w:right="0" w:firstLine="0"/>
        <w:jc w:val="left"/>
        <w:rPr>
          <w:sz w:val="29"/>
        </w:rPr>
      </w:pPr>
    </w:p>
    <w:p>
      <w:pPr>
        <w:spacing w:before="40"/>
        <w:ind w:left="102" w:right="0" w:firstLine="0"/>
        <w:jc w:val="left"/>
        <w:rPr>
          <w:sz w:val="29"/>
        </w:rPr>
      </w:pPr>
      <w:r>
        <w:rPr>
          <w:b/>
          <w:bCs/>
          <w:sz w:val="29"/>
        </w:rPr>
        <w:t>每日信动指数</w:t>
      </w:r>
    </w:p>
    <w:p>
      <w:pPr>
        <w:pStyle w:val="4"/>
        <w:spacing w:before="92"/>
        <w:ind w:left="102"/>
        <w:rPr>
          <w:b/>
          <w:bCs/>
        </w:rPr>
      </w:pPr>
      <w:r>
        <w:rPr>
          <w:b/>
          <w:bCs/>
        </w:rPr>
        <w:t>企业发展指数</w:t>
      </w:r>
    </w:p>
    <w:p>
      <w:pPr>
        <w:pStyle w:val="4"/>
        <w:spacing w:before="92"/>
        <w:ind w:left="102"/>
        <w:rPr>
          <w:b/>
          <w:bCs/>
        </w:rPr>
      </w:pPr>
    </w:p>
    <w:tbl>
      <w:tblPr>
        <w:tblStyle w:val="6"/>
        <w:tblW w:w="8767"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72"/>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35"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fz_score</w:t>
            </w:r>
            <w:r>
              <w:rPr>
                <w:rFonts w:ascii="Arial Unicode MS"/>
                <w:sz w:val="19"/>
              </w:rPr>
              <w:t>}</w:t>
            </w:r>
          </w:p>
        </w:tc>
        <w:tc>
          <w:tcPr>
            <w:tcW w:w="5772"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1"/>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2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71"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71"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71"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71"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8717"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1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15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758"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719"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96"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88"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157"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pStyle w:val="4"/>
        <w:spacing w:before="10"/>
        <w:rPr>
          <w:sz w:val="24"/>
        </w:rPr>
      </w:pPr>
    </w:p>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774" w:type="dxa"/>
        <w:tblInd w:w="-1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9"/>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29"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fx_score</w:t>
            </w:r>
            <w:r>
              <w:rPr>
                <w:rFonts w:ascii="Arial Unicode MS"/>
                <w:sz w:val="19"/>
              </w:rPr>
              <w:t>}</w:t>
            </w:r>
          </w:p>
        </w:tc>
        <w:tc>
          <w:tcPr>
            <w:tcW w:w="5785"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3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57"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8"/>
              <w:jc w:val="center"/>
              <w:rPr>
                <w:sz w:val="19"/>
              </w:rPr>
            </w:pPr>
            <w:r>
              <w:rPr>
                <w:color w:val="333333"/>
                <w:sz w:val="19"/>
              </w:rPr>
              <w:t>企业风险指数</w:t>
            </w: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57"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企业业务、企业股东层稳定性、履约能力方面分析，抗风险能力较强</w:t>
            </w:r>
          </w:p>
        </w:tc>
      </w:tr>
    </w:tbl>
    <w:p>
      <w:pPr>
        <w:pStyle w:val="4"/>
        <w:spacing w:before="1"/>
        <w:rPr>
          <w:sz w:val="28"/>
        </w:rPr>
      </w:pPr>
    </w:p>
    <w:tbl>
      <w:tblPr>
        <w:tblStyle w:val="6"/>
        <w:tblW w:w="8771"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21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211"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1560"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211"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4"/>
        <w:ind w:left="102"/>
        <w:rPr>
          <w:rFonts w:hint="eastAsia"/>
          <w:b/>
          <w:bCs/>
          <w:lang w:val="en-US" w:eastAsia="zh-Hans"/>
        </w:rPr>
      </w:pPr>
      <w:r>
        <w:rPr>
          <w:b/>
          <w:bCs/>
        </w:rPr>
        <w:t>企业</w:t>
      </w:r>
      <w:r>
        <w:rPr>
          <w:rFonts w:hint="eastAsia"/>
          <w:b/>
          <w:bCs/>
          <w:lang w:val="en-US" w:eastAsia="zh-Hans"/>
        </w:rPr>
        <w:t>特征分数</w:t>
      </w:r>
    </w:p>
    <w:p>
      <w:pPr>
        <w:pStyle w:val="4"/>
        <w:ind w:left="102"/>
        <w:rPr>
          <w:rFonts w:hint="eastAsia"/>
          <w:b/>
          <w:bCs/>
          <w:lang w:val="en-US" w:eastAsia="zh-Hans"/>
        </w:rPr>
      </w:pPr>
    </w:p>
    <w:tbl>
      <w:tblPr>
        <w:tblStyle w:val="6"/>
        <w:tblW w:w="879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39"/>
        <w:gridCol w:w="669"/>
        <w:gridCol w:w="3824"/>
        <w:gridCol w:w="27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6" w:hRule="atLeast"/>
        </w:trPr>
        <w:tc>
          <w:tcPr>
            <w:tcW w:w="1539" w:type="dxa"/>
            <w:tcBorders>
              <w:bottom w:val="single" w:color="7F7F7F" w:sz="6" w:space="0"/>
              <w:right w:val="single" w:color="7F7F7F" w:sz="6" w:space="0"/>
            </w:tcBorders>
            <w:shd w:val="clear" w:color="auto" w:fill="EEEEEE"/>
            <w:vAlign w:val="center"/>
          </w:tcPr>
          <w:p>
            <w:pPr>
              <w:pStyle w:val="8"/>
              <w:spacing w:before="24"/>
              <w:ind w:left="283" w:right="271"/>
              <w:jc w:val="center"/>
              <w:rPr>
                <w:rFonts w:hint="eastAsia" w:eastAsia="宋体"/>
                <w:sz w:val="19"/>
                <w:lang w:val="en-US" w:eastAsia="zh-Hans"/>
              </w:rPr>
            </w:pPr>
            <w:r>
              <w:rPr>
                <w:rFonts w:hint="eastAsia"/>
                <w:sz w:val="19"/>
                <w:lang w:val="en-US" w:eastAsia="zh-Hans"/>
              </w:rPr>
              <w:t>特征</w:t>
            </w:r>
          </w:p>
        </w:tc>
        <w:tc>
          <w:tcPr>
            <w:tcW w:w="669"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sz w:val="19"/>
                <w:lang w:val="en-US" w:eastAsia="zh-Hans"/>
              </w:rPr>
            </w:pPr>
            <w:r>
              <w:rPr>
                <w:rFonts w:hint="eastAsia"/>
                <w:sz w:val="19"/>
                <w:lang w:val="en-US" w:eastAsia="zh-Hans"/>
              </w:rPr>
              <w:t>评分结果</w:t>
            </w:r>
          </w:p>
        </w:tc>
        <w:tc>
          <w:tcPr>
            <w:tcW w:w="3824"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color w:val="333333"/>
                <w:sz w:val="19"/>
                <w:lang w:val="en-US" w:eastAsia="zh-Hans"/>
              </w:rPr>
            </w:pPr>
            <w:r>
              <w:rPr>
                <w:rFonts w:hint="eastAsia"/>
                <w:color w:val="333333"/>
                <w:sz w:val="19"/>
                <w:lang w:val="en-US" w:eastAsia="zh-Hans"/>
              </w:rPr>
              <w:t>能力等级</w:t>
            </w:r>
          </w:p>
        </w:tc>
        <w:tc>
          <w:tcPr>
            <w:tcW w:w="2766"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color w:val="333333"/>
                <w:sz w:val="19"/>
                <w:lang w:val="en-US" w:eastAsia="zh-Hans"/>
              </w:rPr>
            </w:pPr>
            <w:r>
              <w:rPr>
                <w:rFonts w:hint="eastAsia"/>
                <w:color w:val="333333"/>
                <w:sz w:val="19"/>
                <w:lang w:val="en-US" w:eastAsia="zh-Hans"/>
              </w:rPr>
              <w:t>评分说明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53" w:hRule="atLeast"/>
        </w:trPr>
        <w:tc>
          <w:tcPr>
            <w:tcW w:w="1539" w:type="dxa"/>
            <w:tcBorders>
              <w:top w:val="single" w:color="7F7F7F" w:sz="6" w:space="0"/>
              <w:bottom w:val="single" w:color="7F7F7F" w:sz="6" w:space="0"/>
              <w:right w:val="single" w:color="7F7F7F" w:sz="6" w:space="0"/>
            </w:tcBorders>
            <w:vAlign w:val="center"/>
          </w:tcPr>
          <w:p>
            <w:pPr>
              <w:pStyle w:val="8"/>
              <w:spacing w:before="132"/>
              <w:ind w:left="283" w:right="271"/>
              <w:jc w:val="center"/>
              <w:rPr>
                <w:rFonts w:hint="eastAsia" w:eastAsia="宋体"/>
                <w:sz w:val="18"/>
                <w:szCs w:val="18"/>
                <w:lang w:val="en-US" w:eastAsia="zh-Hans"/>
              </w:rPr>
            </w:pPr>
            <w:r>
              <w:rPr>
                <w:rFonts w:hint="eastAsia"/>
                <w:sz w:val="18"/>
                <w:szCs w:val="18"/>
                <w:lang w:val="en-US" w:eastAsia="zh-Hans"/>
              </w:rPr>
              <w:t>企业成长能力</w:t>
            </w:r>
          </w:p>
        </w:tc>
        <w:tc>
          <w:tcPr>
            <w:tcW w:w="669"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qyczx</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qyczx</w:t>
            </w:r>
            <w:r>
              <w:rPr>
                <w:sz w:val="18"/>
                <w:szCs w:val="18"/>
              </w:rPr>
              <w:t>_s</w:t>
            </w:r>
            <w:r>
              <w:rPr>
                <w:sz w:val="18"/>
                <w:szCs w:val="18"/>
              </w:rPr>
              <w:t>_pic</w:t>
            </w:r>
            <w:r>
              <w:rPr>
                <w:sz w:val="18"/>
                <w:szCs w:val="18"/>
              </w:rPr>
              <w:t>}</w:t>
            </w:r>
          </w:p>
        </w:tc>
        <w:tc>
          <w:tcPr>
            <w:tcW w:w="2766" w:type="dxa"/>
            <w:tcBorders>
              <w:top w:val="single" w:color="7F7F7F" w:sz="6" w:space="0"/>
              <w:left w:val="single" w:color="7F7F7F" w:sz="6" w:space="0"/>
              <w:bottom w:val="single" w:color="7F7F7F" w:sz="6" w:space="0"/>
            </w:tcBorders>
            <w:vAlign w:val="center"/>
          </w:tcPr>
          <w:p>
            <w:pPr>
              <w:pStyle w:val="8"/>
              <w:numPr>
                <w:ilvl w:val="0"/>
                <w:numId w:val="1"/>
              </w:numPr>
              <w:spacing w:before="36" w:line="225" w:lineRule="auto"/>
              <w:ind w:left="124" w:right="122"/>
              <w:jc w:val="both"/>
              <w:rPr>
                <w:rFonts w:hint="eastAsia"/>
                <w:color w:val="333333"/>
                <w:sz w:val="18"/>
                <w:szCs w:val="18"/>
              </w:rPr>
            </w:pPr>
            <w:r>
              <w:rPr>
                <w:rFonts w:hint="eastAsia"/>
                <w:color w:val="333333"/>
                <w:sz w:val="18"/>
                <w:szCs w:val="18"/>
              </w:rPr>
              <w:t>按0分到100分划分，评分越高，企业营运能力越强</w:t>
            </w:r>
          </w:p>
          <w:p>
            <w:pPr>
              <w:pStyle w:val="8"/>
              <w:numPr>
                <w:ilvl w:val="0"/>
                <w:numId w:val="1"/>
              </w:numPr>
              <w:spacing w:before="36" w:line="225" w:lineRule="auto"/>
              <w:ind w:left="124" w:leftChars="0" w:right="122" w:rightChars="0"/>
              <w:jc w:val="both"/>
              <w:rPr>
                <w:rFonts w:hint="eastAsia" w:ascii="宋体" w:hAnsi="宋体" w:eastAsia="宋体" w:cs="宋体"/>
                <w:color w:val="333333"/>
                <w:kern w:val="2"/>
                <w:sz w:val="18"/>
                <w:szCs w:val="18"/>
                <w:lang w:eastAsia="zh-CN" w:bidi="zh-CN"/>
              </w:rPr>
            </w:pPr>
            <w:r>
              <w:rPr>
                <w:rFonts w:hint="eastAsia"/>
                <w:color w:val="333333"/>
                <w:sz w:val="18"/>
                <w:szCs w:val="18"/>
              </w:rPr>
              <w:t>通过分析企业的各项资产利用效率以及产生利润行为的效率，评估企业营运能力。反映企业的竞争实力和发展能力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534" w:hRule="atLeast"/>
        </w:trPr>
        <w:tc>
          <w:tcPr>
            <w:tcW w:w="1539"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企业资产增长能力</w:t>
            </w:r>
          </w:p>
        </w:tc>
        <w:tc>
          <w:tcPr>
            <w:tcW w:w="669"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qyzczc</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qyzczc</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2"/>
              </w:numPr>
              <w:spacing w:before="36" w:line="225" w:lineRule="auto"/>
              <w:ind w:left="124" w:right="122"/>
              <w:jc w:val="both"/>
              <w:rPr>
                <w:rFonts w:hint="eastAsia"/>
                <w:color w:val="333333"/>
                <w:sz w:val="18"/>
                <w:szCs w:val="18"/>
              </w:rPr>
            </w:pPr>
            <w:r>
              <w:rPr>
                <w:rFonts w:hint="eastAsia"/>
                <w:color w:val="333333"/>
                <w:sz w:val="18"/>
                <w:szCs w:val="18"/>
              </w:rPr>
              <w:t>按0分到100分划分，评分越高，企业的财务杠杆越小经营风险越低</w:t>
            </w:r>
          </w:p>
          <w:p>
            <w:pPr>
              <w:pStyle w:val="8"/>
              <w:numPr>
                <w:ilvl w:val="0"/>
                <w:numId w:val="2"/>
              </w:numPr>
              <w:spacing w:before="36" w:line="225" w:lineRule="auto"/>
              <w:ind w:left="124" w:leftChars="0" w:right="122" w:righ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53" w:hRule="atLeast"/>
        </w:trPr>
        <w:tc>
          <w:tcPr>
            <w:tcW w:w="1539"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企业盈利能力</w:t>
            </w:r>
          </w:p>
        </w:tc>
        <w:tc>
          <w:tcPr>
            <w:tcW w:w="669"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qyyl</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qyyl</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3"/>
              </w:numPr>
              <w:spacing w:before="36" w:line="225" w:lineRule="auto"/>
              <w:ind w:left="124" w:right="122"/>
              <w:jc w:val="both"/>
              <w:rPr>
                <w:rFonts w:hint="eastAsia"/>
                <w:color w:val="333333"/>
                <w:sz w:val="18"/>
                <w:szCs w:val="18"/>
              </w:rPr>
            </w:pPr>
            <w:r>
              <w:rPr>
                <w:rFonts w:hint="eastAsia"/>
                <w:color w:val="333333"/>
                <w:sz w:val="18"/>
                <w:szCs w:val="18"/>
              </w:rPr>
              <w:t>按0分到100分划分，评分越高，企业盈利实力越强</w:t>
            </w:r>
          </w:p>
          <w:p>
            <w:pPr>
              <w:pStyle w:val="8"/>
              <w:numPr>
                <w:ilvl w:val="0"/>
                <w:numId w:val="3"/>
              </w:numPr>
              <w:spacing w:before="36" w:line="225" w:lineRule="auto"/>
              <w:ind w:left="124" w:leftChars="0" w:right="122" w:righ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通过分析可为企业贡献利润有关行为后的评估结果。主要反映企业当前的盈利水平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企业盈利可持续能力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qyylkcx</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ascii="宋体" w:hAnsi="宋体" w:eastAsia="宋体" w:cs="宋体"/>
                <w:kern w:val="2"/>
                <w:sz w:val="18"/>
                <w:szCs w:val="18"/>
                <w:lang w:val="zh-CN" w:eastAsia="zh-CN" w:bidi="zh-CN"/>
              </w:rPr>
            </w:pPr>
            <w:r>
              <w:rPr>
                <w:sz w:val="18"/>
                <w:szCs w:val="18"/>
              </w:rPr>
              <w:t>${</w:t>
            </w:r>
            <w:r>
              <w:rPr>
                <w:rFonts w:hint="eastAsia"/>
                <w:sz w:val="18"/>
                <w:szCs w:val="18"/>
              </w:rPr>
              <w:t>qyylkcx</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spacing w:before="24"/>
              <w:ind w:left="124"/>
              <w:jc w:val="both"/>
              <w:rPr>
                <w:rFonts w:hint="eastAsia"/>
                <w:color w:val="333333"/>
                <w:sz w:val="18"/>
                <w:szCs w:val="18"/>
              </w:rPr>
            </w:pPr>
            <w:r>
              <w:rPr>
                <w:rFonts w:hint="eastAsia"/>
                <w:color w:val="333333"/>
                <w:sz w:val="18"/>
                <w:szCs w:val="18"/>
              </w:rPr>
              <w:t>1.按0分到100分划分，评分越高，企业发展与经营的增速越高</w:t>
            </w:r>
          </w:p>
          <w:p>
            <w:pPr>
              <w:pStyle w:val="8"/>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2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企业税收贡献能力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qyssgx</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qyssgx</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4"/>
              </w:numPr>
              <w:spacing w:before="24"/>
              <w:ind w:left="124"/>
              <w:jc w:val="both"/>
              <w:rPr>
                <w:rFonts w:hint="eastAsia"/>
                <w:color w:val="333333"/>
                <w:sz w:val="18"/>
                <w:szCs w:val="18"/>
              </w:rPr>
            </w:pPr>
            <w:r>
              <w:rPr>
                <w:rFonts w:hint="eastAsia"/>
                <w:color w:val="333333"/>
                <w:sz w:val="18"/>
                <w:szCs w:val="18"/>
              </w:rPr>
              <w:t>按0分到100分划分，评分越高，企业持续盈利能力越强</w:t>
            </w:r>
          </w:p>
          <w:p>
            <w:pPr>
              <w:pStyle w:val="8"/>
              <w:numPr>
                <w:ilvl w:val="0"/>
                <w:numId w:val="4"/>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企业税负强度</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qysfqd</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qysfqd</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5"/>
              </w:numPr>
              <w:spacing w:before="24"/>
              <w:ind w:left="124"/>
              <w:jc w:val="both"/>
              <w:rPr>
                <w:rFonts w:hint="eastAsia"/>
                <w:color w:val="333333"/>
                <w:sz w:val="18"/>
                <w:szCs w:val="18"/>
              </w:rPr>
            </w:pPr>
            <w:r>
              <w:rPr>
                <w:rFonts w:hint="eastAsia"/>
                <w:color w:val="333333"/>
                <w:sz w:val="18"/>
                <w:szCs w:val="18"/>
              </w:rPr>
              <w:t>按0分到100分划分，评分越高，企业的主营业务稳定性越强</w:t>
            </w:r>
          </w:p>
          <w:p>
            <w:pPr>
              <w:pStyle w:val="8"/>
              <w:numPr>
                <w:ilvl w:val="0"/>
                <w:numId w:val="5"/>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通过分析企业与主营业务经营、企业类型等有关行为后的结果。主要反映企业在核心业务领域的合作价值与健康度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2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企业资产收益能力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qyzcsy</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ascii="宋体" w:hAnsi="宋体" w:eastAsia="宋体" w:cs="宋体"/>
                <w:kern w:val="2"/>
                <w:sz w:val="18"/>
                <w:szCs w:val="18"/>
                <w:lang w:val="zh-CN" w:eastAsia="zh-CN" w:bidi="zh-CN"/>
              </w:rPr>
            </w:pPr>
            <w:r>
              <w:rPr>
                <w:sz w:val="18"/>
                <w:szCs w:val="18"/>
              </w:rPr>
              <w:t>${</w:t>
            </w:r>
            <w:r>
              <w:rPr>
                <w:rFonts w:hint="eastAsia"/>
                <w:sz w:val="18"/>
                <w:szCs w:val="18"/>
              </w:rPr>
              <w:t>qyzcsy</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spacing w:before="24"/>
              <w:ind w:left="124"/>
              <w:jc w:val="both"/>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8"/>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2.通过分析企业与资本运营效益与安全状况有关行为后的结果。主要反映企业投资者投入企业资本的保全性和增长性</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2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企业资产回报能力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qyzchb</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qyzchb</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6"/>
              </w:numPr>
              <w:spacing w:before="24"/>
              <w:ind w:left="124"/>
              <w:jc w:val="both"/>
              <w:rPr>
                <w:rFonts w:hint="eastAsia"/>
                <w:color w:val="333333"/>
                <w:sz w:val="18"/>
                <w:szCs w:val="18"/>
              </w:rPr>
            </w:pPr>
            <w:r>
              <w:rPr>
                <w:rFonts w:hint="eastAsia"/>
                <w:color w:val="333333"/>
                <w:sz w:val="18"/>
                <w:szCs w:val="18"/>
              </w:rPr>
              <w:t>按0分到100分划分，评分越高，企业的人均收益能力越强，人效比越高</w:t>
            </w:r>
          </w:p>
          <w:p>
            <w:pPr>
              <w:pStyle w:val="8"/>
              <w:numPr>
                <w:ilvl w:val="0"/>
                <w:numId w:val="6"/>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通过分析企业与营收产值及从业人员有关行为后的结果。主要反映企业人均劳效水平，供判断企业的数字化与管理化水平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2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企业资本保值状况</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qyzbbz</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qyzbbz</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7"/>
              </w:numPr>
              <w:spacing w:before="24"/>
              <w:ind w:left="124"/>
              <w:jc w:val="both"/>
              <w:rPr>
                <w:rFonts w:hint="eastAsia"/>
                <w:color w:val="333333"/>
                <w:sz w:val="18"/>
                <w:szCs w:val="18"/>
              </w:rPr>
            </w:pPr>
            <w:r>
              <w:rPr>
                <w:rFonts w:hint="eastAsia"/>
                <w:color w:val="333333"/>
                <w:sz w:val="18"/>
                <w:szCs w:val="18"/>
              </w:rPr>
              <w:t>按0分到100分划分，评分越高，企业的人均盈利能力越强</w:t>
            </w:r>
          </w:p>
          <w:p>
            <w:pPr>
              <w:pStyle w:val="8"/>
              <w:numPr>
                <w:ilvl w:val="0"/>
                <w:numId w:val="7"/>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企业主营业务健康度</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qyzyywjkd</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qyzyywjkd</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8"/>
              </w:numPr>
              <w:spacing w:before="24"/>
              <w:ind w:left="124"/>
              <w:jc w:val="both"/>
              <w:rPr>
                <w:rFonts w:hint="eastAsia"/>
                <w:color w:val="333333"/>
                <w:sz w:val="18"/>
                <w:szCs w:val="18"/>
              </w:rPr>
            </w:pPr>
            <w:r>
              <w:rPr>
                <w:rFonts w:hint="eastAsia"/>
                <w:color w:val="333333"/>
                <w:sz w:val="18"/>
                <w:szCs w:val="18"/>
              </w:rPr>
              <w:t>按0分到100分划分，评分越高，企业税收贡献能力越强</w:t>
            </w:r>
          </w:p>
          <w:p>
            <w:pPr>
              <w:pStyle w:val="8"/>
              <w:numPr>
                <w:ilvl w:val="0"/>
                <w:numId w:val="8"/>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通过分析与企业纳税有关行为后的结果。主要反映企业的当前的纳税水平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企业资产经营健康度</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qyzcjjjkd</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qyzcjjjkd</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9"/>
              </w:numPr>
              <w:spacing w:before="24"/>
              <w:ind w:left="124"/>
              <w:jc w:val="both"/>
              <w:rPr>
                <w:rFonts w:hint="eastAsia"/>
                <w:color w:val="333333"/>
                <w:sz w:val="18"/>
                <w:szCs w:val="18"/>
              </w:rPr>
            </w:pPr>
            <w:r>
              <w:rPr>
                <w:rFonts w:hint="eastAsia"/>
                <w:color w:val="333333"/>
                <w:sz w:val="18"/>
                <w:szCs w:val="18"/>
              </w:rPr>
              <w:t>按0分到100分划分，评分越高，企业在投资收益方面能力越高</w:t>
            </w:r>
          </w:p>
          <w:p>
            <w:pPr>
              <w:pStyle w:val="8"/>
              <w:numPr>
                <w:ilvl w:val="0"/>
                <w:numId w:val="9"/>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通过分析企业与资本效益有关行为后的结果。主要反映企业资本获得收益的水平，供间接判断企业的投资价值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512"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企业资产周转能力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qyzczz</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qyzczz</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10"/>
              </w:numPr>
              <w:spacing w:before="24"/>
              <w:ind w:left="124"/>
              <w:jc w:val="both"/>
              <w:rPr>
                <w:rFonts w:hint="eastAsia"/>
                <w:color w:val="333333"/>
                <w:sz w:val="18"/>
                <w:szCs w:val="18"/>
              </w:rPr>
            </w:pPr>
            <w:r>
              <w:rPr>
                <w:rFonts w:hint="eastAsia"/>
                <w:color w:val="333333"/>
                <w:sz w:val="18"/>
                <w:szCs w:val="18"/>
              </w:rPr>
              <w:t>按0分到100分划分，评分越高，企业的销售能力越强,资产投资效益越好</w:t>
            </w:r>
          </w:p>
          <w:p>
            <w:pPr>
              <w:pStyle w:val="8"/>
              <w:numPr>
                <w:ilvl w:val="0"/>
                <w:numId w:val="10"/>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企业人均产能</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qyrjcn</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qyrjcn</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11"/>
              </w:numPr>
              <w:spacing w:before="24"/>
              <w:ind w:left="124"/>
              <w:jc w:val="both"/>
              <w:rPr>
                <w:rFonts w:hint="eastAsia"/>
                <w:color w:val="333333"/>
                <w:sz w:val="18"/>
                <w:szCs w:val="18"/>
              </w:rPr>
            </w:pPr>
            <w:r>
              <w:rPr>
                <w:rFonts w:hint="eastAsia"/>
                <w:color w:val="333333"/>
                <w:sz w:val="18"/>
                <w:szCs w:val="18"/>
              </w:rPr>
              <w:t>按0分到100分划分，评分越高，企业规模增长的能力越强</w:t>
            </w:r>
          </w:p>
          <w:p>
            <w:pPr>
              <w:pStyle w:val="8"/>
              <w:numPr>
                <w:ilvl w:val="0"/>
                <w:numId w:val="11"/>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通过分析与企业资产维度有关行为后的评估结果。主要反映企业的资产变化情况，供判断企业的整体规模与合作能力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企业人均创收能力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qyrjcs</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qyrjcs</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12"/>
              </w:numPr>
              <w:spacing w:before="24"/>
              <w:ind w:left="124"/>
              <w:jc w:val="both"/>
              <w:rPr>
                <w:rFonts w:hint="eastAsia"/>
                <w:color w:val="333333"/>
                <w:sz w:val="18"/>
                <w:szCs w:val="18"/>
              </w:rPr>
            </w:pPr>
            <w:r>
              <w:rPr>
                <w:rFonts w:hint="eastAsia"/>
                <w:color w:val="333333"/>
                <w:sz w:val="18"/>
                <w:szCs w:val="18"/>
              </w:rPr>
              <w:t>按0分到100分划分，评分越高，企业的税率越高纳税负担越重</w:t>
            </w:r>
          </w:p>
          <w:p>
            <w:pPr>
              <w:pStyle w:val="8"/>
              <w:numPr>
                <w:ilvl w:val="0"/>
                <w:numId w:val="12"/>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企业还款能力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qyhknl</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qyhknl</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13"/>
              </w:numPr>
              <w:spacing w:before="24"/>
              <w:ind w:left="124"/>
              <w:jc w:val="both"/>
              <w:rPr>
                <w:rFonts w:hint="eastAsia"/>
                <w:color w:val="333333"/>
                <w:sz w:val="18"/>
                <w:szCs w:val="18"/>
              </w:rPr>
            </w:pPr>
            <w:r>
              <w:rPr>
                <w:rFonts w:hint="eastAsia"/>
                <w:color w:val="333333"/>
                <w:sz w:val="18"/>
                <w:szCs w:val="18"/>
              </w:rPr>
              <w:t>按0分到100分划分，评分越高，企业对债权人的还款能力越强</w:t>
            </w:r>
          </w:p>
          <w:p>
            <w:pPr>
              <w:pStyle w:val="8"/>
              <w:numPr>
                <w:ilvl w:val="0"/>
                <w:numId w:val="13"/>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通过分析企业资产健康、资产保值及人均创收有关行为后的结果。主要反映企业偿还债务的能力，供判断其授信与借款能力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45" w:hRule="atLeast"/>
        </w:trPr>
        <w:tc>
          <w:tcPr>
            <w:tcW w:w="1539"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企业担保能力</w:t>
            </w:r>
          </w:p>
        </w:tc>
        <w:tc>
          <w:tcPr>
            <w:tcW w:w="669"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qydbnl</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8"/>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qydbnl</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8"/>
              <w:numPr>
                <w:ilvl w:val="0"/>
                <w:numId w:val="14"/>
              </w:numPr>
              <w:spacing w:before="24"/>
              <w:ind w:left="124"/>
              <w:jc w:val="both"/>
              <w:rPr>
                <w:rFonts w:hint="eastAsia"/>
                <w:color w:val="333333"/>
                <w:sz w:val="18"/>
                <w:szCs w:val="18"/>
              </w:rPr>
            </w:pPr>
            <w:r>
              <w:rPr>
                <w:rFonts w:hint="eastAsia"/>
                <w:color w:val="333333"/>
                <w:sz w:val="18"/>
                <w:szCs w:val="18"/>
              </w:rPr>
              <w:t>按0分到100分划分，评分越高，企业的对外担保能力越强</w:t>
            </w:r>
          </w:p>
          <w:p>
            <w:pPr>
              <w:pStyle w:val="8"/>
              <w:numPr>
                <w:ilvl w:val="0"/>
                <w:numId w:val="14"/>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通过分析企业抵质押 出质及企业类型等经营行为后的结果。主要反映企业在外部担保合作的能力，供判断担保合作可行性</w:t>
            </w:r>
          </w:p>
        </w:tc>
      </w:tr>
    </w:tbl>
    <w:p>
      <w:pPr>
        <w:rPr>
          <w:rFonts w:hint="eastAsia" w:asciiTheme="majorEastAsia" w:hAnsiTheme="majorEastAsia" w:eastAsiaTheme="majorEastAsia" w:cstheme="majorEastAsia"/>
          <w:sz w:val="18"/>
          <w:szCs w:val="18"/>
        </w:rPr>
      </w:pPr>
    </w:p>
    <w:p>
      <w:pPr>
        <w:rPr>
          <w:rFonts w:hint="eastAsia" w:asciiTheme="majorEastAsia" w:hAnsiTheme="majorEastAsia" w:eastAsiaTheme="majorEastAsia" w:cstheme="majorEastAsia"/>
          <w:sz w:val="18"/>
          <w:szCs w:val="18"/>
        </w:rPr>
      </w:pPr>
      <w:bookmarkStart w:id="0" w:name="_GoBack"/>
      <w:bookmarkEnd w:id="0"/>
      <w:r>
        <w:rPr>
          <w:rFonts w:hint="eastAsia" w:asciiTheme="majorEastAsia" w:hAnsiTheme="majorEastAsia" w:eastAsiaTheme="majorEastAsia" w:cstheme="majorEastAsia"/>
          <w:sz w:val="18"/>
          <w:szCs w:val="18"/>
        </w:rPr>
        <w:t>注：标“--”项一般指未分析到与该指标有关的发展行为。</w:t>
      </w: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5"/>
        </w:numPr>
        <w:tabs>
          <w:tab w:val="left" w:pos="404"/>
        </w:tabs>
        <w:spacing w:before="0" w:after="45" w:line="585" w:lineRule="exact"/>
        <w:ind w:left="403" w:right="0" w:hanging="302"/>
        <w:jc w:val="left"/>
      </w:pPr>
      <w:r>
        <w:t>基本信息</w:t>
      </w:r>
    </w:p>
    <w:tbl>
      <w:tblPr>
        <w:tblStyle w:val="6"/>
        <w:tblW w:w="8746" w:type="dxa"/>
        <w:tblInd w:w="-136"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65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46"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企业类型</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注册地址</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统一社会信用代码</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核准日期</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营业期限</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${END</w:t>
            </w:r>
            <w:r>
              <w:rPr>
                <w:rFonts w:hint="eastAsia"/>
                <w:color w:val="333333"/>
                <w:sz w:val="19"/>
              </w:rPr>
              <w:t>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所属行业</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vAlign w:val="center"/>
          </w:tcPr>
          <w:p>
            <w:pPr>
              <w:pStyle w:val="8"/>
              <w:spacing w:before="132"/>
              <w:ind w:left="124"/>
              <w:rPr>
                <w:color w:val="333333"/>
                <w:sz w:val="19"/>
              </w:rPr>
            </w:pPr>
            <w:r>
              <w:rPr>
                <w:color w:val="333333"/>
                <w:sz w:val="19"/>
              </w:rPr>
              <w:t>经营范围</w:t>
            </w:r>
          </w:p>
        </w:tc>
        <w:tc>
          <w:tcPr>
            <w:tcW w:w="7186" w:type="dxa"/>
            <w:gridSpan w:val="3"/>
            <w:tcBorders>
              <w:top w:val="single" w:color="7F7F7F" w:sz="6" w:space="0"/>
              <w:lef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OPSCOPE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688" w:type="dxa"/>
        <w:tblInd w:w="-91"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201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88"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2016"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RemoveDate</w:t>
            </w:r>
            <w:r>
              <w:rPr>
                <w:color w:val="333333"/>
                <w:sz w:val="19"/>
              </w:rPr>
              <w:t>}</w:t>
            </w:r>
          </w:p>
        </w:tc>
        <w:tc>
          <w:tcPr>
            <w:tcW w:w="2016"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pStyle w:val="9"/>
        <w:numPr>
          <w:ilvl w:val="1"/>
          <w:numId w:val="15"/>
        </w:numPr>
        <w:tabs>
          <w:tab w:val="left" w:pos="583"/>
        </w:tabs>
        <w:spacing w:before="228" w:after="59" w:line="240" w:lineRule="auto"/>
        <w:ind w:left="582" w:right="0" w:hanging="481"/>
        <w:jc w:val="left"/>
        <w:rPr>
          <w:sz w:val="29"/>
        </w:rPr>
      </w:pPr>
      <w:r>
        <w:rPr>
          <w:w w:val="95"/>
          <w:sz w:val="29"/>
        </w:rPr>
        <w:t>企业对外投资</w:t>
      </w:r>
    </w:p>
    <w:p>
      <w:pPr>
        <w:spacing w:after="0"/>
        <w:jc w:val="both"/>
        <w:rPr>
          <w:rFonts w:hint="eastAsia" w:ascii="Arial Unicode MS"/>
          <w:sz w:val="24"/>
        </w:rPr>
      </w:pP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hint="eastAsia" w:ascii="Arial Unicode MS"/>
          <w:sz w:val="24"/>
        </w:rPr>
      </w:pPr>
    </w:p>
    <w:p>
      <w:pPr>
        <w:pStyle w:val="2"/>
        <w:numPr>
          <w:ilvl w:val="0"/>
          <w:numId w:val="15"/>
        </w:numPr>
        <w:tabs>
          <w:tab w:val="left" w:pos="404"/>
        </w:tabs>
        <w:spacing w:before="197" w:after="0" w:line="240" w:lineRule="auto"/>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${zl_ocr}</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9"/>
        <w:numPr>
          <w:ilvl w:val="0"/>
          <w:numId w:val="0"/>
        </w:numPr>
        <w:tabs>
          <w:tab w:val="left" w:pos="404"/>
        </w:tabs>
        <w:spacing w:before="204" w:after="0" w:line="240" w:lineRule="auto"/>
        <w:ind w:right="0" w:rightChars="0"/>
        <w:jc w:val="left"/>
        <w:rPr>
          <w:sz w:val="36"/>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${rjzzq_ocr}</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${xzxk_ocr}</w:t>
      </w:r>
    </w:p>
    <w:p>
      <w:pPr>
        <w:pStyle w:val="9"/>
        <w:numPr>
          <w:ilvl w:val="0"/>
          <w:numId w:val="0"/>
        </w:numPr>
        <w:tabs>
          <w:tab w:val="left" w:pos="404"/>
        </w:tabs>
        <w:spacing w:before="204" w:after="0" w:line="240" w:lineRule="auto"/>
        <w:ind w:right="0" w:rightChars="0"/>
        <w:jc w:val="left"/>
        <w:rPr>
          <w:sz w:val="36"/>
        </w:rPr>
      </w:pPr>
    </w:p>
    <w:p>
      <w:pPr>
        <w:pStyle w:val="3"/>
        <w:numPr>
          <w:ilvl w:val="1"/>
          <w:numId w:val="15"/>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${xzcf_ocr}</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rPr>
          <w:sz w:val="17"/>
        </w:rPr>
      </w:pPr>
      <w:r>
        <w:t>司法涉诉</w:t>
      </w: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${cpws_ocr}</w:t>
      </w:r>
    </w:p>
    <w:p>
      <w:pPr>
        <w:pStyle w:val="4"/>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${zxgg_ocr}</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${sx_oneSaid}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${sx_ocr}</w:t>
      </w:r>
    </w:p>
    <w:p>
      <w:pPr>
        <w:pStyle w:val="4"/>
        <w:spacing w:before="10"/>
        <w:rPr>
          <w:b/>
          <w:bCs/>
          <w:sz w:val="17"/>
        </w:rPr>
      </w:pPr>
    </w:p>
    <w:sectPr>
      <w:pgSz w:w="11906" w:h="16838"/>
      <w:pgMar w:top="1440" w:right="1800"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隶书">
    <w:altName w:val="报隶-简"/>
    <w:panose1 w:val="02010509060101010101"/>
    <w:charset w:val="86"/>
    <w:family w:val="auto"/>
    <w:pitch w:val="default"/>
    <w:sig w:usb0="00000000" w:usb1="00000000" w:usb2="00000000" w:usb3="00000000" w:csb0="00040000" w:csb1="00000000"/>
  </w:font>
  <w:font w:name="报隶-简">
    <w:panose1 w:val="02010600040101010101"/>
    <w:charset w:val="86"/>
    <w:family w:val="auto"/>
    <w:pitch w:val="default"/>
    <w:sig w:usb0="80000287" w:usb1="280F3C52" w:usb2="00000016" w:usb3="00000000" w:csb0="0004001F"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Songti SC Regular">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606FB1EA"/>
    <w:multiLevelType w:val="singleLevel"/>
    <w:tmpl w:val="606FB1EA"/>
    <w:lvl w:ilvl="0" w:tentative="0">
      <w:start w:val="1"/>
      <w:numFmt w:val="decimal"/>
      <w:suff w:val="nothing"/>
      <w:lvlText w:val="%1."/>
      <w:lvlJc w:val="left"/>
    </w:lvl>
  </w:abstractNum>
  <w:abstractNum w:abstractNumId="2">
    <w:nsid w:val="606FB216"/>
    <w:multiLevelType w:val="singleLevel"/>
    <w:tmpl w:val="606FB216"/>
    <w:lvl w:ilvl="0" w:tentative="0">
      <w:start w:val="1"/>
      <w:numFmt w:val="decimal"/>
      <w:suff w:val="nothing"/>
      <w:lvlText w:val="%1."/>
      <w:lvlJc w:val="left"/>
    </w:lvl>
  </w:abstractNum>
  <w:abstractNum w:abstractNumId="3">
    <w:nsid w:val="606FB22D"/>
    <w:multiLevelType w:val="singleLevel"/>
    <w:tmpl w:val="606FB22D"/>
    <w:lvl w:ilvl="0" w:tentative="0">
      <w:start w:val="1"/>
      <w:numFmt w:val="decimal"/>
      <w:suff w:val="nothing"/>
      <w:lvlText w:val="%1."/>
      <w:lvlJc w:val="left"/>
    </w:lvl>
  </w:abstractNum>
  <w:abstractNum w:abstractNumId="4">
    <w:nsid w:val="606FB2C4"/>
    <w:multiLevelType w:val="singleLevel"/>
    <w:tmpl w:val="606FB2C4"/>
    <w:lvl w:ilvl="0" w:tentative="0">
      <w:start w:val="1"/>
      <w:numFmt w:val="decimal"/>
      <w:suff w:val="nothing"/>
      <w:lvlText w:val="%1."/>
      <w:lvlJc w:val="left"/>
    </w:lvl>
  </w:abstractNum>
  <w:abstractNum w:abstractNumId="5">
    <w:nsid w:val="606FB2E0"/>
    <w:multiLevelType w:val="singleLevel"/>
    <w:tmpl w:val="606FB2E0"/>
    <w:lvl w:ilvl="0" w:tentative="0">
      <w:start w:val="1"/>
      <w:numFmt w:val="decimal"/>
      <w:suff w:val="nothing"/>
      <w:lvlText w:val="%1."/>
      <w:lvlJc w:val="left"/>
    </w:lvl>
  </w:abstractNum>
  <w:abstractNum w:abstractNumId="6">
    <w:nsid w:val="606FB303"/>
    <w:multiLevelType w:val="singleLevel"/>
    <w:tmpl w:val="606FB303"/>
    <w:lvl w:ilvl="0" w:tentative="0">
      <w:start w:val="1"/>
      <w:numFmt w:val="decimal"/>
      <w:suff w:val="nothing"/>
      <w:lvlText w:val="%1."/>
      <w:lvlJc w:val="left"/>
    </w:lvl>
  </w:abstractNum>
  <w:abstractNum w:abstractNumId="7">
    <w:nsid w:val="606FB321"/>
    <w:multiLevelType w:val="singleLevel"/>
    <w:tmpl w:val="606FB321"/>
    <w:lvl w:ilvl="0" w:tentative="0">
      <w:start w:val="1"/>
      <w:numFmt w:val="decimal"/>
      <w:suff w:val="nothing"/>
      <w:lvlText w:val="%1."/>
      <w:lvlJc w:val="left"/>
    </w:lvl>
  </w:abstractNum>
  <w:abstractNum w:abstractNumId="8">
    <w:nsid w:val="606FB353"/>
    <w:multiLevelType w:val="singleLevel"/>
    <w:tmpl w:val="606FB353"/>
    <w:lvl w:ilvl="0" w:tentative="0">
      <w:start w:val="1"/>
      <w:numFmt w:val="decimal"/>
      <w:suff w:val="nothing"/>
      <w:lvlText w:val="%1."/>
      <w:lvlJc w:val="left"/>
    </w:lvl>
  </w:abstractNum>
  <w:abstractNum w:abstractNumId="9">
    <w:nsid w:val="606FB369"/>
    <w:multiLevelType w:val="singleLevel"/>
    <w:tmpl w:val="606FB369"/>
    <w:lvl w:ilvl="0" w:tentative="0">
      <w:start w:val="1"/>
      <w:numFmt w:val="decimal"/>
      <w:suff w:val="nothing"/>
      <w:lvlText w:val="%1."/>
      <w:lvlJc w:val="left"/>
    </w:lvl>
  </w:abstractNum>
  <w:abstractNum w:abstractNumId="10">
    <w:nsid w:val="606FB383"/>
    <w:multiLevelType w:val="singleLevel"/>
    <w:tmpl w:val="606FB383"/>
    <w:lvl w:ilvl="0" w:tentative="0">
      <w:start w:val="1"/>
      <w:numFmt w:val="decimal"/>
      <w:suff w:val="nothing"/>
      <w:lvlText w:val="%1."/>
      <w:lvlJc w:val="left"/>
    </w:lvl>
  </w:abstractNum>
  <w:abstractNum w:abstractNumId="11">
    <w:nsid w:val="606FB39C"/>
    <w:multiLevelType w:val="singleLevel"/>
    <w:tmpl w:val="606FB39C"/>
    <w:lvl w:ilvl="0" w:tentative="0">
      <w:start w:val="1"/>
      <w:numFmt w:val="decimal"/>
      <w:suff w:val="nothing"/>
      <w:lvlText w:val="%1."/>
      <w:lvlJc w:val="left"/>
    </w:lvl>
  </w:abstractNum>
  <w:abstractNum w:abstractNumId="12">
    <w:nsid w:val="606FB3B1"/>
    <w:multiLevelType w:val="singleLevel"/>
    <w:tmpl w:val="606FB3B1"/>
    <w:lvl w:ilvl="0" w:tentative="0">
      <w:start w:val="1"/>
      <w:numFmt w:val="decimal"/>
      <w:suff w:val="nothing"/>
      <w:lvlText w:val="%1."/>
      <w:lvlJc w:val="left"/>
    </w:lvl>
  </w:abstractNum>
  <w:abstractNum w:abstractNumId="13">
    <w:nsid w:val="606FB3C9"/>
    <w:multiLevelType w:val="singleLevel"/>
    <w:tmpl w:val="606FB3C9"/>
    <w:lvl w:ilvl="0" w:tentative="0">
      <w:start w:val="1"/>
      <w:numFmt w:val="decimal"/>
      <w:suff w:val="nothing"/>
      <w:lvlText w:val="%1."/>
      <w:lvlJc w:val="left"/>
    </w:lvl>
  </w:abstractNum>
  <w:abstractNum w:abstractNumId="14">
    <w:nsid w:val="606FB3DF"/>
    <w:multiLevelType w:val="singleLevel"/>
    <w:tmpl w:val="606FB3DF"/>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324C8D"/>
    <w:rsid w:val="024546FD"/>
    <w:rsid w:val="03CD44EF"/>
    <w:rsid w:val="077F6C6C"/>
    <w:rsid w:val="099F9FEF"/>
    <w:rsid w:val="0A2A4801"/>
    <w:rsid w:val="0A5B4C6B"/>
    <w:rsid w:val="0AE31AAB"/>
    <w:rsid w:val="0E0169E5"/>
    <w:rsid w:val="0FE792CA"/>
    <w:rsid w:val="13B7D579"/>
    <w:rsid w:val="14A36E16"/>
    <w:rsid w:val="15FF68E3"/>
    <w:rsid w:val="169F3F6D"/>
    <w:rsid w:val="16CF525C"/>
    <w:rsid w:val="17F99B94"/>
    <w:rsid w:val="18FE9F82"/>
    <w:rsid w:val="197F33CE"/>
    <w:rsid w:val="1B748664"/>
    <w:rsid w:val="1C7A493C"/>
    <w:rsid w:val="1DB25011"/>
    <w:rsid w:val="1DCF50AB"/>
    <w:rsid w:val="1F1D221D"/>
    <w:rsid w:val="1F39A903"/>
    <w:rsid w:val="1F7F47C2"/>
    <w:rsid w:val="1FFB816D"/>
    <w:rsid w:val="20772D2A"/>
    <w:rsid w:val="226A3A4E"/>
    <w:rsid w:val="25341554"/>
    <w:rsid w:val="25794BCA"/>
    <w:rsid w:val="266C70EC"/>
    <w:rsid w:val="27AD6A27"/>
    <w:rsid w:val="29B625A7"/>
    <w:rsid w:val="2AC604E0"/>
    <w:rsid w:val="2B9023A2"/>
    <w:rsid w:val="2BB1B865"/>
    <w:rsid w:val="2D9D5900"/>
    <w:rsid w:val="2E0D2357"/>
    <w:rsid w:val="2EEF14AC"/>
    <w:rsid w:val="2FDB4338"/>
    <w:rsid w:val="2FE95709"/>
    <w:rsid w:val="2FFD1EFB"/>
    <w:rsid w:val="30235746"/>
    <w:rsid w:val="313F5A54"/>
    <w:rsid w:val="3377416C"/>
    <w:rsid w:val="33B675C6"/>
    <w:rsid w:val="33DAE6A8"/>
    <w:rsid w:val="33F78687"/>
    <w:rsid w:val="35A15D69"/>
    <w:rsid w:val="35FD866C"/>
    <w:rsid w:val="35FDCF71"/>
    <w:rsid w:val="364DABB2"/>
    <w:rsid w:val="365D83B2"/>
    <w:rsid w:val="36C4601B"/>
    <w:rsid w:val="37DF0CB0"/>
    <w:rsid w:val="37F77094"/>
    <w:rsid w:val="389BC5FC"/>
    <w:rsid w:val="38F0640F"/>
    <w:rsid w:val="39F16D20"/>
    <w:rsid w:val="3AFB0DB2"/>
    <w:rsid w:val="3AFFFE72"/>
    <w:rsid w:val="3B9C022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0A85B68"/>
    <w:rsid w:val="410730C9"/>
    <w:rsid w:val="42211E96"/>
    <w:rsid w:val="42E67009"/>
    <w:rsid w:val="43F139E3"/>
    <w:rsid w:val="466D24D5"/>
    <w:rsid w:val="477B7EF2"/>
    <w:rsid w:val="477D0513"/>
    <w:rsid w:val="47FE84ED"/>
    <w:rsid w:val="48AC0C75"/>
    <w:rsid w:val="492F34B8"/>
    <w:rsid w:val="49FD65F7"/>
    <w:rsid w:val="4A225FE3"/>
    <w:rsid w:val="4A7517C4"/>
    <w:rsid w:val="4BEB1F41"/>
    <w:rsid w:val="4BFF4790"/>
    <w:rsid w:val="4C1F3155"/>
    <w:rsid w:val="4D444718"/>
    <w:rsid w:val="4DFB74F8"/>
    <w:rsid w:val="4E390B74"/>
    <w:rsid w:val="4F9B7FA5"/>
    <w:rsid w:val="4FDC2F87"/>
    <w:rsid w:val="4FDE8E9E"/>
    <w:rsid w:val="4FFFA3A6"/>
    <w:rsid w:val="51FE78C7"/>
    <w:rsid w:val="53AF4EE3"/>
    <w:rsid w:val="547F027C"/>
    <w:rsid w:val="54DE74D9"/>
    <w:rsid w:val="56EB4299"/>
    <w:rsid w:val="56FFE628"/>
    <w:rsid w:val="57334047"/>
    <w:rsid w:val="5737C9A4"/>
    <w:rsid w:val="573BB163"/>
    <w:rsid w:val="574346D9"/>
    <w:rsid w:val="575E0F50"/>
    <w:rsid w:val="576285A9"/>
    <w:rsid w:val="57FE1C6C"/>
    <w:rsid w:val="57FF8BF8"/>
    <w:rsid w:val="5954C980"/>
    <w:rsid w:val="59B3076D"/>
    <w:rsid w:val="59FBCE06"/>
    <w:rsid w:val="5AFF5CB3"/>
    <w:rsid w:val="5AFF5F94"/>
    <w:rsid w:val="5B0F3E70"/>
    <w:rsid w:val="5B3B8FB6"/>
    <w:rsid w:val="5BA02A45"/>
    <w:rsid w:val="5BCF6825"/>
    <w:rsid w:val="5BFDA8E1"/>
    <w:rsid w:val="5DBD12E3"/>
    <w:rsid w:val="5DBD7928"/>
    <w:rsid w:val="5DFDDEAC"/>
    <w:rsid w:val="5DFFF1BE"/>
    <w:rsid w:val="5E5F3E3A"/>
    <w:rsid w:val="5E69D5C0"/>
    <w:rsid w:val="5E9F37E7"/>
    <w:rsid w:val="5EAF8341"/>
    <w:rsid w:val="5EBF32C0"/>
    <w:rsid w:val="5ED2D0C1"/>
    <w:rsid w:val="5EF59B5A"/>
    <w:rsid w:val="5EF7C515"/>
    <w:rsid w:val="5F2393E2"/>
    <w:rsid w:val="5F2D8885"/>
    <w:rsid w:val="5F2E3F43"/>
    <w:rsid w:val="5F3FACB7"/>
    <w:rsid w:val="5F5B5D1A"/>
    <w:rsid w:val="5F7DC7BD"/>
    <w:rsid w:val="5F887F2B"/>
    <w:rsid w:val="5F9E9BE7"/>
    <w:rsid w:val="5FB34154"/>
    <w:rsid w:val="5FB71D2C"/>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EC6D8E"/>
    <w:rsid w:val="65FF809B"/>
    <w:rsid w:val="65FF9E89"/>
    <w:rsid w:val="677F9BCB"/>
    <w:rsid w:val="67D6B30A"/>
    <w:rsid w:val="67E68AC8"/>
    <w:rsid w:val="67ED942C"/>
    <w:rsid w:val="67F89262"/>
    <w:rsid w:val="67FB3E7F"/>
    <w:rsid w:val="67FF6BFF"/>
    <w:rsid w:val="69F82C7E"/>
    <w:rsid w:val="69FD5DAD"/>
    <w:rsid w:val="6AFBA163"/>
    <w:rsid w:val="6B630D86"/>
    <w:rsid w:val="6B7D5CCB"/>
    <w:rsid w:val="6B7EF021"/>
    <w:rsid w:val="6BBDA28F"/>
    <w:rsid w:val="6BDD16E0"/>
    <w:rsid w:val="6BF574B6"/>
    <w:rsid w:val="6BF738B6"/>
    <w:rsid w:val="6C5F4DE1"/>
    <w:rsid w:val="6C6B524D"/>
    <w:rsid w:val="6CF5FEB4"/>
    <w:rsid w:val="6D6BB1A3"/>
    <w:rsid w:val="6DFED6AE"/>
    <w:rsid w:val="6E5D857F"/>
    <w:rsid w:val="6EEF6F8E"/>
    <w:rsid w:val="6F605B4D"/>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3FD6D2B"/>
    <w:rsid w:val="74D68DFA"/>
    <w:rsid w:val="74FA8977"/>
    <w:rsid w:val="74FFE0C7"/>
    <w:rsid w:val="75FBA4C8"/>
    <w:rsid w:val="76BFF1D5"/>
    <w:rsid w:val="76D69D3D"/>
    <w:rsid w:val="76E7CBB7"/>
    <w:rsid w:val="76FEF56E"/>
    <w:rsid w:val="77599002"/>
    <w:rsid w:val="777EAE86"/>
    <w:rsid w:val="778372CE"/>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BC6DF6"/>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5D2E6F"/>
    <w:rsid w:val="7B7CF697"/>
    <w:rsid w:val="7B7F4E11"/>
    <w:rsid w:val="7B950001"/>
    <w:rsid w:val="7B9C270A"/>
    <w:rsid w:val="7BCEB537"/>
    <w:rsid w:val="7BE7789B"/>
    <w:rsid w:val="7BEE10DC"/>
    <w:rsid w:val="7BEE58F9"/>
    <w:rsid w:val="7BF75684"/>
    <w:rsid w:val="7BFAE620"/>
    <w:rsid w:val="7C9FA30E"/>
    <w:rsid w:val="7CB20A74"/>
    <w:rsid w:val="7CDEBA93"/>
    <w:rsid w:val="7CDF84B4"/>
    <w:rsid w:val="7CFB03BC"/>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CA6E658"/>
    <w:rsid w:val="AE6FDE16"/>
    <w:rsid w:val="AF59E3D1"/>
    <w:rsid w:val="AF6F9F93"/>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AAE7E0A"/>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507F1"/>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6FB649D"/>
    <w:rsid w:val="E77C5123"/>
    <w:rsid w:val="E7BA95C1"/>
    <w:rsid w:val="E7BD3D3E"/>
    <w:rsid w:val="E7DD02D4"/>
    <w:rsid w:val="E7DD2398"/>
    <w:rsid w:val="E7EF872A"/>
    <w:rsid w:val="E7FFA3E7"/>
    <w:rsid w:val="E7FFEB96"/>
    <w:rsid w:val="E7FFFD8B"/>
    <w:rsid w:val="E9FB3ABB"/>
    <w:rsid w:val="EA8F43A3"/>
    <w:rsid w:val="EAAF6036"/>
    <w:rsid w:val="EB5F9C51"/>
    <w:rsid w:val="EB6F4DC8"/>
    <w:rsid w:val="EBB86890"/>
    <w:rsid w:val="EBBE5A61"/>
    <w:rsid w:val="EBDBC436"/>
    <w:rsid w:val="ECBF9CAC"/>
    <w:rsid w:val="ECF5A770"/>
    <w:rsid w:val="ECFD4049"/>
    <w:rsid w:val="ECFFCEFA"/>
    <w:rsid w:val="EDB23B57"/>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D1952"/>
    <w:rsid w:val="EFEFAB69"/>
    <w:rsid w:val="EFF3080D"/>
    <w:rsid w:val="EFFDEC8C"/>
    <w:rsid w:val="EFFF7927"/>
    <w:rsid w:val="EFFF9A15"/>
    <w:rsid w:val="EFFFAFCC"/>
    <w:rsid w:val="F0E37206"/>
    <w:rsid w:val="F0F326DD"/>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BD18EE"/>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EFD421"/>
    <w:rsid w:val="FDF03749"/>
    <w:rsid w:val="FDF773A6"/>
    <w:rsid w:val="FDFB5A2B"/>
    <w:rsid w:val="FDFE336B"/>
    <w:rsid w:val="FEB746F5"/>
    <w:rsid w:val="FEBECBE0"/>
    <w:rsid w:val="FEBF1116"/>
    <w:rsid w:val="FEDE254F"/>
    <w:rsid w:val="FEDFE018"/>
    <w:rsid w:val="FEFC09FC"/>
    <w:rsid w:val="FEFFE3C2"/>
    <w:rsid w:val="FF3BA71D"/>
    <w:rsid w:val="FF3F3237"/>
    <w:rsid w:val="FF499684"/>
    <w:rsid w:val="FF4FAFAA"/>
    <w:rsid w:val="FF5F6F15"/>
    <w:rsid w:val="FF63936B"/>
    <w:rsid w:val="FF6BE88E"/>
    <w:rsid w:val="FF6C7D2B"/>
    <w:rsid w:val="FF76FE3B"/>
    <w:rsid w:val="FF7C5565"/>
    <w:rsid w:val="FF7DDDF7"/>
    <w:rsid w:val="FF9104EE"/>
    <w:rsid w:val="FFBDE605"/>
    <w:rsid w:val="FFE73B43"/>
    <w:rsid w:val="FFE7B3DF"/>
    <w:rsid w:val="FFE900FC"/>
    <w:rsid w:val="FFEBFEEE"/>
    <w:rsid w:val="FFEC0157"/>
    <w:rsid w:val="FFF30A63"/>
    <w:rsid w:val="FFF6C286"/>
    <w:rsid w:val="FFF72DC0"/>
    <w:rsid w:val="FFF98340"/>
    <w:rsid w:val="FFFAC509"/>
    <w:rsid w:val="FFFBA516"/>
    <w:rsid w:val="FFFCB245"/>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2020-09-29T00:58:00Z</dcterms:created>
  <dc:creator>wanghan</dc:creator>
  <cp:lastModifiedBy>wanghan</cp:lastModifiedBy>
  <dcterms:modified xsi:type="dcterms:W3CDTF">2021-08-20T11:31:24Z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