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highlight w:val="none"/>
        </w:rPr>
      </w:pPr>
      <w:r>
        <w:rPr>
          <w:sz w:val="30"/>
          <w:szCs w:val="30"/>
          <w:highlight w:val="none"/>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bookmarkStart w:id="0" w:name="_GoBack"/>
      <w:bookmarkEnd w:id="0"/>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both"/>
        <w:rPr>
          <w:sz w:val="24"/>
        </w:rPr>
      </w:pPr>
      <w:r>
        <w:rPr>
          <w:color w:val="333333"/>
          <w:sz w:val="24"/>
        </w:rPr>
        <w:t>一、报告由</w:t>
      </w:r>
      <w:r>
        <w:rPr>
          <w:rFonts w:hint="eastAsia"/>
          <w:color w:val="333333"/>
          <w:sz w:val="24"/>
          <w:lang w:eastAsia="zh-CN"/>
        </w:rPr>
        <w:t>中企链创（北京）科技有限公司</w:t>
      </w:r>
      <w:r>
        <w:rPr>
          <w:color w:val="333333"/>
          <w:sz w:val="24"/>
        </w:rPr>
        <w:t>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w:t>
      </w:r>
      <w:r>
        <w:rPr>
          <w:rFonts w:hint="eastAsia"/>
          <w:color w:val="333333"/>
          <w:sz w:val="24"/>
          <w:lang w:eastAsia="zh-CN"/>
        </w:rPr>
        <w:t>中企链创（北京）科技有限公司</w:t>
      </w:r>
      <w:r>
        <w:rPr>
          <w:color w:val="333333"/>
          <w:sz w:val="24"/>
        </w:rPr>
        <w:t>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w:t>
      </w:r>
      <w:r>
        <w:rPr>
          <w:rFonts w:hint="eastAsia"/>
          <w:color w:val="333333"/>
          <w:sz w:val="24"/>
          <w:lang w:eastAsia="zh-CN"/>
        </w:rPr>
        <w:t>中企链创（北京）科技有限公司</w:t>
      </w:r>
      <w:r>
        <w:rPr>
          <w:color w:val="333333"/>
          <w:sz w:val="24"/>
        </w:rPr>
        <w:t>保留对其信用状态的跟踪观察并根据实际情况及时调整与公布评估报告内容之权力。</w:t>
      </w:r>
    </w:p>
    <w:p>
      <w:pPr>
        <w:pStyle w:val="5"/>
        <w:jc w:val="both"/>
        <w:rPr>
          <w:sz w:val="24"/>
        </w:rPr>
      </w:pPr>
    </w:p>
    <w:p>
      <w:pPr>
        <w:pStyle w:val="5"/>
        <w:rPr>
          <w:sz w:val="24"/>
        </w:rPr>
      </w:pPr>
    </w:p>
    <w:p>
      <w:pPr>
        <w:pStyle w:val="5"/>
        <w:rPr>
          <w:sz w:val="24"/>
        </w:rPr>
      </w:pPr>
    </w:p>
    <w:p>
      <w:pPr>
        <w:spacing w:before="207"/>
        <w:ind w:leftChars="100" w:right="0"/>
        <w:jc w:val="right"/>
        <w:rPr>
          <w:rFonts w:hint="eastAsia" w:eastAsiaTheme="minorEastAsia"/>
          <w:sz w:val="24"/>
          <w:lang w:eastAsia="zh-CN"/>
        </w:rPr>
      </w:pPr>
      <w:r>
        <w:rPr>
          <w:rFonts w:hint="eastAsia"/>
          <w:color w:val="333333"/>
          <w:sz w:val="24"/>
          <w:lang w:eastAsia="zh-CN"/>
        </w:rPr>
        <w:t>中企链创（北京）科技有限公司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rFonts w:hint="eastAsia"/>
          <w:b/>
          <w:bCs/>
          <w:sz w:val="29"/>
          <w:lang w:val="en-US" w:eastAsia="zh-CN"/>
        </w:rPr>
        <w:t>中企链创</w:t>
      </w:r>
      <w:r>
        <w:rPr>
          <w:b/>
          <w:bCs/>
          <w:sz w:val="29"/>
        </w:rPr>
        <w:t>指数</w:t>
      </w:r>
    </w:p>
    <w:p>
      <w:pPr>
        <w:pStyle w:val="5"/>
        <w:spacing w:before="92"/>
        <w:ind w:left="102"/>
        <w:rPr>
          <w:b/>
          <w:bCs/>
        </w:rPr>
      </w:pPr>
      <w:r>
        <w:rPr>
          <w:b/>
          <w:bCs/>
        </w:rPr>
        <w:t>企业发展指数</w:t>
      </w:r>
    </w:p>
    <w:p>
      <w:pPr>
        <w:pStyle w:val="5"/>
        <w:spacing w:before="92"/>
        <w:ind w:left="102"/>
        <w:rPr>
          <w:b/>
          <w:bCs/>
        </w:rPr>
      </w:pPr>
    </w:p>
    <w:tbl>
      <w:tblPr>
        <w:tblStyle w:val="7"/>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9"/>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9"/>
              <w:rPr>
                <w:rFonts w:ascii="Times New Roman"/>
                <w:sz w:val="18"/>
              </w:rPr>
            </w:pPr>
          </w:p>
        </w:tc>
      </w:tr>
    </w:tbl>
    <w:p>
      <w:pPr>
        <w:pStyle w:val="5"/>
        <w:spacing w:before="1"/>
        <w:rPr>
          <w:sz w:val="28"/>
        </w:rPr>
      </w:pPr>
    </w:p>
    <w:tbl>
      <w:tblPr>
        <w:tblStyle w:val="7"/>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通过著作权、发明专利等指标，判断企业的综合创新能力</w:t>
            </w:r>
          </w:p>
        </w:tc>
      </w:tr>
      <w:tr>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5"/>
        <w:spacing w:before="10"/>
        <w:rPr>
          <w:sz w:val="24"/>
        </w:rPr>
      </w:pPr>
    </w:p>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9"/>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9"/>
              <w:rPr>
                <w:rFonts w:ascii="Times New Roman"/>
                <w:sz w:val="18"/>
              </w:rPr>
            </w:pPr>
          </w:p>
        </w:tc>
      </w:tr>
    </w:tbl>
    <w:p>
      <w:pPr>
        <w:pStyle w:val="5"/>
        <w:spacing w:before="1"/>
        <w:rPr>
          <w:sz w:val="28"/>
        </w:rPr>
      </w:pPr>
    </w:p>
    <w:tbl>
      <w:tblPr>
        <w:tblStyle w:val="7"/>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9"/>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企业业务、企业股东层稳定性、履约能力方面分析，抗风险能力较强</w:t>
            </w:r>
          </w:p>
        </w:tc>
      </w:tr>
    </w:tbl>
    <w:p>
      <w:pPr>
        <w:pStyle w:val="5"/>
        <w:spacing w:before="1"/>
        <w:rPr>
          <w:sz w:val="28"/>
        </w:rPr>
      </w:pPr>
    </w:p>
    <w:tbl>
      <w:tblPr>
        <w:tblStyle w:val="7"/>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670"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rPr>
          <w:trHeight w:val="681"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rPr>
          <w:trHeight w:val="811" w:hRule="atLeast"/>
        </w:trPr>
        <w:tc>
          <w:tcPr>
            <w:tcW w:w="1560"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rPr>
          <w:trHeight w:val="345" w:hRule="atLeast"/>
        </w:trPr>
        <w:tc>
          <w:tcPr>
            <w:tcW w:w="8746"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DOM</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SHXYDM</w:t>
            </w:r>
            <w:r>
              <w:rPr>
                <w:color w:val="333333"/>
                <w:sz w:val="19"/>
              </w:rPr>
              <w:t>}</w:t>
            </w:r>
          </w:p>
        </w:tc>
      </w:tr>
      <w:tr>
        <w:trPr>
          <w:trHeight w:val="345"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560" w:type="dxa"/>
            <w:tcBorders>
              <w:top w:val="single" w:color="7F7F7F" w:sz="6" w:space="0"/>
              <w:right w:val="single" w:color="7F7F7F" w:sz="6" w:space="0"/>
            </w:tcBorders>
            <w:vAlign w:val="center"/>
          </w:tcPr>
          <w:p>
            <w:pPr>
              <w:pStyle w:val="9"/>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9"/>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rPr>
          <w:trHeight w:val="345" w:hRule="atLeast"/>
        </w:trPr>
        <w:tc>
          <w:tcPr>
            <w:tcW w:w="1200"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rPr>
          <w:trHeight w:val="345" w:hRule="atLeast"/>
        </w:trPr>
        <w:tc>
          <w:tcPr>
            <w:tcW w:w="1200"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10"/>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10"/>
        <w:numPr>
          <w:ilvl w:val="0"/>
          <w:numId w:val="0"/>
        </w:numPr>
        <w:tabs>
          <w:tab w:val="left" w:pos="404"/>
        </w:tabs>
        <w:spacing w:before="204" w:after="0" w:line="240" w:lineRule="auto"/>
        <w:ind w:right="0" w:rightChars="0"/>
        <w:jc w:val="left"/>
        <w:rPr>
          <w:sz w:val="36"/>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10"/>
        <w:numPr>
          <w:ilvl w:val="0"/>
          <w:numId w:val="0"/>
        </w:numPr>
        <w:tabs>
          <w:tab w:val="left" w:pos="404"/>
        </w:tabs>
        <w:spacing w:before="204" w:after="0" w:line="240" w:lineRule="auto"/>
        <w:ind w:right="0" w:rightChars="0"/>
        <w:jc w:val="left"/>
        <w:rPr>
          <w:sz w:val="36"/>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10"/>
        <w:numPr>
          <w:ilvl w:val="0"/>
          <w:numId w:val="0"/>
        </w:numPr>
        <w:tabs>
          <w:tab w:val="left" w:pos="404"/>
        </w:tabs>
        <w:spacing w:before="204" w:after="0" w:line="240" w:lineRule="auto"/>
        <w:ind w:right="0" w:rightChars="0"/>
        <w:jc w:val="left"/>
        <w:rPr>
          <w:sz w:val="36"/>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0"/>
        <w:rPr>
          <w:sz w:val="1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10"/>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5"/>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3445A8"/>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DD23D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2020-09-28T00:58:00Z</dcterms:created>
  <dc:creator>wanghan</dc:creator>
  <cp:lastModifiedBy>wanghan</cp:lastModifiedBy>
  <dcterms:modified xsi:type="dcterms:W3CDTF">2021-06-22T11:05:04Z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