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numPr>
          <w:ilvl w:val="0"/>
          <w:numId w:val="0"/>
        </w:numPr>
        <w:wordWrap w:val="0"/>
        <w:autoSpaceDE/>
        <w:autoSpaceDN/>
        <w:spacing w:before="240" w:after="120" w:line="240" w:lineRule="auto"/>
        <w:ind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微信公众号平台参数表</w:t>
      </w:r>
    </w:p>
    <w:tbl>
      <w:tblPr>
        <w:tblStyle w:val="26"/>
        <w:tblpPr w:vertAnchor="text" w:tblpX="-30" w:tblpY="404"/>
        <w:tblW w:w="90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199"/>
        <w:gridCol w:w="1899"/>
        <w:gridCol w:w="4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序号</w:t>
            </w:r>
          </w:p>
        </w:tc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名称</w:t>
            </w:r>
          </w:p>
        </w:tc>
        <w:tc>
          <w:tcPr>
            <w:tcW w:w="18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数量</w:t>
            </w:r>
          </w:p>
        </w:tc>
        <w:tc>
          <w:tcPr>
            <w:tcW w:w="4727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详细参数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6" w:hRule="atLeast"/>
        </w:trPr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1</w:t>
            </w:r>
          </w:p>
        </w:tc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系统服务器</w:t>
            </w:r>
          </w:p>
        </w:tc>
        <w:tc>
          <w:tcPr>
            <w:tcW w:w="18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高主频计算型 cm4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（阿里云）1台</w:t>
            </w:r>
          </w:p>
        </w:tc>
        <w:tc>
          <w:tcPr>
            <w:tcW w:w="4727" w:type="dxa"/>
            <w:shd w:val="clear" w:color="000000" w:fill="auto"/>
            <w:vAlign w:val="top"/>
          </w:tcPr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CPU：Intel Xeon E5-2667 v4（Broadwell）3.2 GHz 8核(高频通用型)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内存：32G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普通云盘：1T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SSD云盘：512G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网络带宽：15M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域名：暂无需要申请或者直接IP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内网带宽：3Gbps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内网发包：40万PPS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系统高效网盘：20G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系统：liunx contos 6.5 64位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网络：专有网络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服务器地域：华南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实例规格类型：通用型g5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实例规格：ecs.g5.8xlarge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用户类型：企业级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I/O：优化型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带宽类型：按固定带宽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TPS：大于期望高峰值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Load：平均每核CPU的load小于1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JVM内存使用率：小于60%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Full GC</w:t>
            </w:r>
            <w:bookmarkStart w:id="0" w:name="_GoBack"/>
            <w:bookmarkEnd w:id="0"/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频率：平均大于半小时1次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Disk Time：小于80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Pages/Sec：1.5-2倍</w:t>
            </w:r>
          </w:p>
          <w:p>
            <w:pPr>
              <w:numPr>
                <w:ilvl w:val="0"/>
                <w:numId w:val="1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Processor Time：40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2</w:t>
            </w:r>
          </w:p>
        </w:tc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数据库</w:t>
            </w:r>
          </w:p>
        </w:tc>
        <w:tc>
          <w:tcPr>
            <w:tcW w:w="18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MySQL数据库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1个</w:t>
            </w:r>
          </w:p>
        </w:tc>
        <w:tc>
          <w:tcPr>
            <w:tcW w:w="4727" w:type="dxa"/>
            <w:shd w:val="clear" w:color="000000" w:fill="auto"/>
            <w:vAlign w:val="top"/>
          </w:tcPr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版本：4.0+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引擎：InnoDB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类型：关系型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权限：开源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MylSAM表(key_buffer_size)：16M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数据包最大(max_allowed_packet)：1M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所有线程打开表的数量(table_open_cache)：64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会话缓存大小(sort_buffer_size)：512K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线程缓存大小(net_buffer_length)：8k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表缓存大小(read_buffer_size)：256K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放弃时间长度(innodb_lock_wait_timeout)：20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默认并发客户端连接数：151</w:t>
            </w:r>
          </w:p>
          <w:p>
            <w:pPr>
              <w:numPr>
                <w:ilvl w:val="0"/>
                <w:numId w:val="2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默认用户同时连接的最大数目：无限制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1" w:hRule="atLeast"/>
        </w:trPr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3</w:t>
            </w:r>
          </w:p>
        </w:tc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微信公众号系统</w:t>
            </w:r>
          </w:p>
        </w:tc>
        <w:tc>
          <w:tcPr>
            <w:tcW w:w="18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1个</w:t>
            </w:r>
          </w:p>
        </w:tc>
        <w:tc>
          <w:tcPr>
            <w:tcW w:w="4727" w:type="dxa"/>
            <w:shd w:val="clear" w:color="000000" w:fill="auto"/>
            <w:vAlign w:val="top"/>
          </w:tcPr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并发数：大于500人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兼容性平台：IOS系统、Android系统、Ipad系统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QPS(吞吐量)：大于</w:t>
            </w:r>
            <w:r>
              <w:rPr>
                <w:rFonts w:hint="eastAsia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120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高数量：无限制接受后台管理系统的数据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安全性：系统采用分布式开发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高性能：系统响应时间为毫秒级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高分离：数据和程序完全分离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CPU占有率：低于30%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I/O：低于20%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网络：小于30%带宽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内存：没有页交换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超时概率：小于万分之一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错误概率：小于万分之一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YSlow评定：C级以上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页面响应：15M带宽小于800ms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2" w:hRule="atLeast"/>
        </w:trPr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4</w:t>
            </w:r>
          </w:p>
        </w:tc>
        <w:tc>
          <w:tcPr>
            <w:tcW w:w="11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后台管理系统</w:t>
            </w:r>
          </w:p>
        </w:tc>
        <w:tc>
          <w:tcPr>
            <w:tcW w:w="1899" w:type="dxa"/>
            <w:shd w:val="clear" w:color="000000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1个</w:t>
            </w:r>
          </w:p>
        </w:tc>
        <w:tc>
          <w:tcPr>
            <w:tcW w:w="4727" w:type="dxa"/>
            <w:shd w:val="clear" w:color="000000" w:fill="auto"/>
            <w:vAlign w:val="top"/>
          </w:tcPr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并发数：大于500人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兼容性平台：PC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兼容浏览器：主流浏览器（IE12+）、推荐谷歌浏览器和360浏览器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QPS(吞吐量)：大于</w:t>
            </w:r>
            <w:r>
              <w:rPr>
                <w:rFonts w:hint="eastAsia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0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高数量：推送后台管理系统的数据数量无限制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安全性：系统采用分布式开发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高性能：系统响应时间为毫秒级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高分离：数据和程序完全分离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CPU占有率：低于50%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I/O：低于30%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网络：小于40%带宽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内存：5页交换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超时概率：小于万分之一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错误概率：小于万分之一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YSlow评定：B级以上</w:t>
            </w:r>
          </w:p>
          <w:p>
            <w:pPr>
              <w:numPr>
                <w:ilvl w:val="0"/>
                <w:numId w:val="3"/>
              </w:numPr>
              <w:wordWrap w:val="0"/>
              <w:autoSpaceDE/>
              <w:autoSpaceDN/>
              <w:spacing w:before="0" w:after="0" w:line="240" w:lineRule="auto"/>
              <w:ind w:left="425" w:leftChars="0" w:right="0" w:hanging="425" w:firstLineChars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  <w:t>页面响应：15M带宽小于1s</w:t>
            </w:r>
          </w:p>
          <w:p>
            <w:pPr>
              <w:numPr>
                <w:ilvl w:val="0"/>
                <w:numId w:val="0"/>
              </w:numPr>
              <w:wordWrap w:val="0"/>
              <w:autoSpaceDE/>
              <w:autoSpaceDN/>
              <w:spacing w:before="0" w:after="0" w:line="240" w:lineRule="auto"/>
              <w:ind w:right="0" w:firstLine="0"/>
              <w:jc w:val="both"/>
              <w:rPr>
                <w:rFonts w:hint="default" w:ascii="Calibri" w:hAnsi="宋体" w:eastAsia="宋体"/>
                <w:smallCaps w:val="0"/>
                <w:color w:val="auto"/>
                <w:spacing w:val="0"/>
                <w:position w:val="0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86C1F"/>
    <w:multiLevelType w:val="singleLevel"/>
    <w:tmpl w:val="B4D86C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D6B24AD"/>
    <w:multiLevelType w:val="singleLevel"/>
    <w:tmpl w:val="0D6B24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F000007"/>
    <w:multiLevelType w:val="multilevel"/>
    <w:tmpl w:val="2F000007"/>
    <w:lvl w:ilvl="0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1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2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3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4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5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6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7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  <w:lvl w:ilvl="8" w:tentative="0">
      <w:start w:val="1"/>
      <w:numFmt w:val="decimal"/>
      <w:suff w:val="nothing"/>
      <w:lvlText w:val="%1、"/>
      <w:lvlJc w:val="left"/>
      <w:rPr>
        <w:rFonts w:ascii="Calibri" w:hAnsi="Calibri" w:eastAsia="宋体"/>
        <w:w w:val="100"/>
        <w:sz w:val="21"/>
        <w:szCs w:val="21"/>
        <w:u w:val="none"/>
        <w:shd w:val="clea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5F5F012C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8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="Times New Roman" w:hAnsi="Times New Roman" w:eastAsia="Times New Roman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="Times New Roman" w:hAnsi="Times New Roman" w:eastAsia="Times New Roman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="Times New Roman" w:hAnsi="Times New Roman" w:eastAsia="Times New Roman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character" w:default="1" w:styleId="22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="Times New Roman" w:hAnsi="Times New Roman" w:eastAsia="Times New Roman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1">
    <w:name w:val="Title"/>
    <w:qFormat/>
    <w:uiPriority w:val="6"/>
    <w:pPr>
      <w:widowControl/>
      <w:wordWrap/>
      <w:autoSpaceDE/>
      <w:autoSpaceDN/>
      <w:jc w:val="center"/>
    </w:pPr>
    <w:rPr>
      <w:rFonts w:ascii="Times New Roman" w:hAnsi="Times New Roman" w:eastAsia="Times New Roman"/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table" w:styleId="26">
    <w:name w:val="Table Grid"/>
    <w:uiPriority w:val="38"/>
    <w:pPr>
      <w:widowControl/>
      <w:wordWrap/>
      <w:autoSpaceDE/>
      <w:autoSpaceDN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7">
    <w:name w:val="No Spacing"/>
    <w:qFormat/>
    <w:uiPriority w:val="5"/>
    <w:pPr>
      <w:widowControl/>
      <w:wordWrap/>
      <w:autoSpaceDE/>
      <w:autoSpaceDN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="Times New Roman" w:hAnsi="Times New Roman" w:eastAsia="Times New Roman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="Times New Roman" w:hAnsi="Times New Roman" w:eastAsia="Times New Roman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="Times New Roman" w:hAnsi="Times New Roman" w:eastAsia="Times New Roman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</Words>
  <Characters>0</Characters>
  <Lines>0</Lines>
  <Paragraphs>0</Paragraphs>
  <TotalTime>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2018-10-25T09:13:37Z</dcterms:created>
  <dc:creator>CQdell</dc:creator>
  <cp:lastModifiedBy>CQdell</cp:lastModifiedBy>
  <dcterms:modified xsi:type="dcterms:W3CDTF">2018-10-25T09:22:19Z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