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81F2B"/>
          <w:sz w:val="44"/>
        </w:rPr>
        <w:t>BOOK UI DESIGN V0.1</w:t>
      </w:r>
    </w:p>
    <w:p>
      <w:pPr>
        <w:spacing w:after="180"/>
      </w:pPr>
      <w:r>
        <w:rPr>
          <w:color w:val="5B6573"/>
          <w:sz w:val="21"/>
        </w:rPr>
        <w:t>把一本书转换为适合理解与记忆的网站 · 产品原则与首版范围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66"/>
            <w:shd w:fill="EAF1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25547A"/>
              </w:rPr>
              <w:t xml:space="preserve">核心命题  </w:t>
            </w:r>
            <w:r>
              <w:t>不是让 AI 陪用户读书，而是把书重组为一套可导航、可解释、可提取、可复习的认知界面。原书仍是主角；AI 的价值是降低无效负荷，并促成主动加工。</w:t>
            </w:r>
          </w:p>
        </w:tc>
      </w:tr>
    </w:tbl>
    <w:p>
      <w:pPr>
        <w:spacing w:after="0"/>
      </w:pPr>
    </w:p>
    <w:p>
      <w:pPr>
        <w:pStyle w:val="Heading1"/>
      </w:pPr>
      <w:r>
        <w:t>1. 产品目标</w:t>
      </w:r>
    </w:p>
    <w:p>
      <w:pPr>
        <w:pStyle w:val="ListBullet"/>
        <w:spacing w:after="40" w:line="254" w:lineRule="auto"/>
        <w:ind w:left="288" w:hanging="202"/>
      </w:pPr>
      <w:r>
        <w:rPr>
          <w:b/>
        </w:rPr>
        <w:t>理解：</w:t>
      </w:r>
      <w:r>
        <w:t>用户能建立全书结构，解释关键概念及其关系，而非只读过摘要。</w:t>
      </w:r>
    </w:p>
    <w:p>
      <w:pPr>
        <w:pStyle w:val="ListBullet"/>
        <w:spacing w:after="40" w:line="254" w:lineRule="auto"/>
        <w:ind w:left="288" w:hanging="202"/>
      </w:pPr>
      <w:r>
        <w:rPr>
          <w:b/>
        </w:rPr>
        <w:t>记忆：</w:t>
      </w:r>
      <w:r>
        <w:t>通过提取练习、间隔复习与生成性表达，把重要内容带出阅读现场。</w:t>
      </w:r>
    </w:p>
    <w:p>
      <w:pPr>
        <w:pStyle w:val="ListBullet"/>
        <w:spacing w:after="40" w:line="254" w:lineRule="auto"/>
        <w:ind w:left="288" w:hanging="202"/>
      </w:pPr>
      <w:r>
        <w:rPr>
          <w:b/>
        </w:rPr>
        <w:t>迁移：</w:t>
      </w:r>
      <w:r>
        <w:t>用户能把书中的模型用于新问题，形成自己的判断或行动。</w:t>
      </w:r>
    </w:p>
    <w:p>
      <w:pPr>
        <w:pStyle w:val="ListBullet"/>
        <w:spacing w:after="40" w:line="254" w:lineRule="auto"/>
        <w:ind w:left="288" w:hanging="202"/>
      </w:pPr>
      <w:r>
        <w:rPr>
          <w:b/>
        </w:rPr>
        <w:t>控制感：</w:t>
      </w:r>
      <w:r>
        <w:t>用户始终知道自己在哪、为何看这一块、下一步可做什么。</w:t>
      </w:r>
    </w:p>
    <w:p>
      <w:pPr>
        <w:pStyle w:val="Heading1"/>
      </w:pPr>
      <w:r>
        <w:t>2. AI 的介入边界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83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AI 应介入</w:t>
            </w:r>
          </w:p>
        </w:tc>
        <w:tc>
          <w:tcPr>
            <w:tcW w:type="dxa" w:w="5083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AI 应保持安静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进入陌生章节前：提供地图、先备知识与阅读问题。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用户正在连续阅读、沉浸或自行推理时。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用户显式求助，或连续行为显示卡住时：分层解释、举例、对比。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答案可直接从当前文本获得，且提示会抢走发现过程时。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段落/章节结束后：发起回忆、辨析误解、连接旧知。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AI 只是在复述原文、制造提醒或追求互动频率时。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复盘时：根据遗忘与薄弱点排序，而非平均重复。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7"/>
              </w:rPr>
              <w:t>用户未授权时，不替其下结论、改写立场或扩展书外内容。</w:t>
            </w:r>
          </w:p>
        </w:tc>
      </w:tr>
    </w:tbl>
    <w:p>
      <w:pPr>
        <w:pStyle w:val="Heading1"/>
      </w:pPr>
      <w:r>
        <w:t>3. 阅读状态（不是四个独立频道，而是一条可往返路径）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224"/>
        <w:gridCol w:w="4680"/>
        <w:gridCol w:w="2736"/>
      </w:tblGrid>
      <w:tr>
        <w:tc>
          <w:tcPr>
            <w:tcW w:type="dxa" w:w="2541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7"/>
              </w:rPr>
              <w:t>状态</w:t>
            </w:r>
          </w:p>
        </w:tc>
        <w:tc>
          <w:tcPr>
            <w:tcW w:type="dxa" w:w="2541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7"/>
              </w:rPr>
              <w:t>认知任务</w:t>
            </w:r>
          </w:p>
        </w:tc>
        <w:tc>
          <w:tcPr>
            <w:tcW w:type="dxa" w:w="2541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7"/>
              </w:rPr>
              <w:t>界面重点</w:t>
            </w:r>
          </w:p>
        </w:tc>
        <w:tc>
          <w:tcPr>
            <w:tcW w:type="dxa" w:w="2541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7"/>
              </w:rPr>
              <w:t>离开条件</w:t>
            </w:r>
          </w:p>
        </w:tc>
      </w:tr>
      <w:tr>
        <w:tc>
          <w:tcPr>
            <w:tcW w:type="dxa" w:w="144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导读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定向</w:t>
            </w:r>
          </w:p>
        </w:tc>
        <w:tc>
          <w:tcPr>
            <w:tcW w:type="dxa" w:w="46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建立全书地图、核心问题与阅读预期</w:t>
            </w:r>
          </w:p>
        </w:tc>
        <w:tc>
          <w:tcPr>
            <w:tcW w:type="dxa" w:w="27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能说出“这本书试图解决什么”</w:t>
            </w:r>
          </w:p>
        </w:tc>
      </w:tr>
      <w:tr>
        <w:tc>
          <w:tcPr>
            <w:tcW w:type="dxa" w:w="144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学习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获取</w:t>
            </w:r>
          </w:p>
        </w:tc>
        <w:tc>
          <w:tcPr>
            <w:tcW w:type="dxa" w:w="46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以原文为轴阅读；术语、上下文与轻量笔记就地可用</w:t>
            </w:r>
          </w:p>
        </w:tc>
        <w:tc>
          <w:tcPr>
            <w:tcW w:type="dxa" w:w="27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能用自己的话复述要点</w:t>
            </w:r>
          </w:p>
        </w:tc>
      </w:tr>
      <w:tr>
        <w:tc>
          <w:tcPr>
            <w:tcW w:type="dxa" w:w="144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深入理解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建模</w:t>
            </w:r>
          </w:p>
        </w:tc>
        <w:tc>
          <w:tcPr>
            <w:tcW w:type="dxa" w:w="46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拆论证、看关系、做反例与跨章连接</w:t>
            </w:r>
          </w:p>
        </w:tc>
        <w:tc>
          <w:tcPr>
            <w:tcW w:type="dxa" w:w="27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能解释为什么、边界在哪里</w:t>
            </w:r>
          </w:p>
        </w:tc>
      </w:tr>
      <w:tr>
        <w:tc>
          <w:tcPr>
            <w:tcW w:type="dxa" w:w="144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复盘</w:t>
            </w:r>
          </w:p>
        </w:tc>
        <w:tc>
          <w:tcPr>
            <w:tcW w:type="dxa" w:w="122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提取</w:t>
            </w:r>
          </w:p>
        </w:tc>
        <w:tc>
          <w:tcPr>
            <w:tcW w:type="dxa" w:w="468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闭卷回忆、纠错、间隔重访与迁移题</w:t>
            </w:r>
          </w:p>
        </w:tc>
        <w:tc>
          <w:tcPr>
            <w:tcW w:type="dxa" w:w="273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能在新情境中调用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color w:val="181F2B"/>
          <w:sz w:val="38"/>
        </w:rPr>
        <w:t>V0.1 范围与体验验收</w:t>
      </w:r>
    </w:p>
    <w:p>
      <w:pPr>
        <w:pStyle w:val="Heading1"/>
      </w:pPr>
      <w:r>
        <w:t>4. 第一版保留的组件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672"/>
        <w:gridCol w:w="4536"/>
      </w:tblGrid>
      <w:tr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组件</w:t>
            </w:r>
          </w:p>
        </w:tc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解决的问题</w:t>
            </w:r>
          </w:p>
        </w:tc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V0.1 设计约束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全书地图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消除迷路感；呈现章节、概念与进度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默认简洁，按需展开；不做复杂知识图谱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阅读主视图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保持原文连续性与注意力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原文占视觉中心；一次只突出一个阅读目标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上下文解释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解决术语、指代、背景与例子障碍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选中/提问后出现；先短答，再允许深入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理解卡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把关键概念、论证、关系变成可操作单元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仅在高价值节点出现；用户可跳过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主动回忆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用提取而非重读检验记忆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章节末 1–3 题；先作答，后反馈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个人笔记与连接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促成生成性加工，区分“作者说”与“我认为”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轻量记录，可链接原文与旧笔记</w:t>
            </w:r>
          </w:p>
        </w:tc>
      </w:tr>
      <w:tr>
        <w:tc>
          <w:tcPr>
            <w:tcW w:type="dxa" w:w="1872"/>
            <w:shd w:fill="F5F7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复盘队列</w:t>
            </w:r>
          </w:p>
        </w:tc>
        <w:tc>
          <w:tcPr>
            <w:tcW w:type="dxa" w:w="367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按遗忘和薄弱点安排下一次接触</w:t>
            </w:r>
          </w:p>
        </w:tc>
        <w:tc>
          <w:tcPr>
            <w:tcW w:type="dxa" w:w="45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展示理由与预计时长；允许用户调整</w:t>
            </w:r>
          </w:p>
        </w:tc>
      </w:tr>
    </w:tbl>
    <w:p>
      <w:pPr>
        <w:pStyle w:val="Heading1"/>
      </w:pPr>
      <w:r>
        <w:t>5. 什么时候应该留白</w:t>
      </w:r>
    </w:p>
    <w:p>
      <w:pPr>
        <w:pStyle w:val="ListBullet"/>
        <w:spacing w:after="40" w:line="254" w:lineRule="auto"/>
        <w:ind w:left="288" w:hanging="202"/>
      </w:pPr>
      <w:r>
        <w:t>阅读连续段落时：不悬浮提示、不自动弹卡、不用聊天入口争夺主视线。</w:t>
      </w:r>
    </w:p>
    <w:p>
      <w:pPr>
        <w:pStyle w:val="ListBullet"/>
        <w:spacing w:after="40" w:line="254" w:lineRule="auto"/>
        <w:ind w:left="288" w:hanging="202"/>
      </w:pPr>
      <w:r>
        <w:t>提出问题后：给用户真正思考的时间；答案与提示分层揭示。</w:t>
      </w:r>
    </w:p>
    <w:p>
      <w:pPr>
        <w:pStyle w:val="ListBullet"/>
        <w:spacing w:after="40" w:line="254" w:lineRule="auto"/>
        <w:ind w:left="288" w:hanging="202"/>
      </w:pPr>
      <w:r>
        <w:t>关键观点之后：用空间标记节奏，让概念“落地”，而不是马上追加更多内容。</w:t>
      </w:r>
    </w:p>
    <w:p>
      <w:pPr>
        <w:pStyle w:val="ListBullet"/>
        <w:spacing w:after="40" w:line="254" w:lineRule="auto"/>
        <w:ind w:left="288" w:hanging="202"/>
      </w:pPr>
      <w:r>
        <w:t>用户已有明确路径时：减少推荐和下一步按钮；留白也是“系统相信用户”的信号。</w:t>
      </w:r>
    </w:p>
    <w:p>
      <w:pPr>
        <w:pStyle w:val="Heading1"/>
      </w:pPr>
      <w:r>
        <w:t>6. 成功标准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66"/>
            <w:shd w:fill="EAF1F6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25547A"/>
              </w:rPr>
              <w:t xml:space="preserve">北极星  </w:t>
            </w:r>
            <w:r>
              <w:t>用户在数天后，仍能独立重建关键思想，并把它用于一个新问题。完成率与停留时长只能作为诊断信号，不应成为最终目标。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184"/>
        <w:gridCol w:w="3096"/>
      </w:tblGrid>
      <w:tr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维度</w:t>
            </w:r>
          </w:p>
        </w:tc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核心判断</w:t>
            </w:r>
          </w:p>
        </w:tc>
        <w:tc>
          <w:tcPr>
            <w:tcW w:type="dxa" w:w="3389"/>
            <w:shd w:fill="EAF1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25547A"/>
                <w:sz w:val="18"/>
              </w:rPr>
              <w:t>V0.1 可观察信号</w:t>
            </w:r>
          </w:p>
        </w:tc>
      </w:tr>
      <w:tr>
        <w:tc>
          <w:tcPr>
            <w:tcW w:type="dxa" w:w="1800"/>
            <w:shd w:fill="F5F7F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理解</w:t>
            </w:r>
          </w:p>
        </w:tc>
        <w:tc>
          <w:tcPr>
            <w:tcW w:type="dxa" w:w="51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能复述结构、解释关键概念与论证链</w:t>
            </w:r>
          </w:p>
        </w:tc>
        <w:tc>
          <w:tcPr>
            <w:tcW w:type="dxa" w:w="309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延迟理解题；自我解释质量</w:t>
            </w:r>
          </w:p>
        </w:tc>
      </w:tr>
      <w:tr>
        <w:tc>
          <w:tcPr>
            <w:tcW w:type="dxa" w:w="1800"/>
            <w:shd w:fill="F5F7F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记忆</w:t>
            </w:r>
          </w:p>
        </w:tc>
        <w:tc>
          <w:tcPr>
            <w:tcW w:type="dxa" w:w="51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隔天/隔周仍能主动提取，而非只会识别</w:t>
            </w:r>
          </w:p>
        </w:tc>
        <w:tc>
          <w:tcPr>
            <w:tcW w:type="dxa" w:w="309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延迟回忆正确率；复盘后增益</w:t>
            </w:r>
          </w:p>
        </w:tc>
      </w:tr>
      <w:tr>
        <w:tc>
          <w:tcPr>
            <w:tcW w:type="dxa" w:w="1800"/>
            <w:shd w:fill="F5F7F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迁移</w:t>
            </w:r>
          </w:p>
        </w:tc>
        <w:tc>
          <w:tcPr>
            <w:tcW w:type="dxa" w:w="51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能将模型用于未见过的情境</w:t>
            </w:r>
          </w:p>
        </w:tc>
        <w:tc>
          <w:tcPr>
            <w:tcW w:type="dxa" w:w="309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开放迁移题；行动/决策记录</w:t>
            </w:r>
          </w:p>
        </w:tc>
      </w:tr>
      <w:tr>
        <w:tc>
          <w:tcPr>
            <w:tcW w:type="dxa" w:w="1800"/>
            <w:shd w:fill="F5F7F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体验</w:t>
            </w:r>
          </w:p>
        </w:tc>
        <w:tc>
          <w:tcPr>
            <w:tcW w:type="dxa" w:w="51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AI 有用但不打扰，用户保有节奏与控制</w:t>
            </w:r>
          </w:p>
        </w:tc>
        <w:tc>
          <w:tcPr>
            <w:tcW w:type="dxa" w:w="309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打断率、跳过率、求助后继续阅读率</w:t>
            </w:r>
          </w:p>
        </w:tc>
      </w:tr>
      <w:tr>
        <w:tc>
          <w:tcPr>
            <w:tcW w:type="dxa" w:w="1800"/>
            <w:shd w:fill="F5F7F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/>
                <w:color w:val="181F2B"/>
                <w:sz w:val="16"/>
              </w:rPr>
              <w:t>效率</w:t>
            </w:r>
          </w:p>
        </w:tc>
        <w:tc>
          <w:tcPr>
            <w:tcW w:type="dxa" w:w="51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以更少无效重读获得同等或更好结果</w:t>
            </w:r>
          </w:p>
        </w:tc>
        <w:tc>
          <w:tcPr>
            <w:tcW w:type="dxa" w:w="309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TSong" w:hAnsi="STSong" w:eastAsia="STSong"/>
                <w:b w:val="0"/>
                <w:color w:val="181F2B"/>
                <w:sz w:val="16"/>
              </w:rPr>
              <w:t>达成同等理解所需时间与重复次数</w:t>
            </w:r>
          </w:p>
        </w:tc>
      </w:tr>
    </w:tbl>
    <w:p>
      <w:pPr>
        <w:pStyle w:val="Heading1"/>
      </w:pPr>
      <w:r>
        <w:t>7. V0.1 的取舍原则</w:t>
      </w:r>
    </w:p>
    <w:p>
      <w:pPr>
        <w:spacing w:after="0"/>
      </w:pPr>
      <w:r>
        <w:rPr>
          <w:b/>
        </w:rPr>
        <w:t>保留：</w:t>
      </w:r>
      <w:r>
        <w:t xml:space="preserve">能改变理解或记忆结果的组件。  </w:t>
      </w:r>
      <w:r>
        <w:rPr>
          <w:b/>
        </w:rPr>
        <w:t>延后：</w:t>
      </w:r>
      <w:r>
        <w:t xml:space="preserve">社交、复杂可视化、无穷追问、全自动总结与内容流推荐。  </w:t>
      </w:r>
      <w:r>
        <w:rPr>
          <w:b/>
        </w:rPr>
        <w:t>判断句：</w:t>
      </w:r>
      <w:r>
        <w:t>如果移除某组件不会降低理解、记忆或控制感，它就不属于第一版。</w:t>
      </w:r>
    </w:p>
    <w:sectPr w:rsidR="00FC693F" w:rsidRPr="0006063C" w:rsidSect="00034616">
      <w:footerReference w:type="default" r:id="rId9"/>
      <w:pgSz w:w="12240" w:h="15840"/>
      <w:pgMar w:top="950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>Book UI Design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STSong" w:hAnsi="STSong" w:eastAsia="STSong"/>
      <w:color w:val="181F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2554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2554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