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0F3358">
      <w:pPr>
        <w:pStyle w:val="2"/>
      </w:pPr>
      <w:bookmarkStart w:id="0" w:name="深圳市环评报告书智能审核体系与核心功能设计"/>
      <w:r>
        <w:t>深圳市环评报告书智能审核体系与核心功能设计</w:t>
      </w:r>
    </w:p>
    <w:p w14:paraId="580F9A3D">
      <w:pPr>
        <w:pStyle w:val="4"/>
      </w:pPr>
      <w:bookmarkStart w:id="1" w:name="审核依据的标准体系框架"/>
      <w:r>
        <w:t>1. 审核依据的标准体系框架</w:t>
      </w:r>
    </w:p>
    <w:p w14:paraId="22F6845A">
      <w:pPr>
        <w:pStyle w:val="5"/>
      </w:pPr>
      <w:bookmarkStart w:id="2" w:name="国家层面核心标准"/>
      <w:r>
        <w:t>1.1 国家层面核心标准</w:t>
      </w:r>
    </w:p>
    <w:p w14:paraId="34CC037B">
      <w:pPr>
        <w:pStyle w:val="6"/>
      </w:pPr>
      <w:bookmarkStart w:id="3" w:name="技术评估基础标准"/>
      <w:r>
        <w:t>1.1.1 技术评估基础标准</w:t>
      </w:r>
    </w:p>
    <w:p w14:paraId="19EF62D9">
      <w:pPr>
        <w:pStyle w:val="27"/>
      </w:pPr>
      <w:r>
        <w:rPr>
          <w:b/>
          <w:bCs/>
        </w:rPr>
        <w:t>HJ 616-2011《建设项目环境影响技术评估导则》</w:t>
      </w:r>
      <w:r>
        <w:t xml:space="preserve">是深圳市环评报告书智能审核工作的核心依据性文件，于2011年9月1日正式实施，是我国环境影响评价技术评估领域的首部国家标准 </w:t>
      </w:r>
      <w:r>
        <w:fldChar w:fldCharType="begin"/>
      </w:r>
      <w:r>
        <w:instrText xml:space="preserve"> HYPERLINK "https://ebook.chinabuilding.com.cn/zbooklib/bookpdf/probation?SiteID=1&amp;bookID=112142" \h </w:instrText>
      </w:r>
      <w:r>
        <w:fldChar w:fldCharType="separate"/>
      </w:r>
      <w:r>
        <w:rPr>
          <w:rStyle w:val="24"/>
        </w:rPr>
        <w:t>(国标电子书库)</w:t>
      </w:r>
      <w:r>
        <w:rPr>
          <w:rStyle w:val="24"/>
        </w:rPr>
        <w:fldChar w:fldCharType="end"/>
      </w:r>
      <w:r>
        <w:t xml:space="preserve"> 。该标准系统规定了建设项目环境影响技术评估的原则、基本内容、方法程序以及各环境要素评估的具体要点和要求，适用于各级环境影响评估机构对建设项目环境影响评价文件进行技术评估，但明确排除了核设施及其他可能产生放射性污染、输变电工程及其他产生电磁环境影响的建设项目 </w:t>
      </w:r>
      <w:r>
        <w:fldChar w:fldCharType="begin"/>
      </w:r>
      <w:r>
        <w:instrText xml:space="preserve"> HYPERLINK "https://ebook.chinabuilding.com.cn/zbooklib/bookpdf/probation?SiteID=1&amp;bookID=112142" \h </w:instrText>
      </w:r>
      <w:r>
        <w:fldChar w:fldCharType="separate"/>
      </w:r>
      <w:r>
        <w:rPr>
          <w:rStyle w:val="24"/>
        </w:rPr>
        <w:t>(国标电子书库)</w:t>
      </w:r>
      <w:r>
        <w:rPr>
          <w:rStyle w:val="24"/>
        </w:rPr>
        <w:fldChar w:fldCharType="end"/>
      </w:r>
      <w:r>
        <w:t xml:space="preserve"> 。</w:t>
      </w:r>
    </w:p>
    <w:p w14:paraId="716B5B04">
      <w:pPr>
        <w:pStyle w:val="3"/>
      </w:pPr>
      <w:r>
        <w:t>该标准的技术框架包含六个核心章节，其中</w:t>
      </w:r>
      <w:r>
        <w:rPr>
          <w:b/>
          <w:bCs/>
        </w:rPr>
        <w:t>第5章”环境影响技术评估的原则、基本内容与方法”</w:t>
      </w:r>
      <w:r>
        <w:t>和</w:t>
      </w:r>
      <w:r>
        <w:rPr>
          <w:b/>
          <w:bCs/>
        </w:rPr>
        <w:t>第6章”环境影响技术评估的要点和要求”</w:t>
      </w:r>
      <w:r>
        <w:t>构成了技术评估的方法论基础。第5章确立了六项基本原则：</w:t>
      </w:r>
      <w:r>
        <w:rPr>
          <w:b/>
          <w:bCs/>
        </w:rPr>
        <w:t>为科学决策服务的原则、客观公正原则、与环境影响评价采用相同依据的原则、突出重点原则、广泛参与原则、技术指导性原则</w:t>
      </w:r>
      <w:r>
        <w:t xml:space="preserve"> </w:t>
      </w:r>
      <w:r>
        <w:fldChar w:fldCharType="begin"/>
      </w:r>
      <w:r>
        <w:instrText xml:space="preserve"> HYPERLINK "https://ebook.chinabuilding.com.cn/zbooklib/bookpdf/probation?SiteID=1&amp;bookID=112142" \h </w:instrText>
      </w:r>
      <w:r>
        <w:fldChar w:fldCharType="separate"/>
      </w:r>
      <w:r>
        <w:rPr>
          <w:rStyle w:val="24"/>
        </w:rPr>
        <w:t>(国标电子书库)</w:t>
      </w:r>
      <w:r>
        <w:rPr>
          <w:rStyle w:val="24"/>
        </w:rPr>
        <w:fldChar w:fldCharType="end"/>
      </w:r>
      <w:r>
        <w:t xml:space="preserve"> 。这些原则为智能审核系统的算法设计提供了价值导向——“客观公正原则”要求系统具备可解释性和可追溯性，“突出重点原则”要求系统能够自动识别项目的环境敏感特征并差异化配置审核资源。第6章则针对各环境要素和专项内容提出了具体的技术评估要点，是智能审核规则库构建的直接依据。</w:t>
      </w:r>
    </w:p>
    <w:p w14:paraId="70491E5C">
      <w:pPr>
        <w:pStyle w:val="3"/>
      </w:pPr>
      <w:r>
        <w:t>与HJ 616-2011相配套，</w:t>
      </w:r>
      <w:r>
        <w:rPr>
          <w:b/>
          <w:bCs/>
        </w:rPr>
        <w:t>HJ 2.1《建设项目环境影响评价技术导则 总纲》</w:t>
      </w:r>
      <w:r>
        <w:t xml:space="preserve">作为评价工作的总体框架性文件，规定了环境影响评价的一般性原则、工作程序、内容和方法。2016年修订版总纲强化了”以改善环境质量为核心”的导向，明确要求对存在环境风险的建设项目开展环境风险评价，对存在较大潜在人群健康风险的建设项目开展影响人群健康的潜在环境风险因素识别 </w:t>
      </w:r>
      <w:r>
        <w:fldChar w:fldCharType="begin"/>
      </w:r>
      <w:r>
        <w:instrText xml:space="preserve"> HYPERLINK "https://www.cepsw.com/html/news/show-704.html" \h </w:instrText>
      </w:r>
      <w:r>
        <w:fldChar w:fldCharType="separate"/>
      </w:r>
      <w:r>
        <w:rPr>
          <w:rStyle w:val="24"/>
        </w:rPr>
        <w:t>(cepsw.com)</w:t>
      </w:r>
      <w:r>
        <w:rPr>
          <w:rStyle w:val="24"/>
        </w:rPr>
        <w:fldChar w:fldCharType="end"/>
      </w:r>
      <w:r>
        <w:t xml:space="preserve"> 。总纲还系统规定了环境保护措施可行性论证的五个维度：</w:t>
      </w:r>
      <w:r>
        <w:rPr>
          <w:b/>
          <w:bCs/>
        </w:rPr>
        <w:t>技术可行性、经济合理性、长期稳定运行和达标排放的可靠性、满足环境质量改善和排污许可要求的可行性、生态保护和恢复效果的可达性</w:t>
      </w:r>
      <w:r>
        <w:t xml:space="preserve"> </w:t>
      </w:r>
      <w:r>
        <w:fldChar w:fldCharType="begin"/>
      </w:r>
      <w:r>
        <w:instrText xml:space="preserve"> HYPERLINK "https://www.cepsw.com/html/news/show-704.html" \h </w:instrText>
      </w:r>
      <w:r>
        <w:fldChar w:fldCharType="separate"/>
      </w:r>
      <w:r>
        <w:rPr>
          <w:rStyle w:val="24"/>
        </w:rPr>
        <w:t>(cepsw.com)</w:t>
      </w:r>
      <w:r>
        <w:rPr>
          <w:rStyle w:val="24"/>
        </w:rPr>
        <w:fldChar w:fldCharType="end"/>
      </w:r>
      <w:r>
        <w:t xml:space="preserve"> ，为智能审核系统中的措施评估模块提供了明确的判断标准。</w:t>
      </w:r>
    </w:p>
    <w:bookmarkEnd w:id="3"/>
    <w:p w14:paraId="1C27207C">
      <w:pPr>
        <w:pStyle w:val="6"/>
      </w:pPr>
      <w:bookmarkStart w:id="4" w:name="各环境要素专项导则"/>
      <w:r>
        <w:t>1.1.2 各环境要素专项导则</w:t>
      </w:r>
    </w:p>
    <w:tbl>
      <w:tblPr>
        <w:tblStyle w:val="45"/>
        <w:tblW w:w="5000" w:type="pct"/>
        <w:tblInd w:w="0" w:type="dxa"/>
        <w:tblLayout w:type="fixed"/>
        <w:tblCellMar>
          <w:top w:w="0" w:type="dxa"/>
          <w:left w:w="108" w:type="dxa"/>
          <w:bottom w:w="0" w:type="dxa"/>
          <w:right w:w="108" w:type="dxa"/>
        </w:tblCellMar>
      </w:tblPr>
      <w:tblGrid>
        <w:gridCol w:w="1898"/>
        <w:gridCol w:w="1898"/>
        <w:gridCol w:w="2319"/>
        <w:gridCol w:w="2741"/>
      </w:tblGrid>
      <w:tr w14:paraId="19A6129D">
        <w:tblPrEx>
          <w:tblCellMar>
            <w:top w:w="0" w:type="dxa"/>
            <w:left w:w="108" w:type="dxa"/>
            <w:bottom w:w="0" w:type="dxa"/>
            <w:right w:w="108" w:type="dxa"/>
          </w:tblCellMar>
        </w:tblPrEx>
        <w:trPr>
          <w:tblHeader/>
        </w:trPr>
        <w:tc>
          <w:p w14:paraId="2A93E9C2">
            <w:pPr>
              <w:pStyle w:val="28"/>
              <w:jc w:val="left"/>
            </w:pPr>
            <w:r>
              <w:t>环境要素</w:t>
            </w:r>
          </w:p>
        </w:tc>
        <w:tc>
          <w:p w14:paraId="3BEB84B5">
            <w:pPr>
              <w:pStyle w:val="28"/>
              <w:jc w:val="left"/>
            </w:pPr>
            <w:r>
              <w:t>标准编号</w:t>
            </w:r>
          </w:p>
        </w:tc>
        <w:tc>
          <w:p w14:paraId="418914B7">
            <w:pPr>
              <w:pStyle w:val="28"/>
              <w:jc w:val="left"/>
            </w:pPr>
            <w:r>
              <w:t>核心审核要点</w:t>
            </w:r>
          </w:p>
        </w:tc>
        <w:tc>
          <w:p w14:paraId="7DFACFAA">
            <w:pPr>
              <w:pStyle w:val="28"/>
              <w:jc w:val="left"/>
            </w:pPr>
            <w:r>
              <w:t>智能审核关键功能</w:t>
            </w:r>
          </w:p>
        </w:tc>
      </w:tr>
      <w:tr w14:paraId="6CD505F8">
        <w:tblPrEx>
          <w:tblCellMar>
            <w:top w:w="0" w:type="dxa"/>
            <w:left w:w="108" w:type="dxa"/>
            <w:bottom w:w="0" w:type="dxa"/>
            <w:right w:w="108" w:type="dxa"/>
          </w:tblCellMar>
        </w:tblPrEx>
        <w:tc>
          <w:p w14:paraId="74C95410">
            <w:pPr>
              <w:pStyle w:val="28"/>
              <w:jc w:val="left"/>
            </w:pPr>
            <w:r>
              <w:rPr>
                <w:b/>
                <w:bCs/>
              </w:rPr>
              <w:t>大气环境</w:t>
            </w:r>
          </w:p>
        </w:tc>
        <w:tc>
          <w:p w14:paraId="241C4975">
            <w:pPr>
              <w:pStyle w:val="28"/>
              <w:jc w:val="left"/>
            </w:pPr>
            <w:r>
              <w:t>HJ 2.2-2018</w:t>
            </w:r>
          </w:p>
        </w:tc>
        <w:tc>
          <w:p w14:paraId="1DE3DD89">
            <w:pPr>
              <w:pStyle w:val="28"/>
              <w:jc w:val="left"/>
            </w:pPr>
            <w:r>
              <w:t>评价等级判定（Pmax、D10%）、预测模型选择（AERMOD/ADMS/CALPUFF）、环境防护距离计算</w:t>
            </w:r>
          </w:p>
        </w:tc>
        <w:tc>
          <w:p w14:paraId="0D01B0B5">
            <w:pPr>
              <w:pStyle w:val="28"/>
              <w:jc w:val="left"/>
            </w:pPr>
            <w:r>
              <w:t>等级自动判定与复核、模型适用性判断、敏感目标影响评估、达标可行性分析</w:t>
            </w:r>
          </w:p>
        </w:tc>
      </w:tr>
      <w:tr w14:paraId="1F4FFDF5">
        <w:tblPrEx>
          <w:tblCellMar>
            <w:top w:w="0" w:type="dxa"/>
            <w:left w:w="108" w:type="dxa"/>
            <w:bottom w:w="0" w:type="dxa"/>
            <w:right w:w="108" w:type="dxa"/>
          </w:tblCellMar>
        </w:tblPrEx>
        <w:tc>
          <w:p w14:paraId="6AE8DBD5">
            <w:pPr>
              <w:pStyle w:val="28"/>
              <w:jc w:val="left"/>
            </w:pPr>
            <w:r>
              <w:rPr>
                <w:b/>
                <w:bCs/>
              </w:rPr>
              <w:t>地表水环境</w:t>
            </w:r>
          </w:p>
        </w:tc>
        <w:tc>
          <w:p w14:paraId="32D4563A">
            <w:pPr>
              <w:pStyle w:val="28"/>
              <w:jc w:val="left"/>
            </w:pPr>
            <w:r>
              <w:t>HJ 2.3-2018</w:t>
            </w:r>
          </w:p>
        </w:tc>
        <w:tc>
          <w:p w14:paraId="124075B9">
            <w:pPr>
              <w:pStyle w:val="28"/>
              <w:jc w:val="left"/>
            </w:pPr>
            <w:r>
              <w:t>水污染影响型/水文要素影响型分类、评价等级判定、数学模型预测、纳管可行性分析</w:t>
            </w:r>
          </w:p>
        </w:tc>
        <w:tc>
          <w:p w14:paraId="410E2187">
            <w:pPr>
              <w:pStyle w:val="28"/>
              <w:jc w:val="left"/>
            </w:pPr>
            <w:r>
              <w:t>类型自动识别、等级判定复核、污水处理厂接纳能力核验、预测方法科学性评价</w:t>
            </w:r>
          </w:p>
        </w:tc>
      </w:tr>
      <w:tr w14:paraId="425F2D19">
        <w:tblPrEx>
          <w:tblCellMar>
            <w:top w:w="0" w:type="dxa"/>
            <w:left w:w="108" w:type="dxa"/>
            <w:bottom w:w="0" w:type="dxa"/>
            <w:right w:w="108" w:type="dxa"/>
          </w:tblCellMar>
        </w:tblPrEx>
        <w:tc>
          <w:p w14:paraId="4DF4ABBE">
            <w:pPr>
              <w:pStyle w:val="28"/>
              <w:jc w:val="left"/>
            </w:pPr>
            <w:r>
              <w:rPr>
                <w:b/>
                <w:bCs/>
              </w:rPr>
              <w:t>地下水环境</w:t>
            </w:r>
          </w:p>
        </w:tc>
        <w:tc>
          <w:p w14:paraId="7BE248B1">
            <w:pPr>
              <w:pStyle w:val="28"/>
              <w:jc w:val="left"/>
            </w:pPr>
            <w:r>
              <w:t>HJ 610-2016</w:t>
            </w:r>
          </w:p>
        </w:tc>
        <w:tc>
          <w:p w14:paraId="111B4B29">
            <w:pPr>
              <w:pStyle w:val="28"/>
              <w:jc w:val="left"/>
            </w:pPr>
            <w:r>
              <w:t>影响识别、水文地质条件调查、分区防渗设计、监测井设置</w:t>
            </w:r>
          </w:p>
        </w:tc>
        <w:tc>
          <w:p w14:paraId="5E02E4A7">
            <w:pPr>
              <w:pStyle w:val="28"/>
              <w:jc w:val="left"/>
            </w:pPr>
            <w:r>
              <w:t>项目类别判定、防渗分区合理性审核、预测模型参数校验</w:t>
            </w:r>
          </w:p>
        </w:tc>
      </w:tr>
      <w:tr w14:paraId="2190A895">
        <w:tblPrEx>
          <w:tblCellMar>
            <w:top w:w="0" w:type="dxa"/>
            <w:left w:w="108" w:type="dxa"/>
            <w:bottom w:w="0" w:type="dxa"/>
            <w:right w:w="108" w:type="dxa"/>
          </w:tblCellMar>
        </w:tblPrEx>
        <w:tc>
          <w:p w14:paraId="0733A36A">
            <w:pPr>
              <w:pStyle w:val="28"/>
              <w:jc w:val="left"/>
            </w:pPr>
            <w:r>
              <w:rPr>
                <w:b/>
                <w:bCs/>
              </w:rPr>
              <w:t>声环境</w:t>
            </w:r>
          </w:p>
        </w:tc>
        <w:tc>
          <w:p w14:paraId="58AB2669">
            <w:pPr>
              <w:pStyle w:val="28"/>
              <w:jc w:val="left"/>
            </w:pPr>
            <w:r>
              <w:t>HJ 2.4-2021</w:t>
            </w:r>
          </w:p>
        </w:tc>
        <w:tc>
          <w:p w14:paraId="789E821F">
            <w:pPr>
              <w:pStyle w:val="28"/>
              <w:jc w:val="left"/>
            </w:pPr>
            <w:r>
              <w:t>评价等级判定、噪声源强确定（设备参数/类比/实测）、传播途径分析、降噪措施效果</w:t>
            </w:r>
          </w:p>
        </w:tc>
        <w:tc>
          <w:p w14:paraId="7F4549C1">
            <w:pPr>
              <w:pStyle w:val="28"/>
              <w:jc w:val="left"/>
            </w:pPr>
            <w:r>
              <w:t>等级自动判定、源强方法合理性判断、衰减因素完整性评估、厂界达标预判</w:t>
            </w:r>
          </w:p>
        </w:tc>
      </w:tr>
      <w:tr w14:paraId="52F66403">
        <w:tblPrEx>
          <w:tblCellMar>
            <w:top w:w="0" w:type="dxa"/>
            <w:left w:w="108" w:type="dxa"/>
            <w:bottom w:w="0" w:type="dxa"/>
            <w:right w:w="108" w:type="dxa"/>
          </w:tblCellMar>
        </w:tblPrEx>
        <w:tc>
          <w:p w14:paraId="57C51CF1">
            <w:pPr>
              <w:pStyle w:val="28"/>
              <w:jc w:val="left"/>
            </w:pPr>
            <w:r>
              <w:rPr>
                <w:b/>
                <w:bCs/>
              </w:rPr>
              <w:t>生态环境</w:t>
            </w:r>
          </w:p>
        </w:tc>
        <w:tc>
          <w:p w14:paraId="18E543E4">
            <w:pPr>
              <w:pStyle w:val="28"/>
              <w:jc w:val="left"/>
            </w:pPr>
            <w:r>
              <w:t>HJ 19-2022</w:t>
            </w:r>
          </w:p>
        </w:tc>
        <w:tc>
          <w:p w14:paraId="4A17FF59">
            <w:pPr>
              <w:pStyle w:val="28"/>
              <w:jc w:val="left"/>
            </w:pPr>
            <w:r>
              <w:t>生态敏感区识别、评价等级判定、现状调查方法、保护措施层次性（避让-减缓-修复-补偿）</w:t>
            </w:r>
          </w:p>
        </w:tc>
        <w:tc>
          <w:p w14:paraId="60031252">
            <w:pPr>
              <w:pStyle w:val="28"/>
              <w:jc w:val="left"/>
            </w:pPr>
            <w:r>
              <w:t>敏感区自动识别、等级判定复核、调查规范性评估、措施有效性评价</w:t>
            </w:r>
          </w:p>
        </w:tc>
      </w:tr>
      <w:tr w14:paraId="13ADE269">
        <w:tblPrEx>
          <w:tblCellMar>
            <w:top w:w="0" w:type="dxa"/>
            <w:left w:w="108" w:type="dxa"/>
            <w:bottom w:w="0" w:type="dxa"/>
            <w:right w:w="108" w:type="dxa"/>
          </w:tblCellMar>
        </w:tblPrEx>
        <w:tc>
          <w:p w14:paraId="04E0E49E">
            <w:pPr>
              <w:pStyle w:val="28"/>
              <w:jc w:val="left"/>
            </w:pPr>
            <w:r>
              <w:rPr>
                <w:b/>
                <w:bCs/>
              </w:rPr>
              <w:t>土壤环境</w:t>
            </w:r>
          </w:p>
        </w:tc>
        <w:tc>
          <w:p w14:paraId="2439ABD3">
            <w:pPr>
              <w:pStyle w:val="28"/>
              <w:jc w:val="left"/>
            </w:pPr>
            <w:r>
              <w:t>HJ 964-2018</w:t>
            </w:r>
          </w:p>
        </w:tc>
        <w:tc>
          <w:p w14:paraId="3EF64838">
            <w:pPr>
              <w:pStyle w:val="28"/>
              <w:jc w:val="left"/>
            </w:pPr>
            <w:r>
              <w:t>生态影响型/污染影响型分类、评价等级判定、预测方法、风险管控措施</w:t>
            </w:r>
          </w:p>
        </w:tc>
        <w:tc>
          <w:p w14:paraId="034FCFAC">
            <w:pPr>
              <w:pStyle w:val="28"/>
              <w:jc w:val="left"/>
            </w:pPr>
            <w:r>
              <w:t>类型自动识别、等级矩阵判定、预测方法适用性判断</w:t>
            </w:r>
          </w:p>
        </w:tc>
      </w:tr>
    </w:tbl>
    <w:p w14:paraId="2BAB5117">
      <w:pPr>
        <w:pStyle w:val="3"/>
      </w:pPr>
      <w:r>
        <w:rPr>
          <w:b/>
          <w:bCs/>
        </w:rPr>
        <w:t>大气环境专项审核</w:t>
      </w:r>
      <w:r>
        <w:t>方面，HJ 2.2-2018建立了基于</w:t>
      </w:r>
      <w:r>
        <w:rPr>
          <w:b/>
          <w:bCs/>
        </w:rPr>
        <w:t>最大地面空气质量浓度占标率（Pmax）</w:t>
      </w:r>
      <w:r>
        <w:t>和</w:t>
      </w:r>
      <w:r>
        <w:rPr>
          <w:b/>
          <w:bCs/>
        </w:rPr>
        <w:t>地面浓度达标准限值10%时所对应的最远距离（D10%）</w:t>
      </w:r>
      <w:r>
        <w:t xml:space="preserve">的评价等级判定体系 </w:t>
      </w:r>
      <w:r>
        <w:fldChar w:fldCharType="begin"/>
      </w:r>
      <w:r>
        <w:instrText xml:space="preserve"> HYPERLINK "https://www.mee.gov.cn/ywgz/fgbz/bz/bzwb/other/pjjsdz/201808/W020180814672740551977.pdf" \h </w:instrText>
      </w:r>
      <w:r>
        <w:fldChar w:fldCharType="separate"/>
      </w:r>
      <w:r>
        <w:rPr>
          <w:rStyle w:val="24"/>
        </w:rPr>
        <w:t>(中华人民共和国生态环境部)</w:t>
      </w:r>
      <w:r>
        <w:rPr>
          <w:rStyle w:val="24"/>
        </w:rPr>
        <w:fldChar w:fldCharType="end"/>
      </w:r>
      <w:r>
        <w:t xml:space="preserve"> 。智能审核系统需要内置AERSCREEN等估算模型的计算逻辑，实现评价等级的自动判定与复核。对于不达标区建设项目，系统需自动识别并触发叠加达标规划目标浓度的特殊审核流程，计算公式为：</w:t>
      </w:r>
      <w:r>
        <w:rPr>
          <w:b/>
          <w:bCs/>
        </w:rPr>
        <w:t>C叠加(x,y,t) = C本项目(x,y,t) - C区域削减(x,y,t) + C拟在建(x,y,t) + C规划(x,y,t)</w:t>
      </w:r>
      <w:r>
        <w:t xml:space="preserve"> </w:t>
      </w:r>
      <w:r>
        <w:fldChar w:fldCharType="begin"/>
      </w:r>
      <w:r>
        <w:instrText xml:space="preserve"> HYPERLINK "https://www.mee.gov.cn/ywgz/fgbz/bz/bzwb/other/pjjsdz/201808/W020180814672740551977.pdf" \h </w:instrText>
      </w:r>
      <w:r>
        <w:fldChar w:fldCharType="separate"/>
      </w:r>
      <w:r>
        <w:rPr>
          <w:rStyle w:val="24"/>
        </w:rPr>
        <w:t>(中华人民共和国生态环境部)</w:t>
      </w:r>
      <w:r>
        <w:rPr>
          <w:rStyle w:val="24"/>
        </w:rPr>
        <w:fldChar w:fldCharType="end"/>
      </w:r>
      <w:r>
        <w:t xml:space="preserve"> 。系统还需对保证率日平均质量浓度的计算方法进行合规性审查，包括日平均质量浓度排序、第98百分位数计算等关键步骤。</w:t>
      </w:r>
    </w:p>
    <w:p w14:paraId="5C60B903">
      <w:pPr>
        <w:pStyle w:val="3"/>
      </w:pPr>
      <w:r>
        <w:rPr>
          <w:b/>
          <w:bCs/>
        </w:rPr>
        <w:t>地表水环境专项审核</w:t>
      </w:r>
      <w:r>
        <w:t>方面，HJ 2.3-2018创新性地将建设项目划分为</w:t>
      </w:r>
      <w:r>
        <w:rPr>
          <w:b/>
          <w:bCs/>
        </w:rPr>
        <w:t>水污染影响型</w:t>
      </w:r>
      <w:r>
        <w:t>和</w:t>
      </w:r>
      <w:r>
        <w:rPr>
          <w:b/>
          <w:bCs/>
        </w:rPr>
        <w:t>水文要素影响型</w:t>
      </w:r>
      <w:r>
        <w:t xml:space="preserve">两大类别，分别建立差异化的评价技术路线 </w:t>
      </w:r>
      <w:r>
        <w:fldChar w:fldCharType="begin"/>
      </w:r>
      <w:r>
        <w:instrText xml:space="preserve"> HYPERLINK "https://www.mee.gov.cn/ywgz/fgbz/bz/bzwb/other/pjjsdz/201810/W020190410547545735168.pdf" \h </w:instrText>
      </w:r>
      <w:r>
        <w:fldChar w:fldCharType="separate"/>
      </w:r>
      <w:r>
        <w:rPr>
          <w:rStyle w:val="24"/>
        </w:rPr>
        <w:t>(中华人民共和国生态环境部)</w:t>
      </w:r>
      <w:r>
        <w:rPr>
          <w:rStyle w:val="24"/>
        </w:rPr>
        <w:fldChar w:fldCharType="end"/>
      </w:r>
      <w:r>
        <w:t xml:space="preserve"> 。水污染影响型项目依据废水排放方式和排放量划分为一级、二级、三级A和三级B四个等级；对于三级B评价项目，仅需进行”水污染控制和水环境影响减缓措施有效性评价”以及”依托污水处理设施的环境可行性评价” </w:t>
      </w:r>
      <w:r>
        <w:fldChar w:fldCharType="begin"/>
      </w:r>
      <w:r>
        <w:instrText xml:space="preserve"> HYPERLINK "https://www.mee.gov.cn/ywgz/fgbz/bz/bzwb/other/pjjsdz/201810/W020190410547545735168.pdf" \h </w:instrText>
      </w:r>
      <w:r>
        <w:fldChar w:fldCharType="separate"/>
      </w:r>
      <w:r>
        <w:rPr>
          <w:rStyle w:val="24"/>
        </w:rPr>
        <w:t>(中华人民共和国生态环境部)</w:t>
      </w:r>
      <w:r>
        <w:rPr>
          <w:rStyle w:val="24"/>
        </w:rPr>
        <w:fldChar w:fldCharType="end"/>
      </w:r>
      <w:r>
        <w:t xml:space="preserve"> 。智能审核系统需要重点审核拟进入区域污水处理厂项目的接纳可行性分析，包括管网建设情况、污水处理厂剩余容量、处理工艺对于接纳建设项目废水水量和水质的可行性与有效性等。</w:t>
      </w:r>
    </w:p>
    <w:p w14:paraId="5734D1BF">
      <w:pPr>
        <w:pStyle w:val="3"/>
      </w:pPr>
      <w:r>
        <w:rPr>
          <w:b/>
          <w:bCs/>
        </w:rPr>
        <w:t>地下水环境专项审核</w:t>
      </w:r>
      <w:r>
        <w:t xml:space="preserve">方面，HJ 610-2016的技术评估要点在HJ 616-2011中有详细阐述，包括四个核心层面：地下水环境影响识别的评估、环境现状调查与评价的评估、环境影响预测与评价的评估、环境保护措施的评估 </w:t>
      </w:r>
      <w:r>
        <w:fldChar w:fldCharType="begin"/>
      </w:r>
      <w:r>
        <w:instrText xml:space="preserve"> HYPERLINK "https://english.mee.gov.cn/Resources/standards/others1/Technical_Guideline_EIA/201111/W020110414547981089597.pdf" \h </w:instrText>
      </w:r>
      <w:r>
        <w:fldChar w:fldCharType="separate"/>
      </w:r>
      <w:r>
        <w:rPr>
          <w:rStyle w:val="24"/>
        </w:rPr>
        <w:t>(Ministry of Ecology and Environment)</w:t>
      </w:r>
      <w:r>
        <w:rPr>
          <w:rStyle w:val="24"/>
        </w:rPr>
        <w:fldChar w:fldCharType="end"/>
      </w:r>
      <w:r>
        <w:t xml:space="preserve"> 。智能审核系统需要评估影响识别的正确性，结合项目污染特征评估评价因子筛选和评价内容确定的合理性；评估污染源调查的全面性、水文地质条件调查资料的适用性和合理性；评估预测方法与模型、边界条件、参数的正确性，以及预测结论的科学性 </w:t>
      </w:r>
      <w:r>
        <w:fldChar w:fldCharType="begin"/>
      </w:r>
      <w:r>
        <w:instrText xml:space="preserve"> HYPERLINK "https://english.mee.gov.cn/Resources/standards/others1/Technical_Guideline_EIA/201111/W020110414547981089597.pdf" \h </w:instrText>
      </w:r>
      <w:r>
        <w:fldChar w:fldCharType="separate"/>
      </w:r>
      <w:r>
        <w:rPr>
          <w:rStyle w:val="24"/>
        </w:rPr>
        <w:t>(Ministry of Ecology and Environment)</w:t>
      </w:r>
      <w:r>
        <w:rPr>
          <w:rStyle w:val="24"/>
        </w:rPr>
        <w:fldChar w:fldCharType="end"/>
      </w:r>
      <w:r>
        <w:t xml:space="preserve"> 。对于深圳市这类地下水环境敏感且地质条件复杂的城市，系统应建立水文地质条件智能识别和分区防渗措施符合性自动判断功能。</w:t>
      </w:r>
    </w:p>
    <w:p w14:paraId="3244BD43">
      <w:pPr>
        <w:pStyle w:val="3"/>
      </w:pPr>
      <w:r>
        <w:rPr>
          <w:b/>
          <w:bCs/>
        </w:rPr>
        <w:t>声环境专项审核</w:t>
      </w:r>
      <w:r>
        <w:t xml:space="preserve">方面，HJ 2.4-2021（2021年修订版）对室内声源和室外声源的预测方法进行了细化，分别按照导则附录B和附录A进行计算 </w:t>
      </w:r>
      <w:r>
        <w:fldChar w:fldCharType="begin"/>
      </w:r>
      <w:r>
        <w:instrText xml:space="preserve"> HYPERLINK "http://www.njls.gov.cn/lsqrmzf/202411/P020241129580330035801.pdf" \h </w:instrText>
      </w:r>
      <w:r>
        <w:fldChar w:fldCharType="separate"/>
      </w:r>
      <w:r>
        <w:rPr>
          <w:rStyle w:val="24"/>
        </w:rPr>
        <w:t>(南京市溧水区人民政府)</w:t>
      </w:r>
      <w:r>
        <w:rPr>
          <w:rStyle w:val="24"/>
        </w:rPr>
        <w:fldChar w:fldCharType="end"/>
      </w:r>
      <w:r>
        <w:t xml:space="preserve"> 。HJ 616-2011对声环境影响技术评估提出了系统要求，包括一般原则性问题评估（评价等级、评价标准、评价范围、选址选线、环境保护目标）和噪声源评估两大类别 </w:t>
      </w:r>
      <w:r>
        <w:fldChar w:fldCharType="begin"/>
      </w:r>
      <w:r>
        <w:instrText xml:space="preserve"> HYPERLINK "https://english.mee.gov.cn/Resources/standards/others1/Technical_Guideline_EIA/201111/W020110414547981089597.pdf" \h </w:instrText>
      </w:r>
      <w:r>
        <w:fldChar w:fldCharType="separate"/>
      </w:r>
      <w:r>
        <w:rPr>
          <w:rStyle w:val="24"/>
        </w:rPr>
        <w:t>(Ministry of Ecology and Environment)</w:t>
      </w:r>
      <w:r>
        <w:rPr>
          <w:rStyle w:val="24"/>
        </w:rPr>
        <w:fldChar w:fldCharType="end"/>
      </w:r>
      <w:r>
        <w:t xml:space="preserve"> 。对于生态影响型项目，系统需要建立行业噪声源参数模板库，自动提取车流量、车型比例、车速、列车对数、飞行量等关键参数，并评估其完整性和准确性。</w:t>
      </w:r>
    </w:p>
    <w:p w14:paraId="413374A1">
      <w:pPr>
        <w:pStyle w:val="3"/>
      </w:pPr>
      <w:r>
        <w:rPr>
          <w:b/>
          <w:bCs/>
        </w:rPr>
        <w:t>生态环境专项审核</w:t>
      </w:r>
      <w:r>
        <w:t xml:space="preserve">方面，HJ 19-2022（2022年修订版）对生态影响评价的工作程序、内容、方法及技术要求进行了全面修订，调整了评价等级判定依据，增加了典型行业评价范围确定原则，补充细化了生态现状调查、评价以及影响预测分析的内容和要求，明确强化了生态保护措施要求 </w:t>
      </w:r>
      <w:r>
        <w:fldChar w:fldCharType="begin"/>
      </w:r>
      <w:r>
        <w:instrText xml:space="preserve"> HYPERLINK "https://www.huanbaozhijia.com/archives/1152.html" \h </w:instrText>
      </w:r>
      <w:r>
        <w:fldChar w:fldCharType="separate"/>
      </w:r>
      <w:r>
        <w:rPr>
          <w:rStyle w:val="24"/>
        </w:rPr>
        <w:t>(huanbaozhijia.com)</w:t>
      </w:r>
      <w:r>
        <w:rPr>
          <w:rStyle w:val="24"/>
        </w:rPr>
        <w:fldChar w:fldCharType="end"/>
      </w:r>
      <w:r>
        <w:t xml:space="preserve"> 。智能审核系统需要特别关注</w:t>
      </w:r>
      <w:r>
        <w:rPr>
          <w:b/>
          <w:bCs/>
        </w:rPr>
        <w:t>生态敏感区避让要求</w:t>
      </w:r>
      <w:r>
        <w:t>的合规性审查，以及”</w:t>
      </w:r>
      <w:r>
        <w:rPr>
          <w:b/>
          <w:bCs/>
        </w:rPr>
        <w:t>避让、减缓、修复和补偿</w:t>
      </w:r>
      <w:r>
        <w:t xml:space="preserve">”措施次序的逻辑验证。对于位于已批准规划环评的产业园区内且符合规划环评要求、不涉及生态敏感区的污染影响类建设项目，依据该标准可不确定评价等级、直接进行生态影响简单分析 </w:t>
      </w:r>
      <w:r>
        <w:fldChar w:fldCharType="begin"/>
      </w:r>
      <w:r>
        <w:instrText xml:space="preserve"> HYPERLINK "https://eia543.com/documents/01-%E5%9F%BA%E7%A1%80%E6%80%A7%E6%A0%87%E5%87%86%E8%A7%84%E8%8C%83/01-%E5%BB%BA%E8%AE%BE%E9%A1%B9%E7%9B%AE%E7%8E%AF%E8%AF%84%E6%8A%80%E6%9C%AF%E5%AF%BC%E5%88%99/%E7%8E%AF%E5%A2%83%E5%BD%B1%E5%93%8D%E8%AF%84%E4%BB%B7%E6%8A%80%E6%9C%AF%E5%AF%BC%E5%88%99%20%20%E7%94%9F%E6%80%81%E5%BD%B1%E5%93%8D%EF%BC%88HJ%2019-2022%EF%BC%89.pdf" \h </w:instrText>
      </w:r>
      <w:r>
        <w:fldChar w:fldCharType="separate"/>
      </w:r>
      <w:r>
        <w:rPr>
          <w:rStyle w:val="24"/>
        </w:rPr>
        <w:t>(环评五四三)</w:t>
      </w:r>
      <w:r>
        <w:rPr>
          <w:rStyle w:val="24"/>
        </w:rPr>
        <w:fldChar w:fldCharType="end"/>
      </w:r>
      <w:r>
        <w:t xml:space="preserve"> 。</w:t>
      </w:r>
    </w:p>
    <w:bookmarkEnd w:id="4"/>
    <w:p w14:paraId="2700BCE5">
      <w:pPr>
        <w:pStyle w:val="6"/>
      </w:pPr>
      <w:bookmarkStart w:id="5" w:name="其他重要专项标准"/>
      <w:r>
        <w:t>1.1.3 其他重要专项标准</w:t>
      </w:r>
    </w:p>
    <w:p w14:paraId="54841626">
      <w:pPr>
        <w:pStyle w:val="27"/>
      </w:pPr>
      <w:r>
        <w:rPr>
          <w:b/>
          <w:bCs/>
        </w:rPr>
        <w:t>清洁生产与循环经济评估</w:t>
      </w:r>
      <w:r>
        <w:t xml:space="preserve">是HJ 616-2011明确规定的技术评估内容。该标准第5.2.3条要求从能耗、物耗、水耗、污染物产生及排放等方面，与国家颁布的清洁生产标准或国内外同类产品先进水平相比较，对建设项目的清洁生产水平进行综合评估 </w:t>
      </w:r>
      <w:r>
        <w:fldChar w:fldCharType="begin"/>
      </w:r>
      <w:r>
        <w:instrText xml:space="preserve"> HYPERLINK "https://ebook.chinabuilding.com.cn/zbooklib/bookpdf/probation?SiteID=1&amp;bookID=112142" \h </w:instrText>
      </w:r>
      <w:r>
        <w:fldChar w:fldCharType="separate"/>
      </w:r>
      <w:r>
        <w:rPr>
          <w:rStyle w:val="24"/>
        </w:rPr>
        <w:t>(国标电子书库)</w:t>
      </w:r>
      <w:r>
        <w:rPr>
          <w:rStyle w:val="24"/>
        </w:rPr>
        <w:fldChar w:fldCharType="end"/>
      </w:r>
      <w:r>
        <w:t xml:space="preserve"> 。更为详细的要求出现在第6章：从产品生命周期全过程考虑，包括选址、布局、产品方案选择、原材料和能源方案选择、工艺设备选择、生产各工序、施工建设及产品使用；与国家和行业颁布的产业政策、清洁生产标准和环保政策一致；以有关行业先进技术、工艺、设备、原材料和污染防治措施为基础；符合国家循环经济和节能减排的要求 </w:t>
      </w:r>
      <w:r>
        <w:fldChar w:fldCharType="begin"/>
      </w:r>
      <w:r>
        <w:instrText xml:space="preserve"> HYPERLINK "https://english.mee.gov.cn/Resources/standards/others1/Technical_Guideline_EIA/201111/W020110414547981089597.pdf" \h </w:instrText>
      </w:r>
      <w:r>
        <w:fldChar w:fldCharType="separate"/>
      </w:r>
      <w:r>
        <w:rPr>
          <w:rStyle w:val="24"/>
        </w:rPr>
        <w:t>(Ministry of Ecology and Environment)</w:t>
      </w:r>
      <w:r>
        <w:rPr>
          <w:rStyle w:val="24"/>
        </w:rPr>
        <w:fldChar w:fldCharType="end"/>
      </w:r>
      <w:r>
        <w:t xml:space="preserve"> 。</w:t>
      </w:r>
      <w:r>
        <w:rPr>
          <w:b/>
          <w:bCs/>
        </w:rPr>
        <w:t>清洁生产水平分为三级：一级为国际先进水平，二级为国内先进水平，三级为国内基本水平或平均水平</w:t>
      </w:r>
      <w:r>
        <w:t>。新建和改扩建项目清洁生产水平</w:t>
      </w:r>
      <w:r>
        <w:rPr>
          <w:b/>
          <w:bCs/>
        </w:rPr>
        <w:t>至少达到国内先进水平</w:t>
      </w:r>
      <w:r>
        <w:t>；引进项目清洁生产水平</w:t>
      </w:r>
      <w:r>
        <w:rPr>
          <w:b/>
          <w:bCs/>
        </w:rPr>
        <w:t>力争达到国际先进水平</w:t>
      </w:r>
      <w:r>
        <w:t xml:space="preserve">，至少不低于引进国或地区水平 </w:t>
      </w:r>
      <w:r>
        <w:fldChar w:fldCharType="begin"/>
      </w:r>
      <w:r>
        <w:instrText xml:space="preserve"> HYPERLINK "https://english.mee.gov.cn/Resources/standards/others1/Technical_Guideline_EIA/201111/W020110414547981089597.pdf" \h </w:instrText>
      </w:r>
      <w:r>
        <w:fldChar w:fldCharType="separate"/>
      </w:r>
      <w:r>
        <w:rPr>
          <w:rStyle w:val="24"/>
        </w:rPr>
        <w:t>(Ministry of Ecology and Environment)</w:t>
      </w:r>
      <w:r>
        <w:rPr>
          <w:rStyle w:val="24"/>
        </w:rPr>
        <w:fldChar w:fldCharType="end"/>
      </w:r>
      <w:r>
        <w:t xml:space="preserve"> 。</w:t>
      </w:r>
    </w:p>
    <w:p w14:paraId="5CB81D43">
      <w:pPr>
        <w:pStyle w:val="3"/>
      </w:pPr>
      <w:r>
        <w:rPr>
          <w:b/>
          <w:bCs/>
        </w:rPr>
        <w:t>环境风险评估</w:t>
      </w:r>
      <w:r>
        <w:t xml:space="preserve">依据HJ 169《建设项目环境风险评价技术导则》执行。HJ 616-2011第5.2.5条要求评估项目建设存在的环境风险制约因素，从环境敏感性角度评估建设环境风险可接受性，评估环境风险防范措施和污染事故处理应急方案的可靠性和合理性 </w:t>
      </w:r>
      <w:r>
        <w:fldChar w:fldCharType="begin"/>
      </w:r>
      <w:r>
        <w:instrText xml:space="preserve"> HYPERLINK "https://ebook.chinabuilding.com.cn/zbooklib/bookpdf/probation?SiteID=1&amp;bookID=112142" \h </w:instrText>
      </w:r>
      <w:r>
        <w:fldChar w:fldCharType="separate"/>
      </w:r>
      <w:r>
        <w:rPr>
          <w:rStyle w:val="24"/>
        </w:rPr>
        <w:t>(国标电子书库)</w:t>
      </w:r>
      <w:r>
        <w:rPr>
          <w:rStyle w:val="24"/>
        </w:rPr>
        <w:fldChar w:fldCharType="end"/>
      </w:r>
      <w:r>
        <w:t xml:space="preserve"> 。智能审核系统应具备危险物质识别、临界量自动比对、风险预测模型智能选择、风险防范措施完整性评估等功能。重大危险源辨识以危险物质在线量为依据，重点评估在线量估算的科学性和合理性，要求识别资料完整，并给出重大危险源分布图 </w:t>
      </w:r>
      <w:r>
        <w:fldChar w:fldCharType="begin"/>
      </w:r>
      <w:r>
        <w:instrText xml:space="preserve"> HYPERLINK "https://english.mee.gov.cn/Resources/standards/others1/Technical_Guideline_EIA/201111/W020110414547981089597.pdf" \h </w:instrText>
      </w:r>
      <w:r>
        <w:fldChar w:fldCharType="separate"/>
      </w:r>
      <w:r>
        <w:rPr>
          <w:rStyle w:val="24"/>
        </w:rPr>
        <w:t>(Ministry of Ecology and Environment)</w:t>
      </w:r>
      <w:r>
        <w:rPr>
          <w:rStyle w:val="24"/>
        </w:rPr>
        <w:fldChar w:fldCharType="end"/>
      </w:r>
      <w:r>
        <w:t xml:space="preserve"> 。</w:t>
      </w:r>
    </w:p>
    <w:p w14:paraId="6E6D84B6">
      <w:pPr>
        <w:pStyle w:val="3"/>
      </w:pPr>
      <w:r>
        <w:rPr>
          <w:b/>
          <w:bCs/>
        </w:rPr>
        <w:t>碳排放核算与评价</w:t>
      </w:r>
      <w:r>
        <w:t>是当前环评工作的新要求。HJ 616-2011第6章清洁生产评估中已包含”</w:t>
      </w:r>
      <w:r>
        <w:rPr>
          <w:b/>
          <w:bCs/>
        </w:rPr>
        <w:t>项目特征污染物、温室气体的控制和减排措施的可行性、有效性</w:t>
      </w:r>
      <w:r>
        <w:t xml:space="preserve">”的评估要求 </w:t>
      </w:r>
      <w:r>
        <w:fldChar w:fldCharType="begin"/>
      </w:r>
      <w:r>
        <w:instrText xml:space="preserve"> HYPERLINK "https://english.mee.gov.cn/Resources/standards/others1/Technical_Guideline_EIA/201111/W020110414547981089597.pdf" \h </w:instrText>
      </w:r>
      <w:r>
        <w:fldChar w:fldCharType="separate"/>
      </w:r>
      <w:r>
        <w:rPr>
          <w:rStyle w:val="24"/>
        </w:rPr>
        <w:t>(Ministry of Ecology and Environment)</w:t>
      </w:r>
      <w:r>
        <w:rPr>
          <w:rStyle w:val="24"/>
        </w:rPr>
        <w:fldChar w:fldCharType="end"/>
      </w:r>
      <w:r>
        <w:t xml:space="preserve"> 。智能审核系统应集成国家和地方碳排放核算方法学，实现建设项目碳排放量的自动核算和达峰符合性分析。</w:t>
      </w:r>
    </w:p>
    <w:bookmarkEnd w:id="2"/>
    <w:bookmarkEnd w:id="5"/>
    <w:p w14:paraId="6DE9CD4F">
      <w:pPr>
        <w:pStyle w:val="5"/>
      </w:pPr>
      <w:bookmarkStart w:id="6" w:name="地方层面标准规范"/>
      <w:r>
        <w:t>1.2 地方层面标准规范</w:t>
      </w:r>
    </w:p>
    <w:p w14:paraId="663C3ED1">
      <w:pPr>
        <w:pStyle w:val="6"/>
      </w:pPr>
      <w:bookmarkStart w:id="7" w:name="深圳市核心地方标准"/>
      <w:r>
        <w:t>1.2.1 深圳市核心地方标准</w:t>
      </w:r>
    </w:p>
    <w:p w14:paraId="18882153">
      <w:pPr>
        <w:pStyle w:val="27"/>
      </w:pPr>
      <w:r>
        <w:rPr>
          <w:b/>
          <w:bCs/>
        </w:rPr>
        <w:t>SZDB/Z 83-2013《建设项目环境影响评价文件质量要求》</w:t>
      </w:r>
      <w:r>
        <w:t xml:space="preserve">是深圳市针对环评文件质量制定的专项地方标准，于2013年11月11日发布，2013年12月1日实施 </w:t>
      </w:r>
      <w:r>
        <w:fldChar w:fldCharType="begin"/>
      </w:r>
      <w:r>
        <w:instrText xml:space="preserve"> HYPERLINK "http://amr.sz.gov.cn/attachment/1/1195/1195395/9772235.pdf" \h </w:instrText>
      </w:r>
      <w:r>
        <w:fldChar w:fldCharType="separate"/>
      </w:r>
      <w:r>
        <w:rPr>
          <w:rStyle w:val="24"/>
        </w:rPr>
        <w:t>(深圳市市场监督管理局网站)</w:t>
      </w:r>
      <w:r>
        <w:rPr>
          <w:rStyle w:val="24"/>
        </w:rPr>
        <w:fldChar w:fldCharType="end"/>
      </w:r>
      <w:r>
        <w:t xml:space="preserve"> 。该标准结合深圳市实际情况，对环评报告书的前言部分、工程分析、环境现状调查与评价、环境影响预测与评价、环境保护措施及其可行性论证、结论与建议等各章节的质量要求作出了详细规定。该标准的制定依据包括</w:t>
      </w:r>
      <w:r>
        <w:rPr>
          <w:b/>
          <w:bCs/>
        </w:rPr>
        <w:t>HJ 2系列环境影响评价技术导则和HJ 616《建设项目环境影响技术评估导则》</w:t>
      </w:r>
      <w:r>
        <w:t xml:space="preserve">，体现了国家-地方标准体系的衔接与本地化细化 </w:t>
      </w:r>
      <w:r>
        <w:fldChar w:fldCharType="begin"/>
      </w:r>
      <w:r>
        <w:instrText xml:space="preserve"> HYPERLINK "http://amr.sz.gov.cn/attachment/1/1195/1195395/9772235.pdf" \h </w:instrText>
      </w:r>
      <w:r>
        <w:fldChar w:fldCharType="separate"/>
      </w:r>
      <w:r>
        <w:rPr>
          <w:rStyle w:val="24"/>
        </w:rPr>
        <w:t>(深圳市市场监督管理局网站)</w:t>
      </w:r>
      <w:r>
        <w:rPr>
          <w:rStyle w:val="24"/>
        </w:rPr>
        <w:fldChar w:fldCharType="end"/>
      </w:r>
      <w:r>
        <w:t xml:space="preserve"> 。</w:t>
      </w:r>
    </w:p>
    <w:p w14:paraId="0183410E">
      <w:pPr>
        <w:pStyle w:val="3"/>
      </w:pPr>
      <w:r>
        <w:t>该标准的核心创新在于</w:t>
      </w:r>
      <w:r>
        <w:rPr>
          <w:b/>
          <w:bCs/>
        </w:rPr>
        <w:t>章节化质量管控</w:t>
      </w:r>
      <w:r>
        <w:t xml:space="preserve">，将环境影响报告书划分为标准化章节，并对每个章节提出具体的质量要求。以工业类项目为例，章节构成包括：前言、总则、建设项目概况与工程分析、环境现状调查与评价、环境影响预测与评价、环境保护措施及其经济与技术论证、环境风险评价、清洁生产/循环经济分析与污染物排放总量控制、环境影响经济损益分析、环境管理与监测、公众参与、项目产业政策/规划符合性及选址合理性分析、环境影响评价结论 </w:t>
      </w:r>
      <w:r>
        <w:fldChar w:fldCharType="begin"/>
      </w:r>
      <w:r>
        <w:instrText xml:space="preserve"> HYPERLINK "http://amr.sz.gov.cn/attachment/1/1195/1195395/9772235.pdf" \h </w:instrText>
      </w:r>
      <w:r>
        <w:fldChar w:fldCharType="separate"/>
      </w:r>
      <w:r>
        <w:rPr>
          <w:rStyle w:val="24"/>
        </w:rPr>
        <w:t>(深圳市市场监督管理局网站)</w:t>
      </w:r>
      <w:r>
        <w:rPr>
          <w:rStyle w:val="24"/>
        </w:rPr>
        <w:fldChar w:fldCharType="end"/>
      </w:r>
      <w:r>
        <w:t xml:space="preserve"> 。这种章节化结构为智能审核系统提供了清晰的检查清单，便于实现模块化审核。</w:t>
      </w:r>
    </w:p>
    <w:p w14:paraId="1B74744D">
      <w:pPr>
        <w:pStyle w:val="3"/>
      </w:pPr>
      <w:r>
        <w:rPr>
          <w:b/>
          <w:bCs/>
        </w:rPr>
        <w:t>DB4403/T 548-2024《环境影响评价技术审查规则》</w:t>
      </w:r>
      <w:r>
        <w:t xml:space="preserve">是深圳市最新发布的环境影响评价技术审查地方标准，于2024年12月5日发布，2025年1月1日实施，替代了原SZDB/Z 86-2013《人居环境技术审查规则》 </w:t>
      </w:r>
      <w:r>
        <w:fldChar w:fldCharType="begin"/>
      </w:r>
      <w:r>
        <w:instrText xml:space="preserve"> HYPERLINK "https://pro5323b5d3-pic11.ysjianzhan.cn/upload/172DB4403-T548-2024.pdf" \h </w:instrText>
      </w:r>
      <w:r>
        <w:fldChar w:fldCharType="separate"/>
      </w:r>
      <w:r>
        <w:rPr>
          <w:rStyle w:val="23"/>
        </w:rPr>
        <w:t>(ysjianzh</w:t>
      </w:r>
      <w:bookmarkStart w:id="61" w:name="_GoBack"/>
      <w:bookmarkEnd w:id="61"/>
      <w:r>
        <w:rPr>
          <w:rStyle w:val="23"/>
        </w:rPr>
        <w:t>an.cn)</w:t>
      </w:r>
      <w:r>
        <w:rPr>
          <w:rStyle w:val="24"/>
        </w:rPr>
        <w:fldChar w:fldCharType="end"/>
      </w:r>
      <w:r>
        <w:t xml:space="preserve"> 。该标准的修订背景在于：近年来我国修订了多部环境保护相关法律法规，发布了新的规划环境影响评价技术导则和建设项目的环境评价技术导则，对建设项目环境影响评价分类管理名录多次更新，出台了《建设项目环境影响报告书（表）编制监督管理办法》及配套文件；深圳市结合自身实际情况，发布了《深圳市建设项目环境影响评价审批和备案管理名录（2021年版）》《深圳经济特区生态环境保护条例》《深圳市建设项目环境影响报告书（表）编制监督检查检查办法》等一系列文件；原标准已实施逾十年，与环评相关的法律法规、技术规范、质量监督、管理模式、行政审批事项改革及社会关注度等均已发生较大变化 </w:t>
      </w:r>
      <w:r>
        <w:fldChar w:fldCharType="begin"/>
      </w:r>
      <w:r>
        <w:instrText xml:space="preserve"> HYPERLINK "https://amr.sz.gov.cn/attachment/1/1518/1518787/11858285.pdf" \h </w:instrText>
      </w:r>
      <w:r>
        <w:fldChar w:fldCharType="separate"/>
      </w:r>
      <w:r>
        <w:rPr>
          <w:rStyle w:val="24"/>
        </w:rPr>
        <w:t>(深圳市市场监督管理局网站)</w:t>
      </w:r>
      <w:r>
        <w:rPr>
          <w:rStyle w:val="24"/>
        </w:rPr>
        <w:fldChar w:fldCharType="end"/>
      </w:r>
      <w:r>
        <w:t xml:space="preserve"> 。</w:t>
      </w:r>
    </w:p>
    <w:p w14:paraId="281AE7FC">
      <w:pPr>
        <w:pStyle w:val="3"/>
      </w:pPr>
      <w:r>
        <w:t>该标准建立了</w:t>
      </w:r>
      <w:r>
        <w:rPr>
          <w:b/>
          <w:bCs/>
        </w:rPr>
        <w:t>四维审查框架</w:t>
      </w:r>
      <w:r>
        <w:t>，将技术审查内容划分为四大类别：</w:t>
      </w:r>
    </w:p>
    <w:tbl>
      <w:tblPr>
        <w:tblStyle w:val="45"/>
        <w:tblW w:w="5000" w:type="pct"/>
        <w:tblInd w:w="0" w:type="dxa"/>
        <w:tblLayout w:type="fixed"/>
        <w:tblCellMar>
          <w:top w:w="0" w:type="dxa"/>
          <w:left w:w="108" w:type="dxa"/>
          <w:bottom w:w="0" w:type="dxa"/>
          <w:right w:w="108" w:type="dxa"/>
        </w:tblCellMar>
      </w:tblPr>
      <w:tblGrid>
        <w:gridCol w:w="2415"/>
        <w:gridCol w:w="2952"/>
        <w:gridCol w:w="3489"/>
      </w:tblGrid>
      <w:tr w14:paraId="69D55ADD">
        <w:tblPrEx>
          <w:tblCellMar>
            <w:top w:w="0" w:type="dxa"/>
            <w:left w:w="108" w:type="dxa"/>
            <w:bottom w:w="0" w:type="dxa"/>
            <w:right w:w="108" w:type="dxa"/>
          </w:tblCellMar>
        </w:tblPrEx>
        <w:trPr>
          <w:tblHeader/>
        </w:trPr>
        <w:tc>
          <w:p w14:paraId="15687459">
            <w:pPr>
              <w:pStyle w:val="28"/>
              <w:jc w:val="left"/>
            </w:pPr>
            <w:r>
              <w:t>审查维度</w:t>
            </w:r>
          </w:p>
        </w:tc>
        <w:tc>
          <w:p w14:paraId="67F5C75D">
            <w:pPr>
              <w:pStyle w:val="28"/>
              <w:jc w:val="left"/>
            </w:pPr>
            <w:r>
              <w:t>核心审查内容</w:t>
            </w:r>
          </w:p>
        </w:tc>
        <w:tc>
          <w:p w14:paraId="7F8CFB5E">
            <w:pPr>
              <w:pStyle w:val="28"/>
              <w:jc w:val="left"/>
            </w:pPr>
            <w:r>
              <w:t>智能审核实现方式</w:t>
            </w:r>
          </w:p>
        </w:tc>
      </w:tr>
      <w:tr w14:paraId="5082144E">
        <w:tblPrEx>
          <w:tblCellMar>
            <w:top w:w="0" w:type="dxa"/>
            <w:left w:w="108" w:type="dxa"/>
            <w:bottom w:w="0" w:type="dxa"/>
            <w:right w:w="108" w:type="dxa"/>
          </w:tblCellMar>
        </w:tblPrEx>
        <w:tc>
          <w:p w14:paraId="41136101">
            <w:pPr>
              <w:pStyle w:val="28"/>
              <w:jc w:val="left"/>
            </w:pPr>
            <w:r>
              <w:rPr>
                <w:b/>
                <w:bCs/>
              </w:rPr>
              <w:t>环境影响评价类别审查</w:t>
            </w:r>
          </w:p>
        </w:tc>
        <w:tc>
          <w:p w14:paraId="16298141">
            <w:pPr>
              <w:pStyle w:val="28"/>
              <w:jc w:val="left"/>
            </w:pPr>
            <w:r>
              <w:t>对照分类管理名录判定评价类型（报告书/报告表/登记表）</w:t>
            </w:r>
          </w:p>
        </w:tc>
        <w:tc>
          <w:p w14:paraId="5AF41D05">
            <w:pPr>
              <w:pStyle w:val="28"/>
              <w:jc w:val="left"/>
            </w:pPr>
            <w:r>
              <w:t>项目特征-名录规则自动匹配</w:t>
            </w:r>
          </w:p>
        </w:tc>
      </w:tr>
      <w:tr w14:paraId="01E3A853">
        <w:tblPrEx>
          <w:tblCellMar>
            <w:top w:w="0" w:type="dxa"/>
            <w:left w:w="108" w:type="dxa"/>
            <w:bottom w:w="0" w:type="dxa"/>
            <w:right w:w="108" w:type="dxa"/>
          </w:tblCellMar>
        </w:tblPrEx>
        <w:tc>
          <w:p w14:paraId="21B56CD3">
            <w:pPr>
              <w:pStyle w:val="28"/>
              <w:jc w:val="left"/>
            </w:pPr>
            <w:r>
              <w:rPr>
                <w:b/>
                <w:bCs/>
              </w:rPr>
              <w:t>审批权限审查</w:t>
            </w:r>
          </w:p>
        </w:tc>
        <w:tc>
          <w:p w14:paraId="666605F0">
            <w:pPr>
              <w:pStyle w:val="28"/>
              <w:jc w:val="left"/>
            </w:pPr>
            <w:r>
              <w:t>对照分级审批名录确定审批层级（省级/市级/区级）</w:t>
            </w:r>
          </w:p>
        </w:tc>
        <w:tc>
          <w:p w14:paraId="08D0657C">
            <w:pPr>
              <w:pStyle w:val="28"/>
              <w:jc w:val="left"/>
            </w:pPr>
            <w:r>
              <w:t>项目属性-权限规则自动判定</w:t>
            </w:r>
          </w:p>
        </w:tc>
      </w:tr>
      <w:tr w14:paraId="69341B40">
        <w:tblPrEx>
          <w:tblCellMar>
            <w:top w:w="0" w:type="dxa"/>
            <w:left w:w="108" w:type="dxa"/>
            <w:bottom w:w="0" w:type="dxa"/>
            <w:right w:w="108" w:type="dxa"/>
          </w:tblCellMar>
        </w:tblPrEx>
        <w:tc>
          <w:p w14:paraId="1A7F2189">
            <w:pPr>
              <w:pStyle w:val="28"/>
              <w:jc w:val="left"/>
            </w:pPr>
            <w:r>
              <w:rPr>
                <w:b/>
                <w:bCs/>
              </w:rPr>
              <w:t>编制规范性审查</w:t>
            </w:r>
          </w:p>
        </w:tc>
        <w:tc>
          <w:p w14:paraId="024F51EC">
            <w:pPr>
              <w:pStyle w:val="28"/>
              <w:jc w:val="left"/>
            </w:pPr>
            <w:r>
              <w:t>单位资质、人员资格、信用状况、信息公开、签章完整性</w:t>
            </w:r>
          </w:p>
        </w:tc>
        <w:tc>
          <w:p w14:paraId="32611E4C">
            <w:pPr>
              <w:pStyle w:val="28"/>
              <w:jc w:val="left"/>
            </w:pPr>
            <w:r>
              <w:t>信用平台API实时核验</w:t>
            </w:r>
          </w:p>
        </w:tc>
      </w:tr>
      <w:tr w14:paraId="0CEE6C09">
        <w:tblPrEx>
          <w:tblCellMar>
            <w:top w:w="0" w:type="dxa"/>
            <w:left w:w="108" w:type="dxa"/>
            <w:bottom w:w="0" w:type="dxa"/>
            <w:right w:w="108" w:type="dxa"/>
          </w:tblCellMar>
        </w:tblPrEx>
        <w:tc>
          <w:p w14:paraId="0C95C0CC">
            <w:pPr>
              <w:pStyle w:val="28"/>
              <w:jc w:val="left"/>
            </w:pPr>
            <w:r>
              <w:rPr>
                <w:b/>
                <w:bCs/>
              </w:rPr>
              <w:t>编制质量审查</w:t>
            </w:r>
          </w:p>
        </w:tc>
        <w:tc>
          <w:p w14:paraId="218288F6">
            <w:pPr>
              <w:pStyle w:val="28"/>
              <w:jc w:val="left"/>
            </w:pPr>
            <w:r>
              <w:t>技术方法合规性、数据可靠性、结论科学性</w:t>
            </w:r>
          </w:p>
        </w:tc>
        <w:tc>
          <w:p w14:paraId="3188A2ED">
            <w:pPr>
              <w:pStyle w:val="28"/>
              <w:jc w:val="left"/>
            </w:pPr>
            <w:r>
              <w:t>多导则规则库交叉验证</w:t>
            </w:r>
          </w:p>
        </w:tc>
      </w:tr>
    </w:tbl>
    <w:p w14:paraId="5FE6C815">
      <w:pPr>
        <w:pStyle w:val="3"/>
      </w:pPr>
      <w:r>
        <w:t xml:space="preserve">编制规范性审查的具体要求包括 </w:t>
      </w:r>
      <w:r>
        <w:fldChar w:fldCharType="begin"/>
      </w:r>
      <w:r>
        <w:instrText xml:space="preserve"> HYPERLINK "https://amr.sz.gov.cn/attachment/1/1518/1518786/11858285.pdf" \h </w:instrText>
      </w:r>
      <w:r>
        <w:fldChar w:fldCharType="separate"/>
      </w:r>
      <w:r>
        <w:rPr>
          <w:rStyle w:val="24"/>
        </w:rPr>
        <w:t>(深圳市市场监督管理局网站)</w:t>
      </w:r>
      <w:r>
        <w:rPr>
          <w:rStyle w:val="24"/>
        </w:rPr>
        <w:fldChar w:fldCharType="end"/>
      </w:r>
      <w:r>
        <w:t xml:space="preserve"> ：编制单位是否为能够依法独立承担法律责任的单位；编制单位是否具备环境影响评价技术能力，环境影响报告书（表）的编制主持人和主要编制人员是否为编制单位中的全职人员，环境影响报告书（表）的编制主持人是否为取得环境影响评价工程师职业资格证书的人员；编制单位和编制人员是否列入限期整改名单或环境影响评价失信”黑名单”；编制单位和编制人员是否通过信用平台提交本单位和本人的基本情况信息；除涉及国家秘密的建设项目外，编制单位和编制人员是否在建设单位报批环境影响报告书（表）前，通过信用平台提交编制完成的环境影响报告书（表）基本情况信息，并对提交信息的真实性、准确性和完整性负责，信用平台生成项目编号，并公开环境影响报告书（表）相关建设项目名称、类别以及建设单位、编制单位和编制人员等基础信息；环境影响报告书（表）是否由一个单位主持编制，并由该单位中的一名编制人员作为编制主持人；环境影响报告书（表）是否附具编制单位和编制人员情况表，建设单位、编制单位和相关人员是否在情况表相应位置盖章或者签字，除涉及国家秘密的建设项目外，编制单位和编制人员情况表由信用平台导出。</w:t>
      </w:r>
    </w:p>
    <w:p w14:paraId="0169A47D">
      <w:pPr>
        <w:pStyle w:val="3"/>
      </w:pPr>
      <w:r>
        <w:t xml:space="preserve">编制质量审查的核心要点包括 </w:t>
      </w:r>
      <w:r>
        <w:fldChar w:fldCharType="begin"/>
      </w:r>
      <w:r>
        <w:instrText xml:space="preserve"> HYPERLINK "https://amr.sz.gov.cn/attachment/1/1518/1518786/11858285.pdf" \h </w:instrText>
      </w:r>
      <w:r>
        <w:fldChar w:fldCharType="separate"/>
      </w:r>
      <w:r>
        <w:rPr>
          <w:rStyle w:val="24"/>
        </w:rPr>
        <w:t>(深圳市市场监督管理局网站)</w:t>
      </w:r>
      <w:r>
        <w:rPr>
          <w:rStyle w:val="24"/>
        </w:rPr>
        <w:fldChar w:fldCharType="end"/>
      </w:r>
      <w:r>
        <w:t xml:space="preserve"> ：是否涉及《建设项目环境保护管理条例》第十一条不予批准的情形；是否涉及《建设项目环境影响报告书（表）编制监督管理办法》第二十六条、第二十七条规定的质量问题或重大质量问题。具体包括：评价因子中遗漏建设项目相关行业污染源源强核算或者污染物排放标准规定的相关污染物；降低环境影响评价工作等级，降低环境影响评价标准，或者缩小环境影响评价范围；建设项目概况描述不全或者错误；环境影响因素分析不全或者错误；污染源源强核算内容不全，核算方法或者结果错误；环境质量现状数据来源、监测因子、监测频次或者布点等不符合相关规定，或者所引用数据无效；遗漏环境保护目标，或者环境保护目标与建设项目位置关系描述不明确或者错误；环境影响评价范围内的相关环境要素现状调查与评价、区域污染源调查内容不全或者结果错误；环境影响预测与评价方法或者结果错误，或者相关环境要素、环境风险预测与评价内容不全；未按相关规定提出环境保护措施，所提环境保护措施或者其可行性论证不符合相关规定。</w:t>
      </w:r>
    </w:p>
    <w:bookmarkEnd w:id="7"/>
    <w:p w14:paraId="68A97877">
      <w:pPr>
        <w:pStyle w:val="6"/>
      </w:pPr>
      <w:bookmarkStart w:id="8" w:name="广东省相关要求"/>
      <w:r>
        <w:t>1.2.2 广东省相关要求</w:t>
      </w:r>
    </w:p>
    <w:p w14:paraId="6AFEACA7">
      <w:pPr>
        <w:pStyle w:val="27"/>
      </w:pPr>
      <w:r>
        <w:t xml:space="preserve">广东省建设项目环境影响评价分级审批规定明确了省、市、县三级生态环境部门的审批权限划分。2024年11月28日，广东省生态环境厅印发《建设项目环境影响报告书（表）审批程序规定》（粤环发〔2024〕2号），自2025年1月1日起施行，有效期5年 </w:t>
      </w:r>
      <w:r>
        <w:fldChar w:fldCharType="begin"/>
      </w:r>
      <w:r>
        <w:instrText xml:space="preserve"> HYPERLINK "https://www.guoturen.com/guihua-3855" \h </w:instrText>
      </w:r>
      <w:r>
        <w:fldChar w:fldCharType="separate"/>
      </w:r>
      <w:r>
        <w:rPr>
          <w:rStyle w:val="24"/>
        </w:rPr>
        <w:t>(国土人)</w:t>
      </w:r>
      <w:r>
        <w:rPr>
          <w:rStyle w:val="24"/>
        </w:rPr>
        <w:fldChar w:fldCharType="end"/>
      </w:r>
      <w:r>
        <w:t xml:space="preserve"> 。该规定适用于广东省生态环境厅负责审批的建设项目环境影响报告书、环境影响报告表，明确了申请与受理、审查、批准、期限等各环节的具体要求。在技术评估方面，规定明确广东省生态环境厅受理建设项目环境影响评价文件后，</w:t>
      </w:r>
      <w:r>
        <w:rPr>
          <w:b/>
          <w:bCs/>
        </w:rPr>
        <w:t>可委托技术机构对环境影响评价文件进行技术评估，技术机构应当对其提出的技术评估意见负责</w:t>
      </w:r>
      <w:r>
        <w:t xml:space="preserve"> </w:t>
      </w:r>
      <w:r>
        <w:fldChar w:fldCharType="begin"/>
      </w:r>
      <w:r>
        <w:instrText xml:space="preserve"> HYPERLINK "https://www.guoturen.com/guihua-3855" \h </w:instrText>
      </w:r>
      <w:r>
        <w:fldChar w:fldCharType="separate"/>
      </w:r>
      <w:r>
        <w:rPr>
          <w:rStyle w:val="24"/>
        </w:rPr>
        <w:t>(国土人)</w:t>
      </w:r>
      <w:r>
        <w:rPr>
          <w:rStyle w:val="24"/>
        </w:rPr>
        <w:fldChar w:fldCharType="end"/>
      </w:r>
      <w:r>
        <w:t xml:space="preserve"> 。在审批时限方面，按照广东省人民政府深化”放管服”改革要求，广东省生态环境厅对环境影响报告书、环境影响报告表作出审批决定的时限分别压缩至</w:t>
      </w:r>
      <w:r>
        <w:rPr>
          <w:b/>
          <w:bCs/>
        </w:rPr>
        <w:t>15日、7日内</w:t>
      </w:r>
      <w:r>
        <w:t>，技术评估工作原则上应在</w:t>
      </w:r>
      <w:r>
        <w:rPr>
          <w:b/>
          <w:bCs/>
        </w:rPr>
        <w:t>15日内</w:t>
      </w:r>
      <w:r>
        <w:t xml:space="preserve">完成 </w:t>
      </w:r>
      <w:r>
        <w:fldChar w:fldCharType="begin"/>
      </w:r>
      <w:r>
        <w:instrText xml:space="preserve"> HYPERLINK "https://www.guoturen.com/guihua-3855" \h </w:instrText>
      </w:r>
      <w:r>
        <w:fldChar w:fldCharType="separate"/>
      </w:r>
      <w:r>
        <w:rPr>
          <w:rStyle w:val="24"/>
        </w:rPr>
        <w:t>(国土人)</w:t>
      </w:r>
      <w:r>
        <w:rPr>
          <w:rStyle w:val="24"/>
        </w:rPr>
        <w:fldChar w:fldCharType="end"/>
      </w:r>
      <w:r>
        <w:t xml:space="preserve"> 。</w:t>
      </w:r>
    </w:p>
    <w:bookmarkEnd w:id="8"/>
    <w:p w14:paraId="2FE5685B">
      <w:pPr>
        <w:pStyle w:val="6"/>
      </w:pPr>
      <w:bookmarkStart w:id="9" w:name="深圳市特定区域行业规定"/>
      <w:r>
        <w:t>1.2.3 深圳市特定区域/行业规定</w:t>
      </w:r>
    </w:p>
    <w:p w14:paraId="54D2E587">
      <w:pPr>
        <w:pStyle w:val="27"/>
      </w:pPr>
      <w:r>
        <w:t>深圳市”三线一单”生态环境分区管控要求是智能审核系统必须内置的核心规则。“三线一单”即</w:t>
      </w:r>
      <w:r>
        <w:rPr>
          <w:b/>
          <w:bCs/>
        </w:rPr>
        <w:t>生态保护红线、环境质量底线、资源利用上线和生态环境准入清单</w:t>
      </w:r>
      <w:r>
        <w:t xml:space="preserve">，是深圳市生态环境管理的基础性制度。HJ 2.3-2018明确要求建设项目地表水环境影响评价应满足”三线一单”管理要求 </w:t>
      </w:r>
      <w:r>
        <w:fldChar w:fldCharType="begin"/>
      </w:r>
      <w:r>
        <w:instrText xml:space="preserve"> HYPERLINK "https://www.mee.gov.cn/ywgz/fgbz/bz/bzwb/other/pjjsdz/201810/W020190410547545735168.pdf" \h </w:instrText>
      </w:r>
      <w:r>
        <w:fldChar w:fldCharType="separate"/>
      </w:r>
      <w:r>
        <w:rPr>
          <w:rStyle w:val="24"/>
        </w:rPr>
        <w:t>(中华人民共和国生态环境部)</w:t>
      </w:r>
      <w:r>
        <w:rPr>
          <w:rStyle w:val="24"/>
        </w:rPr>
        <w:fldChar w:fldCharType="end"/>
      </w:r>
      <w:r>
        <w:t xml:space="preserve"> 。智能审核系统需要建立深圳市”三线一单”数据库，实现项目选址与管控单元的自动匹配，以及准入清单的逐项核验。</w:t>
      </w:r>
    </w:p>
    <w:p w14:paraId="6EB343CF">
      <w:pPr>
        <w:pStyle w:val="3"/>
      </w:pPr>
      <w:r>
        <w:t>特定区域的环评要求是深圳市环评管理的特色内容。</w:t>
      </w:r>
      <w:r>
        <w:rPr>
          <w:b/>
          <w:bCs/>
        </w:rPr>
        <w:t>前海深港现代服务业合作区、河套深港科技创新合作区</w:t>
      </w:r>
      <w:r>
        <w:t>等特定区域，由于其特殊的功能定位和政策优势，可能存在环评简化或加严的双向调整。例如，对于符合区域产业导向的项目，可能享受环评承诺制等便利化措施；而对于涉及敏感功能区的项目，则可能面临更严格的审查。智能审核系统需要建立特定区域规则库，针对不同区域自动调用相应的审核规则。</w:t>
      </w:r>
    </w:p>
    <w:bookmarkEnd w:id="6"/>
    <w:bookmarkEnd w:id="9"/>
    <w:p w14:paraId="6259EEAB">
      <w:pPr>
        <w:pStyle w:val="5"/>
      </w:pPr>
      <w:bookmarkStart w:id="10" w:name="特定行业审核规范"/>
      <w:r>
        <w:t>1.3 特定行业审核规范</w:t>
      </w:r>
    </w:p>
    <w:p w14:paraId="18F0B165">
      <w:pPr>
        <w:pStyle w:val="6"/>
      </w:pPr>
      <w:bookmarkStart w:id="11" w:name="化工行业"/>
      <w:r>
        <w:t>1.3.1 化工行业</w:t>
      </w:r>
    </w:p>
    <w:p w14:paraId="4E638237">
      <w:pPr>
        <w:pStyle w:val="27"/>
      </w:pPr>
      <w:r>
        <w:t xml:space="preserve">化工行业是环境风险最高的行业类别之一，其环评审核具有显著的差异化特征。根据深圳市发布的《深圳市区域空间生态环境评价重点项目环境影响审批名录（试行）》，化工行业的多个细分领域实行严格的环境影响评价管理 </w:t>
      </w:r>
      <w:r>
        <w:fldChar w:fldCharType="begin"/>
      </w:r>
      <w:r>
        <w:instrText xml:space="preserve"> HYPERLINK "https://www.szlh.gov.cn/attachment/1/1568/1568943/11890219.pdf" \h </w:instrText>
      </w:r>
      <w:r>
        <w:fldChar w:fldCharType="separate"/>
      </w:r>
      <w:r>
        <w:rPr>
          <w:rStyle w:val="24"/>
        </w:rPr>
        <w:t>(深圳市罗湖区人民政府门户网站)</w:t>
      </w:r>
      <w:r>
        <w:rPr>
          <w:rStyle w:val="24"/>
        </w:rPr>
        <w:fldChar w:fldCharType="end"/>
      </w:r>
      <w:r>
        <w:t xml:space="preserve"> ：</w:t>
      </w:r>
    </w:p>
    <w:tbl>
      <w:tblPr>
        <w:tblStyle w:val="45"/>
        <w:tblW w:w="5000" w:type="pct"/>
        <w:tblInd w:w="0" w:type="dxa"/>
        <w:tblLayout w:type="fixed"/>
        <w:tblCellMar>
          <w:top w:w="0" w:type="dxa"/>
          <w:left w:w="108" w:type="dxa"/>
          <w:bottom w:w="0" w:type="dxa"/>
          <w:right w:w="108" w:type="dxa"/>
        </w:tblCellMar>
      </w:tblPr>
      <w:tblGrid>
        <w:gridCol w:w="3142"/>
        <w:gridCol w:w="3142"/>
        <w:gridCol w:w="2571"/>
      </w:tblGrid>
      <w:tr w14:paraId="0CC176AC">
        <w:tblPrEx>
          <w:tblCellMar>
            <w:top w:w="0" w:type="dxa"/>
            <w:left w:w="108" w:type="dxa"/>
            <w:bottom w:w="0" w:type="dxa"/>
            <w:right w:w="108" w:type="dxa"/>
          </w:tblCellMar>
        </w:tblPrEx>
        <w:trPr>
          <w:tblHeader/>
        </w:trPr>
        <w:tc>
          <w:p w14:paraId="2C7A3CB5">
            <w:pPr>
              <w:pStyle w:val="28"/>
              <w:jc w:val="left"/>
            </w:pPr>
            <w:r>
              <w:t>行业细分领域</w:t>
            </w:r>
          </w:p>
        </w:tc>
        <w:tc>
          <w:p w14:paraId="6A379FFC">
            <w:pPr>
              <w:pStyle w:val="28"/>
              <w:jc w:val="left"/>
            </w:pPr>
            <w:r>
              <w:t>环评文件类型</w:t>
            </w:r>
          </w:p>
        </w:tc>
        <w:tc>
          <w:p w14:paraId="785C651B">
            <w:pPr>
              <w:pStyle w:val="28"/>
              <w:jc w:val="left"/>
            </w:pPr>
            <w:r>
              <w:t>例外情形</w:t>
            </w:r>
          </w:p>
        </w:tc>
      </w:tr>
      <w:tr w14:paraId="33F97339">
        <w:tblPrEx>
          <w:tblCellMar>
            <w:top w:w="0" w:type="dxa"/>
            <w:left w:w="108" w:type="dxa"/>
            <w:bottom w:w="0" w:type="dxa"/>
            <w:right w:w="108" w:type="dxa"/>
          </w:tblCellMar>
        </w:tblPrEx>
        <w:tc>
          <w:p w14:paraId="6DCBC7B5">
            <w:pPr>
              <w:pStyle w:val="28"/>
              <w:jc w:val="left"/>
            </w:pPr>
            <w:r>
              <w:t>基础化学原料制造</w:t>
            </w:r>
          </w:p>
        </w:tc>
        <w:tc>
          <w:p w14:paraId="7006E330">
            <w:pPr>
              <w:pStyle w:val="28"/>
              <w:jc w:val="left"/>
            </w:pPr>
            <w:r>
              <w:t>报告书</w:t>
            </w:r>
          </w:p>
        </w:tc>
        <w:tc>
          <w:p w14:paraId="7320802C">
            <w:pPr>
              <w:pStyle w:val="28"/>
              <w:jc w:val="left"/>
            </w:pPr>
            <w:r>
              <w:t>单纯物理分离、物理提纯、混合、分装除外</w:t>
            </w:r>
          </w:p>
        </w:tc>
      </w:tr>
      <w:tr w14:paraId="1F12BFFA">
        <w:tblPrEx>
          <w:tblCellMar>
            <w:top w:w="0" w:type="dxa"/>
            <w:left w:w="108" w:type="dxa"/>
            <w:bottom w:w="0" w:type="dxa"/>
            <w:right w:w="108" w:type="dxa"/>
          </w:tblCellMar>
        </w:tblPrEx>
        <w:tc>
          <w:p w14:paraId="63679961">
            <w:pPr>
              <w:pStyle w:val="28"/>
              <w:jc w:val="left"/>
            </w:pPr>
            <w:r>
              <w:t>农药制造</w:t>
            </w:r>
          </w:p>
        </w:tc>
        <w:tc>
          <w:p w14:paraId="5A6A5EE9">
            <w:pPr>
              <w:pStyle w:val="28"/>
              <w:jc w:val="left"/>
            </w:pPr>
            <w:r>
              <w:t>报告书</w:t>
            </w:r>
          </w:p>
        </w:tc>
        <w:tc>
          <w:p w14:paraId="587B5AC0">
            <w:pPr>
              <w:pStyle w:val="28"/>
              <w:jc w:val="left"/>
            </w:pPr>
            <w:r>
              <w:t>单纯物理分离、物理提纯、混合、分装除外</w:t>
            </w:r>
          </w:p>
        </w:tc>
      </w:tr>
      <w:tr w14:paraId="728AE296">
        <w:tblPrEx>
          <w:tblCellMar>
            <w:top w:w="0" w:type="dxa"/>
            <w:left w:w="108" w:type="dxa"/>
            <w:bottom w:w="0" w:type="dxa"/>
            <w:right w:w="108" w:type="dxa"/>
          </w:tblCellMar>
        </w:tblPrEx>
        <w:tc>
          <w:p w14:paraId="1686A876">
            <w:pPr>
              <w:pStyle w:val="28"/>
              <w:jc w:val="left"/>
            </w:pPr>
            <w:r>
              <w:t>涂料、油墨、颜料及类似产品制造</w:t>
            </w:r>
          </w:p>
        </w:tc>
        <w:tc>
          <w:p w14:paraId="1520038C">
            <w:pPr>
              <w:pStyle w:val="28"/>
              <w:jc w:val="left"/>
            </w:pPr>
            <w:r>
              <w:t>报告书</w:t>
            </w:r>
          </w:p>
        </w:tc>
        <w:tc>
          <w:p w14:paraId="52A8EB01">
            <w:pPr>
              <w:pStyle w:val="28"/>
              <w:jc w:val="left"/>
            </w:pPr>
            <w:r>
              <w:t>单纯物理分离、物理提纯、混合、分装除外</w:t>
            </w:r>
          </w:p>
        </w:tc>
      </w:tr>
      <w:tr w14:paraId="1F02A4CF">
        <w:tblPrEx>
          <w:tblCellMar>
            <w:top w:w="0" w:type="dxa"/>
            <w:left w:w="108" w:type="dxa"/>
            <w:bottom w:w="0" w:type="dxa"/>
            <w:right w:w="108" w:type="dxa"/>
          </w:tblCellMar>
        </w:tblPrEx>
        <w:tc>
          <w:p w14:paraId="4C0955F0">
            <w:pPr>
              <w:pStyle w:val="28"/>
              <w:jc w:val="left"/>
            </w:pPr>
            <w:r>
              <w:t>合成材料制造</w:t>
            </w:r>
          </w:p>
        </w:tc>
        <w:tc>
          <w:p w14:paraId="06E92F44">
            <w:pPr>
              <w:pStyle w:val="28"/>
              <w:jc w:val="left"/>
            </w:pPr>
            <w:r>
              <w:t>报告书</w:t>
            </w:r>
          </w:p>
        </w:tc>
        <w:tc>
          <w:p w14:paraId="57D672DE">
            <w:pPr>
              <w:pStyle w:val="28"/>
              <w:jc w:val="left"/>
            </w:pPr>
            <w:r>
              <w:t>单纯物理分离、物理提纯、混合、分装除外</w:t>
            </w:r>
          </w:p>
        </w:tc>
      </w:tr>
      <w:tr w14:paraId="62D1C287">
        <w:tblPrEx>
          <w:tblCellMar>
            <w:top w:w="0" w:type="dxa"/>
            <w:left w:w="108" w:type="dxa"/>
            <w:bottom w:w="0" w:type="dxa"/>
            <w:right w:w="108" w:type="dxa"/>
          </w:tblCellMar>
        </w:tblPrEx>
        <w:tc>
          <w:p w14:paraId="3593B37E">
            <w:pPr>
              <w:pStyle w:val="28"/>
              <w:jc w:val="left"/>
            </w:pPr>
            <w:r>
              <w:t>专用化学产品制造</w:t>
            </w:r>
          </w:p>
        </w:tc>
        <w:tc>
          <w:p w14:paraId="109E8D45">
            <w:pPr>
              <w:pStyle w:val="28"/>
              <w:jc w:val="left"/>
            </w:pPr>
            <w:r>
              <w:t>报告书</w:t>
            </w:r>
          </w:p>
        </w:tc>
        <w:tc>
          <w:p w14:paraId="00FFC09F">
            <w:pPr>
              <w:pStyle w:val="28"/>
              <w:jc w:val="left"/>
            </w:pPr>
            <w:r>
              <w:t>单纯物理分离、物理提纯、混合、分装除外</w:t>
            </w:r>
          </w:p>
        </w:tc>
      </w:tr>
      <w:tr w14:paraId="6C63D81A">
        <w:tblPrEx>
          <w:tblCellMar>
            <w:top w:w="0" w:type="dxa"/>
            <w:left w:w="108" w:type="dxa"/>
            <w:bottom w:w="0" w:type="dxa"/>
            <w:right w:w="108" w:type="dxa"/>
          </w:tblCellMar>
        </w:tblPrEx>
        <w:tc>
          <w:p w14:paraId="71C30055">
            <w:pPr>
              <w:pStyle w:val="28"/>
              <w:jc w:val="left"/>
            </w:pPr>
            <w:r>
              <w:t>炸药、火工及焰火产品制造</w:t>
            </w:r>
          </w:p>
        </w:tc>
        <w:tc>
          <w:p w14:paraId="1AEE0845">
            <w:pPr>
              <w:pStyle w:val="28"/>
              <w:jc w:val="left"/>
            </w:pPr>
            <w:r>
              <w:t>报告书</w:t>
            </w:r>
          </w:p>
        </w:tc>
        <w:tc>
          <w:p w14:paraId="43A1505C">
            <w:pPr>
              <w:pStyle w:val="28"/>
              <w:jc w:val="left"/>
            </w:pPr>
            <w:r>
              <w:t>单纯物理分离、物理提纯、混合、分装除外</w:t>
            </w:r>
          </w:p>
        </w:tc>
      </w:tr>
      <w:tr w14:paraId="33C1DE71">
        <w:tblPrEx>
          <w:tblCellMar>
            <w:top w:w="0" w:type="dxa"/>
            <w:left w:w="108" w:type="dxa"/>
            <w:bottom w:w="0" w:type="dxa"/>
            <w:right w:w="108" w:type="dxa"/>
          </w:tblCellMar>
        </w:tblPrEx>
        <w:tc>
          <w:p w14:paraId="7F33C06F">
            <w:pPr>
              <w:pStyle w:val="28"/>
              <w:jc w:val="left"/>
            </w:pPr>
            <w:r>
              <w:t>肥料制造（化学方法）</w:t>
            </w:r>
          </w:p>
        </w:tc>
        <w:tc>
          <w:p w14:paraId="4CAF5F1B">
            <w:pPr>
              <w:pStyle w:val="28"/>
              <w:jc w:val="left"/>
            </w:pPr>
            <w:r>
              <w:t>报告书</w:t>
            </w:r>
          </w:p>
        </w:tc>
        <w:tc>
          <w:p w14:paraId="6420210C">
            <w:pPr>
              <w:pStyle w:val="28"/>
              <w:jc w:val="left"/>
            </w:pPr>
            <w:r>
              <w:t>—</w:t>
            </w:r>
          </w:p>
        </w:tc>
      </w:tr>
    </w:tbl>
    <w:p w14:paraId="79008D10">
      <w:pPr>
        <w:pStyle w:val="3"/>
      </w:pPr>
      <w:r>
        <w:t>化工行业审核的核心关注点包括：</w:t>
      </w:r>
      <w:r>
        <w:rPr>
          <w:b/>
          <w:bCs/>
        </w:rPr>
        <w:t>危险化学品建设项目安全与环境风险联动审查</w:t>
      </w:r>
      <w:r>
        <w:t>，要求环评文件与安全评价文件相互衔接，重大危险源识别、事故情景设定、影响预测等内容需要保持一致；</w:t>
      </w:r>
      <w:r>
        <w:rPr>
          <w:b/>
          <w:bCs/>
        </w:rPr>
        <w:t>挥发性有机物（VOCs）排放控制要求</w:t>
      </w:r>
      <w:r>
        <w:t>，深圳市作为珠三角地区的重要城市，对VOCs排放实行严格管控，智能审核系统需要内置VOCs排放量核算方法、治理技术适用性判断规则、排放标准符合性检查模块等；</w:t>
      </w:r>
      <w:r>
        <w:rPr>
          <w:b/>
          <w:bCs/>
        </w:rPr>
        <w:t>化工园区准入与布局要求</w:t>
      </w:r>
      <w:r>
        <w:t>，深圳市对化工园区实行名录管理，园区外原则上不再新建、扩建化工项目，系统需要建立化工园区空间数据库，自动判断项目选址是否在合规化工园区内。</w:t>
      </w:r>
    </w:p>
    <w:bookmarkEnd w:id="11"/>
    <w:p w14:paraId="0DA511AD">
      <w:pPr>
        <w:pStyle w:val="6"/>
      </w:pPr>
      <w:bookmarkStart w:id="12" w:name="医药行业"/>
      <w:r>
        <w:t>1.3.2 医药行业</w:t>
      </w:r>
    </w:p>
    <w:p w14:paraId="59D93F92">
      <w:pPr>
        <w:pStyle w:val="27"/>
      </w:pPr>
      <w:r>
        <w:t xml:space="preserve">医药制造业的环境影响评价审核具有其特殊性，涉及制药工业污染防治技术政策、生物安全实验室环境影响评价要求、抗生素生产废水处理要求等。根据深圳市相关规定 </w:t>
      </w:r>
      <w:r>
        <w:fldChar w:fldCharType="begin"/>
      </w:r>
      <w:r>
        <w:instrText xml:space="preserve"> HYPERLINK "https://www.szlh.gov.cn/attachment/1/1568/1568943/11890219.pdf" \h </w:instrText>
      </w:r>
      <w:r>
        <w:fldChar w:fldCharType="separate"/>
      </w:r>
      <w:r>
        <w:rPr>
          <w:rStyle w:val="24"/>
        </w:rPr>
        <w:t>(深圳市罗湖区人民政府门户网站)</w:t>
      </w:r>
      <w:r>
        <w:rPr>
          <w:rStyle w:val="24"/>
        </w:rPr>
        <w:fldChar w:fldCharType="end"/>
      </w:r>
      <w:r>
        <w:t xml:space="preserve"> ：</w:t>
      </w:r>
    </w:p>
    <w:tbl>
      <w:tblPr>
        <w:tblStyle w:val="45"/>
        <w:tblW w:w="5000" w:type="pct"/>
        <w:tblInd w:w="0" w:type="dxa"/>
        <w:tblLayout w:type="fixed"/>
        <w:tblCellMar>
          <w:top w:w="0" w:type="dxa"/>
          <w:left w:w="108" w:type="dxa"/>
          <w:bottom w:w="0" w:type="dxa"/>
          <w:right w:w="108" w:type="dxa"/>
        </w:tblCellMar>
      </w:tblPr>
      <w:tblGrid>
        <w:gridCol w:w="3142"/>
        <w:gridCol w:w="3142"/>
        <w:gridCol w:w="2571"/>
      </w:tblGrid>
      <w:tr w14:paraId="65C19CB8">
        <w:tblPrEx>
          <w:tblCellMar>
            <w:top w:w="0" w:type="dxa"/>
            <w:left w:w="108" w:type="dxa"/>
            <w:bottom w:w="0" w:type="dxa"/>
            <w:right w:w="108" w:type="dxa"/>
          </w:tblCellMar>
        </w:tblPrEx>
        <w:trPr>
          <w:tblHeader/>
        </w:trPr>
        <w:tc>
          <w:p w14:paraId="62D8B805">
            <w:pPr>
              <w:pStyle w:val="28"/>
              <w:jc w:val="left"/>
            </w:pPr>
            <w:r>
              <w:t>行业细分领域</w:t>
            </w:r>
          </w:p>
        </w:tc>
        <w:tc>
          <w:p w14:paraId="47C9CFF1">
            <w:pPr>
              <w:pStyle w:val="28"/>
              <w:jc w:val="left"/>
            </w:pPr>
            <w:r>
              <w:t>环评文件类型</w:t>
            </w:r>
          </w:p>
        </w:tc>
        <w:tc>
          <w:p w14:paraId="7C7DFC13">
            <w:pPr>
              <w:pStyle w:val="28"/>
              <w:jc w:val="left"/>
            </w:pPr>
            <w:r>
              <w:t>简化条件</w:t>
            </w:r>
          </w:p>
        </w:tc>
      </w:tr>
      <w:tr w14:paraId="0DDCBFBC">
        <w:tblPrEx>
          <w:tblCellMar>
            <w:top w:w="0" w:type="dxa"/>
            <w:left w:w="108" w:type="dxa"/>
            <w:bottom w:w="0" w:type="dxa"/>
            <w:right w:w="108" w:type="dxa"/>
          </w:tblCellMar>
        </w:tblPrEx>
        <w:tc>
          <w:p w14:paraId="59BE464F">
            <w:pPr>
              <w:pStyle w:val="28"/>
              <w:jc w:val="left"/>
            </w:pPr>
            <w:r>
              <w:t>化学药品原料药制造</w:t>
            </w:r>
          </w:p>
        </w:tc>
        <w:tc>
          <w:p w14:paraId="4FE184C4">
            <w:pPr>
              <w:pStyle w:val="28"/>
              <w:jc w:val="left"/>
            </w:pPr>
            <w:r>
              <w:t>报告书</w:t>
            </w:r>
          </w:p>
        </w:tc>
        <w:tc>
          <w:p w14:paraId="48270ED5">
            <w:pPr>
              <w:pStyle w:val="28"/>
              <w:jc w:val="left"/>
            </w:pPr>
            <w:r>
              <w:t>单纯药品复配、分装除外</w:t>
            </w:r>
          </w:p>
        </w:tc>
      </w:tr>
      <w:tr w14:paraId="4D6C42C4">
        <w:tblPrEx>
          <w:tblCellMar>
            <w:top w:w="0" w:type="dxa"/>
            <w:left w:w="108" w:type="dxa"/>
            <w:bottom w:w="0" w:type="dxa"/>
            <w:right w:w="108" w:type="dxa"/>
          </w:tblCellMar>
        </w:tblPrEx>
        <w:tc>
          <w:p w14:paraId="4ECE805E">
            <w:pPr>
              <w:pStyle w:val="28"/>
              <w:jc w:val="left"/>
            </w:pPr>
            <w:r>
              <w:t>兽用药品制造</w:t>
            </w:r>
          </w:p>
        </w:tc>
        <w:tc>
          <w:p w14:paraId="0D46F924">
            <w:pPr>
              <w:pStyle w:val="28"/>
              <w:jc w:val="left"/>
            </w:pPr>
            <w:r>
              <w:t>报告书</w:t>
            </w:r>
          </w:p>
        </w:tc>
        <w:tc>
          <w:p w14:paraId="6A375FFB">
            <w:pPr>
              <w:pStyle w:val="28"/>
              <w:jc w:val="left"/>
            </w:pPr>
            <w:r>
              <w:t>单纯药品复配、分装除外</w:t>
            </w:r>
          </w:p>
        </w:tc>
      </w:tr>
      <w:tr w14:paraId="55E32E82">
        <w:tblPrEx>
          <w:tblCellMar>
            <w:top w:w="0" w:type="dxa"/>
            <w:left w:w="108" w:type="dxa"/>
            <w:bottom w:w="0" w:type="dxa"/>
            <w:right w:w="108" w:type="dxa"/>
          </w:tblCellMar>
        </w:tblPrEx>
        <w:tc>
          <w:p w14:paraId="09541B4A">
            <w:pPr>
              <w:pStyle w:val="28"/>
              <w:jc w:val="left"/>
            </w:pPr>
            <w:r>
              <w:t>生物药品制品制造</w:t>
            </w:r>
          </w:p>
        </w:tc>
        <w:tc>
          <w:p w14:paraId="4D4168E9">
            <w:pPr>
              <w:pStyle w:val="28"/>
              <w:jc w:val="left"/>
            </w:pPr>
            <w:r>
              <w:t>报告书</w:t>
            </w:r>
          </w:p>
        </w:tc>
        <w:tc>
          <w:p w14:paraId="532BB2CF">
            <w:pPr>
              <w:pStyle w:val="28"/>
              <w:jc w:val="left"/>
            </w:pPr>
            <w:r>
              <w:t>单纯药品复配、分装除外</w:t>
            </w:r>
          </w:p>
        </w:tc>
      </w:tr>
      <w:tr w14:paraId="782F08FA">
        <w:tblPrEx>
          <w:tblCellMar>
            <w:top w:w="0" w:type="dxa"/>
            <w:left w:w="108" w:type="dxa"/>
            <w:bottom w:w="0" w:type="dxa"/>
            <w:right w:w="108" w:type="dxa"/>
          </w:tblCellMar>
        </w:tblPrEx>
        <w:tc>
          <w:p w14:paraId="59BB37DB">
            <w:pPr>
              <w:pStyle w:val="28"/>
              <w:jc w:val="left"/>
            </w:pPr>
            <w:r>
              <w:t>中药饮片加工、中成药生产（有提炼工艺）</w:t>
            </w:r>
          </w:p>
        </w:tc>
        <w:tc>
          <w:p w14:paraId="28EA8F6B">
            <w:pPr>
              <w:pStyle w:val="28"/>
              <w:jc w:val="left"/>
            </w:pPr>
            <w:r>
              <w:t>报告书</w:t>
            </w:r>
          </w:p>
        </w:tc>
        <w:tc>
          <w:p w14:paraId="764B440D">
            <w:pPr>
              <w:pStyle w:val="28"/>
              <w:jc w:val="left"/>
            </w:pPr>
            <w:r>
              <w:t>仅醇提、水提除外；入驻设有工业废水集中处理设施的产业园区可简化为报告表</w:t>
            </w:r>
          </w:p>
        </w:tc>
      </w:tr>
    </w:tbl>
    <w:p w14:paraId="06D7C9E9">
      <w:pPr>
        <w:pStyle w:val="3"/>
      </w:pPr>
      <w:r>
        <w:t>医药行业审核的重点内容包括：</w:t>
      </w:r>
      <w:r>
        <w:rPr>
          <w:b/>
          <w:bCs/>
        </w:rPr>
        <w:t>制药工业污染防治技术政策</w:t>
      </w:r>
      <w:r>
        <w:t>的落实，特别是发酵类、化学合成类、提取类、中药类、生物工程类等不同类型制药工艺的污染特征和防治要求；</w:t>
      </w:r>
      <w:r>
        <w:rPr>
          <w:b/>
          <w:bCs/>
        </w:rPr>
        <w:t>生物安全实验室环境影响评价要求</w:t>
      </w:r>
      <w:r>
        <w:t>，涉及生物安全实验室的项目需符合《实验室生物安全通用要求》（GB 19489）等标准规范，审核实验室的生物安全防护等级、废水废气消毒灭菌措施、危险废物处置方案等；</w:t>
      </w:r>
      <w:r>
        <w:rPr>
          <w:b/>
          <w:bCs/>
        </w:rPr>
        <w:t>抗生素生产废水处理要求</w:t>
      </w:r>
      <w:r>
        <w:t>，抗生素生产废水因含有抗生素残留，具有特殊的生态毒性，其处理工艺应进行充分的可行性论证，系统需要建立抗生素废水识别规则，对于涉及抗生素生产的项目自动调用专项审核模块。</w:t>
      </w:r>
    </w:p>
    <w:bookmarkEnd w:id="12"/>
    <w:p w14:paraId="53CB73BD">
      <w:pPr>
        <w:pStyle w:val="6"/>
      </w:pPr>
      <w:bookmarkStart w:id="13" w:name="机械制造行业"/>
      <w:r>
        <w:t>1.3.3 机械制造行业</w:t>
      </w:r>
    </w:p>
    <w:p w14:paraId="050A5026">
      <w:pPr>
        <w:pStyle w:val="27"/>
      </w:pPr>
      <w:r>
        <w:t xml:space="preserve">机械制造行业的环评审核重点关注表面处理工序、涂装工序以及工业噪声与振动控制。根据深圳市相关规定 </w:t>
      </w:r>
      <w:r>
        <w:fldChar w:fldCharType="begin"/>
      </w:r>
      <w:r>
        <w:instrText xml:space="preserve"> HYPERLINK "https://www.szlh.gov.cn/attachment/1/1568/1568943/11890219.pdf" \h </w:instrText>
      </w:r>
      <w:r>
        <w:fldChar w:fldCharType="separate"/>
      </w:r>
      <w:r>
        <w:rPr>
          <w:rStyle w:val="24"/>
        </w:rPr>
        <w:t>(深圳市罗湖区人民政府门户网站)</w:t>
      </w:r>
      <w:r>
        <w:rPr>
          <w:rStyle w:val="24"/>
        </w:rPr>
        <w:fldChar w:fldCharType="end"/>
      </w:r>
      <w:r>
        <w:t xml:space="preserve"> ：</w:t>
      </w:r>
    </w:p>
    <w:tbl>
      <w:tblPr>
        <w:tblStyle w:val="45"/>
        <w:tblW w:w="5000" w:type="pct"/>
        <w:tblInd w:w="0" w:type="dxa"/>
        <w:tblLayout w:type="fixed"/>
        <w:tblCellMar>
          <w:top w:w="0" w:type="dxa"/>
          <w:left w:w="108" w:type="dxa"/>
          <w:bottom w:w="0" w:type="dxa"/>
          <w:right w:w="108" w:type="dxa"/>
        </w:tblCellMar>
      </w:tblPr>
      <w:tblGrid>
        <w:gridCol w:w="3142"/>
        <w:gridCol w:w="3142"/>
        <w:gridCol w:w="2571"/>
      </w:tblGrid>
      <w:tr w14:paraId="08D264DA">
        <w:tblPrEx>
          <w:tblCellMar>
            <w:top w:w="0" w:type="dxa"/>
            <w:left w:w="108" w:type="dxa"/>
            <w:bottom w:w="0" w:type="dxa"/>
            <w:right w:w="108" w:type="dxa"/>
          </w:tblCellMar>
        </w:tblPrEx>
        <w:trPr>
          <w:tblHeader/>
        </w:trPr>
        <w:tc>
          <w:p w14:paraId="01D372EB">
            <w:pPr>
              <w:pStyle w:val="28"/>
              <w:jc w:val="left"/>
            </w:pPr>
            <w:r>
              <w:t>行业细分领域</w:t>
            </w:r>
          </w:p>
        </w:tc>
        <w:tc>
          <w:p w14:paraId="1A2473ED">
            <w:pPr>
              <w:pStyle w:val="28"/>
              <w:jc w:val="left"/>
            </w:pPr>
            <w:r>
              <w:t>环评文件类型</w:t>
            </w:r>
          </w:p>
        </w:tc>
        <w:tc>
          <w:p w14:paraId="79DF2466">
            <w:pPr>
              <w:pStyle w:val="28"/>
              <w:jc w:val="left"/>
            </w:pPr>
            <w:r>
              <w:t>简化条件</w:t>
            </w:r>
          </w:p>
        </w:tc>
      </w:tr>
      <w:tr w14:paraId="3B2946D2">
        <w:tblPrEx>
          <w:tblCellMar>
            <w:top w:w="0" w:type="dxa"/>
            <w:left w:w="108" w:type="dxa"/>
            <w:bottom w:w="0" w:type="dxa"/>
            <w:right w:w="108" w:type="dxa"/>
          </w:tblCellMar>
        </w:tblPrEx>
        <w:tc>
          <w:p w14:paraId="7CEE88BB">
            <w:pPr>
              <w:pStyle w:val="28"/>
              <w:jc w:val="left"/>
            </w:pPr>
            <w:r>
              <w:t>汽车制造（造船、拆船、修船厂；有电镀工艺；年用溶剂型涂料10吨及以上）</w:t>
            </w:r>
          </w:p>
        </w:tc>
        <w:tc>
          <w:p w14:paraId="5CED73CD">
            <w:pPr>
              <w:pStyle w:val="28"/>
              <w:jc w:val="left"/>
            </w:pPr>
            <w:r>
              <w:t>报告表</w:t>
            </w:r>
          </w:p>
        </w:tc>
        <w:tc>
          <w:p w14:paraId="51ABF08D">
            <w:pPr>
              <w:pStyle w:val="28"/>
              <w:jc w:val="left"/>
            </w:pPr>
            <w:r>
              <w:t>入驻设有工业废水集中处理设施的产业园区</w:t>
            </w:r>
          </w:p>
        </w:tc>
      </w:tr>
      <w:tr w14:paraId="379EAC27">
        <w:tblPrEx>
          <w:tblCellMar>
            <w:top w:w="0" w:type="dxa"/>
            <w:left w:w="108" w:type="dxa"/>
            <w:bottom w:w="0" w:type="dxa"/>
            <w:right w:w="108" w:type="dxa"/>
          </w:tblCellMar>
        </w:tblPrEx>
        <w:tc>
          <w:p w14:paraId="6004B5AA">
            <w:pPr>
              <w:pStyle w:val="28"/>
              <w:jc w:val="left"/>
            </w:pPr>
            <w:r>
              <w:t>航空、航天器及设备制造（有电镀工艺且年用溶剂型涂料10吨及以上）</w:t>
            </w:r>
          </w:p>
        </w:tc>
        <w:tc>
          <w:p w14:paraId="46EADE63">
            <w:pPr>
              <w:pStyle w:val="28"/>
              <w:jc w:val="left"/>
            </w:pPr>
            <w:r>
              <w:t>报告书</w:t>
            </w:r>
          </w:p>
        </w:tc>
        <w:tc>
          <w:p w14:paraId="50CC628C">
            <w:pPr>
              <w:pStyle w:val="28"/>
              <w:jc w:val="left"/>
            </w:pPr>
            <w:r>
              <w:t>入驻设有工业废水集中处理设施的可简化为报告表</w:t>
            </w:r>
          </w:p>
        </w:tc>
      </w:tr>
    </w:tbl>
    <w:p w14:paraId="13911D6A">
      <w:pPr>
        <w:pStyle w:val="3"/>
      </w:pPr>
      <w:r>
        <w:t>机械制造行业审核的核心要点包括：</w:t>
      </w:r>
      <w:r>
        <w:rPr>
          <w:b/>
          <w:bCs/>
        </w:rPr>
        <w:t>表面处理工序重金属排放控制</w:t>
      </w:r>
      <w:r>
        <w:t>，电镀、阳极氧化、磷化等表面处理工序涉及重金属污染物排放，智能审核系统需要建立重金属排放量核算模型，自动判断项目是否符合区域重金属总量控制要求，废水处理工艺是否能够实现重金属稳定达标排放；</w:t>
      </w:r>
      <w:r>
        <w:rPr>
          <w:b/>
          <w:bCs/>
        </w:rPr>
        <w:t>涂装工序VOCs治理要求</w:t>
      </w:r>
      <w:r>
        <w:t>，系统需要内置涂装工艺VOCs产生量核算方法、源头替代技术适用性判断规则、末端治理技术选型指南等；</w:t>
      </w:r>
      <w:r>
        <w:rPr>
          <w:b/>
          <w:bCs/>
        </w:rPr>
        <w:t>工业噪声与振动控制</w:t>
      </w:r>
      <w:r>
        <w:t>，机械制造企业往往存在大量高噪声设备，系统应对噪声源识别、预测、防治措施的完整性和有效性进行评估。</w:t>
      </w:r>
    </w:p>
    <w:bookmarkEnd w:id="13"/>
    <w:p w14:paraId="35562AEE">
      <w:pPr>
        <w:pStyle w:val="6"/>
      </w:pPr>
      <w:bookmarkStart w:id="14" w:name="其他重点行业"/>
      <w:r>
        <w:t>1.3.4 其他重点行业</w:t>
      </w:r>
    </w:p>
    <w:tbl>
      <w:tblPr>
        <w:tblStyle w:val="45"/>
        <w:tblW w:w="5000" w:type="pct"/>
        <w:tblInd w:w="0" w:type="dxa"/>
        <w:tblLayout w:type="fixed"/>
        <w:tblCellMar>
          <w:top w:w="0" w:type="dxa"/>
          <w:left w:w="108" w:type="dxa"/>
          <w:bottom w:w="0" w:type="dxa"/>
          <w:right w:w="108" w:type="dxa"/>
        </w:tblCellMar>
      </w:tblPr>
      <w:tblGrid>
        <w:gridCol w:w="2571"/>
        <w:gridCol w:w="3142"/>
        <w:gridCol w:w="3142"/>
      </w:tblGrid>
      <w:tr w14:paraId="32A4BBBA">
        <w:tblPrEx>
          <w:tblCellMar>
            <w:top w:w="0" w:type="dxa"/>
            <w:left w:w="108" w:type="dxa"/>
            <w:bottom w:w="0" w:type="dxa"/>
            <w:right w:w="108" w:type="dxa"/>
          </w:tblCellMar>
        </w:tblPrEx>
        <w:trPr>
          <w:tblHeader/>
        </w:trPr>
        <w:tc>
          <w:p w14:paraId="008D57F3">
            <w:pPr>
              <w:pStyle w:val="28"/>
              <w:jc w:val="left"/>
            </w:pPr>
            <w:r>
              <w:t>行业类别</w:t>
            </w:r>
          </w:p>
        </w:tc>
        <w:tc>
          <w:p w14:paraId="3FC356C5">
            <w:pPr>
              <w:pStyle w:val="28"/>
              <w:jc w:val="left"/>
            </w:pPr>
            <w:r>
              <w:t>核心审核重点</w:t>
            </w:r>
          </w:p>
        </w:tc>
        <w:tc>
          <w:p w14:paraId="5114D6AD">
            <w:pPr>
              <w:pStyle w:val="28"/>
              <w:jc w:val="left"/>
            </w:pPr>
            <w:r>
              <w:t>关键标准/规范</w:t>
            </w:r>
          </w:p>
        </w:tc>
      </w:tr>
      <w:tr w14:paraId="1276384D">
        <w:tblPrEx>
          <w:tblCellMar>
            <w:top w:w="0" w:type="dxa"/>
            <w:left w:w="108" w:type="dxa"/>
            <w:bottom w:w="0" w:type="dxa"/>
            <w:right w:w="108" w:type="dxa"/>
          </w:tblCellMar>
        </w:tblPrEx>
        <w:tc>
          <w:p w14:paraId="71CFF68B">
            <w:pPr>
              <w:pStyle w:val="28"/>
              <w:jc w:val="left"/>
            </w:pPr>
            <w:r>
              <w:rPr>
                <w:b/>
                <w:bCs/>
              </w:rPr>
              <w:t>电子行业</w:t>
            </w:r>
          </w:p>
        </w:tc>
        <w:tc>
          <w:p w14:paraId="1136D6AA">
            <w:pPr>
              <w:pStyle w:val="28"/>
              <w:jc w:val="left"/>
            </w:pPr>
            <w:r>
              <w:t>重金属（铜、镍、铅、镉、汞、六价铬）与危险化学品管理；印制电路板、半导体制造废水处理</w:t>
            </w:r>
          </w:p>
        </w:tc>
        <w:tc>
          <w:p w14:paraId="514601E7">
            <w:pPr>
              <w:pStyle w:val="28"/>
              <w:jc w:val="left"/>
            </w:pPr>
            <w:r>
              <w:t>《电子工业水污染物排放标准》（GB 39731）</w:t>
            </w:r>
          </w:p>
        </w:tc>
      </w:tr>
      <w:tr w14:paraId="7C7ED9DF">
        <w:tblPrEx>
          <w:tblCellMar>
            <w:top w:w="0" w:type="dxa"/>
            <w:left w:w="108" w:type="dxa"/>
            <w:bottom w:w="0" w:type="dxa"/>
            <w:right w:w="108" w:type="dxa"/>
          </w:tblCellMar>
        </w:tblPrEx>
        <w:tc>
          <w:p w14:paraId="0748EBA1">
            <w:pPr>
              <w:pStyle w:val="28"/>
              <w:jc w:val="left"/>
            </w:pPr>
            <w:r>
              <w:rPr>
                <w:b/>
                <w:bCs/>
              </w:rPr>
              <w:t>印刷行业</w:t>
            </w:r>
          </w:p>
        </w:tc>
        <w:tc>
          <w:p w14:paraId="4F2FEB82">
            <w:pPr>
              <w:pStyle w:val="28"/>
              <w:jc w:val="left"/>
            </w:pPr>
            <w:r>
              <w:t>VOCs源头替代（水性油墨、UV油墨）与末端治理（活性炭吸附、催化燃烧、蓄热燃烧）</w:t>
            </w:r>
          </w:p>
        </w:tc>
        <w:tc>
          <w:p w14:paraId="3809B46E">
            <w:pPr>
              <w:pStyle w:val="28"/>
              <w:jc w:val="left"/>
            </w:pPr>
            <w:r>
              <w:t>《印刷工业污染防治可行技术指南》（HJ 1089）</w:t>
            </w:r>
          </w:p>
        </w:tc>
      </w:tr>
      <w:tr w14:paraId="28EC7872">
        <w:tblPrEx>
          <w:tblCellMar>
            <w:top w:w="0" w:type="dxa"/>
            <w:left w:w="108" w:type="dxa"/>
            <w:bottom w:w="0" w:type="dxa"/>
            <w:right w:w="108" w:type="dxa"/>
          </w:tblCellMar>
        </w:tblPrEx>
        <w:tc>
          <w:p w14:paraId="426BC3B8">
            <w:pPr>
              <w:pStyle w:val="28"/>
              <w:jc w:val="left"/>
            </w:pPr>
            <w:r>
              <w:rPr>
                <w:b/>
                <w:bCs/>
              </w:rPr>
              <w:t>汽修行业</w:t>
            </w:r>
          </w:p>
        </w:tc>
        <w:tc>
          <w:p w14:paraId="437F4925">
            <w:pPr>
              <w:pStyle w:val="28"/>
              <w:jc w:val="left"/>
            </w:pPr>
            <w:r>
              <w:t>危险废物规范化管理（废矿物油、废铅酸蓄电池、废油漆渣、废活性炭）</w:t>
            </w:r>
          </w:p>
        </w:tc>
        <w:tc>
          <w:p w14:paraId="230C72A9">
            <w:pPr>
              <w:pStyle w:val="28"/>
              <w:jc w:val="left"/>
            </w:pPr>
            <w:r>
              <w:t>《危险废物贮存污染控制标准》（GB 18597）</w:t>
            </w:r>
          </w:p>
        </w:tc>
      </w:tr>
      <w:bookmarkEnd w:id="1"/>
      <w:bookmarkEnd w:id="10"/>
      <w:bookmarkEnd w:id="14"/>
    </w:tbl>
    <w:p w14:paraId="1FB156C9">
      <w:pPr>
        <w:pStyle w:val="4"/>
      </w:pPr>
      <w:bookmarkStart w:id="15" w:name="审核内容体系与核心规则"/>
      <w:r>
        <w:t>2. 审核内容体系与核心规则</w:t>
      </w:r>
    </w:p>
    <w:p w14:paraId="54E7D8D6">
      <w:pPr>
        <w:pStyle w:val="5"/>
      </w:pPr>
      <w:bookmarkStart w:id="16" w:name="编制规范性审核"/>
      <w:r>
        <w:t>2.1 编制规范性审核</w:t>
      </w:r>
    </w:p>
    <w:p w14:paraId="65472A19">
      <w:pPr>
        <w:pStyle w:val="6"/>
      </w:pPr>
      <w:bookmarkStart w:id="17" w:name="编制单位与人员资质"/>
      <w:r>
        <w:t>2.1.1 编制单位与人员资质</w:t>
      </w:r>
    </w:p>
    <w:p w14:paraId="3F94551F">
      <w:pPr>
        <w:pStyle w:val="27"/>
      </w:pPr>
      <w:r>
        <w:t xml:space="preserve">编制单位与人员资质审核是环评文件合规性审查的首要环节，直接关系到环评文件的法律责任主体和技术可靠性。根据DB4403/T 548-2024的规定 </w:t>
      </w:r>
      <w:r>
        <w:fldChar w:fldCharType="begin"/>
      </w:r>
      <w:r>
        <w:instrText xml:space="preserve"> HYPERLINK "https://amr.sz.gov.cn/attachment/1/1518/1518786/11858285.pdf" \h </w:instrText>
      </w:r>
      <w:r>
        <w:fldChar w:fldCharType="separate"/>
      </w:r>
      <w:r>
        <w:rPr>
          <w:rStyle w:val="24"/>
        </w:rPr>
        <w:t>(深圳市市场监督管理局网站)</w:t>
      </w:r>
      <w:r>
        <w:rPr>
          <w:rStyle w:val="24"/>
        </w:rPr>
        <w:fldChar w:fldCharType="end"/>
      </w:r>
      <w:r>
        <w:t xml:space="preserve"> ，智能审核系统需要实现以下核心审核功能：</w:t>
      </w:r>
    </w:p>
    <w:p w14:paraId="5CF2148C">
      <w:pPr>
        <w:pStyle w:val="3"/>
      </w:pPr>
      <w:r>
        <w:rPr>
          <w:b/>
          <w:bCs/>
        </w:rPr>
        <w:t>编制单位依法独立承担法律责任能力核验</w:t>
      </w:r>
      <w:r>
        <w:t>。系统应通过对接全国环境影响评价信用平台，自动查询编制单位的工商注册信息、统一社会信用代码，验证其是否为依法设立的独立法人或其他能够独立承担法律责任的组织。技术能力的判定依据包括编制单位的专业技术人员配备、技术装备配置、质量管理体系建设等情况。</w:t>
      </w:r>
    </w:p>
    <w:p w14:paraId="2C7B811A">
      <w:pPr>
        <w:pStyle w:val="3"/>
      </w:pPr>
      <w:r>
        <w:rPr>
          <w:b/>
          <w:bCs/>
        </w:rPr>
        <w:t>编制主持人环境影响评价工程师职业资格核验</w:t>
      </w:r>
      <w:r>
        <w:t>。系统应通过生态环境部环境影响评价工程师职业资格管理系统，验证编制主持人是否持有有效的环境影响评价工程师职业资格证书，证书是否在有效期内，注册单位是否与申报的编制单位一致。对于证书过期、注册单位不一致、证书被注销等异常情况，系统应生成明确的审核意见。</w:t>
      </w:r>
    </w:p>
    <w:p w14:paraId="78F02C62">
      <w:pPr>
        <w:pStyle w:val="3"/>
      </w:pPr>
      <w:r>
        <w:rPr>
          <w:b/>
          <w:bCs/>
        </w:rPr>
        <w:t>主要编制人员全职身份核验</w:t>
      </w:r>
      <w:r>
        <w:t>。系统应通过信用平台查询编制人员的社保缴纳信息、劳动合同信息，验证其是否为编制单位的全职工作人员，防止出现”挂靠”等违规行为。全职身份的判定需要综合多项信息进行交叉验证，确保人员关系的真实性。</w:t>
      </w:r>
    </w:p>
    <w:p w14:paraId="6AFE81CC">
      <w:pPr>
        <w:pStyle w:val="3"/>
      </w:pPr>
      <w:r>
        <w:rPr>
          <w:b/>
          <w:bCs/>
        </w:rPr>
        <w:t>编制单位和人员信用状况实时查询</w:t>
      </w:r>
      <w:r>
        <w:t>。系统应对接信用平台的限期整改名单和失信”黑名单”，自动比对编制单位和编制人员是否被列入上述名单。对于列入黑名单的对象，系统应自动触发高风险预警，生成不予通过的审核建议。信用状况审核是动态过程，系统需要建立实时查询机制，确保审核依据的时效性。</w:t>
      </w:r>
    </w:p>
    <w:bookmarkEnd w:id="17"/>
    <w:p w14:paraId="66530E8C">
      <w:pPr>
        <w:pStyle w:val="6"/>
      </w:pPr>
      <w:bookmarkStart w:id="18" w:name="编制程序合规性"/>
      <w:r>
        <w:t>2.1.2 编制程序合规性</w:t>
      </w:r>
    </w:p>
    <w:p w14:paraId="0A11698A">
      <w:pPr>
        <w:pStyle w:val="27"/>
      </w:pPr>
      <w:r>
        <w:t>编制程序合规性审核关注环评工作全过程的程序规范性。智能审核系统需要建立程序合规性检查清单，对关键环节进行自动核验：</w:t>
      </w:r>
    </w:p>
    <w:p w14:paraId="78216082">
      <w:pPr>
        <w:pStyle w:val="3"/>
      </w:pPr>
      <w:r>
        <w:rPr>
          <w:b/>
          <w:bCs/>
        </w:rPr>
        <w:t>信用平台项目编号生成与信息公开状态核验</w:t>
      </w:r>
      <w:r>
        <w:t xml:space="preserve">。根据《建设项目环境影响报告书（表）编制监督管理办法》的规定，除涉及国家秘密的建设项目外，编制单位和编制人员应当在建设单位报批环境影响报告书（表）前，通过信用平台提交编制完成的环境影响报告书（表）基本情况信息，信用平台生成项目编号，并公开相关基础信息 </w:t>
      </w:r>
      <w:r>
        <w:fldChar w:fldCharType="begin"/>
      </w:r>
      <w:r>
        <w:instrText xml:space="preserve"> HYPERLINK "https://sthjj.cq.gov.cn/zwgk_249/zfxxgkml/zcwj/qtwj/202112/t20211213_10157988_wap.html" \h </w:instrText>
      </w:r>
      <w:r>
        <w:fldChar w:fldCharType="separate"/>
      </w:r>
      <w:r>
        <w:rPr>
          <w:rStyle w:val="24"/>
        </w:rPr>
        <w:t>(重庆市生态环境局)</w:t>
      </w:r>
      <w:r>
        <w:rPr>
          <w:rStyle w:val="24"/>
        </w:rPr>
        <w:fldChar w:fldCharType="end"/>
      </w:r>
      <w:r>
        <w:t xml:space="preserve"> 。系统应验证报告书封面标注的项目编号是否在信用平台真实存在，信息公开内容是否完整，时间节点是否符合程序要求。</w:t>
      </w:r>
    </w:p>
    <w:p w14:paraId="71A2BD0F">
      <w:pPr>
        <w:pStyle w:val="3"/>
      </w:pPr>
      <w:r>
        <w:rPr>
          <w:b/>
          <w:bCs/>
        </w:rPr>
        <w:t>编制单位和编制人员情况表附具与签章审核</w:t>
      </w:r>
      <w:r>
        <w:t>。系统应通过OCR技术识别报告书中是否附具了编制单位和编制人员情况表，表格内容是否与信用平台导出的信息一致，建设单位、编制单位和相关人员的签章是否齐全、清晰。情况表是法律责任追溯的重要依据，其真实性和完整性直接关系到环评文件的法律效力。</w:t>
      </w:r>
    </w:p>
    <w:p w14:paraId="3C6B5FB8">
      <w:pPr>
        <w:pStyle w:val="3"/>
      </w:pPr>
      <w:r>
        <w:rPr>
          <w:b/>
          <w:bCs/>
        </w:rPr>
        <w:t>公众参与程序履行情况审核</w:t>
      </w:r>
      <w:r>
        <w:t>。对于依法应当开展公众参与的建设项目，系统应审核公众参与的方式（网络公示、报纸公示、现场张贴、听证会等）、范围、时限是否符合《环境影响评价公众参与办法》的要求，公众意见的调查、反馈、采纳情况是否在报告书中如实记录。公众参与是环评工作的重要环节，其程序合规性直接影响环评文件的合法性。</w:t>
      </w:r>
    </w:p>
    <w:bookmarkEnd w:id="18"/>
    <w:p w14:paraId="2BFD1EDC">
      <w:pPr>
        <w:pStyle w:val="6"/>
      </w:pPr>
      <w:bookmarkStart w:id="19" w:name="文件格式规范性"/>
      <w:r>
        <w:t>2.1.3 文件格式规范性</w:t>
      </w:r>
    </w:p>
    <w:p w14:paraId="188F712A">
      <w:pPr>
        <w:pStyle w:val="27"/>
      </w:pPr>
      <w:r>
        <w:t>文件格式规范性审核是智能审核系统的基础功能模块，主要实现以下自动化检测：</w:t>
      </w:r>
    </w:p>
    <w:p w14:paraId="24A533BC">
      <w:pPr>
        <w:pStyle w:val="3"/>
      </w:pPr>
      <w:r>
        <w:rPr>
          <w:b/>
          <w:bCs/>
        </w:rPr>
        <w:t>章节设置完整性检测</w:t>
      </w:r>
      <w:r>
        <w:t xml:space="preserve">。系统应依据HJ 2.1和各专项导则的要求，建立标准章节结构模板，自动比对报告书的章节设置是否完整，是否存在章节缺失或顺序错误。对于工业类项目，标准章节通常包括：前言、总则、建设项目概况与工程分析、环境现状调查与评价、环境影响预测与评价、环境保护措施及其经济与技术论证、环境风险评价、清洁生产/循环经济分析与污染物排放总量控制、环境影响经济损益分析、环境管理与监测、公众参与、项目产业政策/规划符合性及选址合理性分析、环境影响评价结论 </w:t>
      </w:r>
      <w:r>
        <w:fldChar w:fldCharType="begin"/>
      </w:r>
      <w:r>
        <w:instrText xml:space="preserve"> HYPERLINK "http://amr.sz.gov.cn/attachment/1/1195/1195395/9772235.pdf" \h </w:instrText>
      </w:r>
      <w:r>
        <w:fldChar w:fldCharType="separate"/>
      </w:r>
      <w:r>
        <w:rPr>
          <w:rStyle w:val="24"/>
        </w:rPr>
        <w:t>(深圳市市场监督管理局网站)</w:t>
      </w:r>
      <w:r>
        <w:rPr>
          <w:rStyle w:val="24"/>
        </w:rPr>
        <w:fldChar w:fldCharType="end"/>
      </w:r>
      <w:r>
        <w:t xml:space="preserve"> 。</w:t>
      </w:r>
    </w:p>
    <w:p w14:paraId="38930E1B">
      <w:pPr>
        <w:pStyle w:val="3"/>
      </w:pPr>
      <w:r>
        <w:rPr>
          <w:b/>
          <w:bCs/>
        </w:rPr>
        <w:t>附图附件完整性、清晰性检测</w:t>
      </w:r>
      <w:r>
        <w:t>。系统应建立附图附件清单模板，自动核对报告书是否包含必需的图件和附件。标准附图包括：地理位置图、区域位置图、厂区总平面布置图、车间设备布置图、生产工艺流程图、物料平衡图、水平衡图、环境监测布点图、环境保护目标分布图、大气环境影响预测结果图、污水处理工艺流程图、废气处理工艺流程图、分区防渗图等。系统通过OCR技术和图像识别技术，自动提取报告书中的图件，识别图件类型和内容，评估图件的清晰度和规范性。</w:t>
      </w:r>
    </w:p>
    <w:p w14:paraId="06046419">
      <w:pPr>
        <w:pStyle w:val="3"/>
      </w:pPr>
      <w:r>
        <w:rPr>
          <w:b/>
          <w:bCs/>
        </w:rPr>
        <w:t>计量单位、符号、术语规范性检测</w:t>
      </w:r>
      <w:r>
        <w:t>。系统应建立环保领域标准计量单位库、符号库、术语库，自动识别和纠正非标准用法。例如，浓度单位应统一使用mg/m³、mg/L等法定计量单位，避免混用ppm、ppb等非标准单位；噪声级单位应规范使用dB(A)；专业术语应采用国家标准或行业标准中的规范表述。</w:t>
      </w:r>
    </w:p>
    <w:p w14:paraId="0C2DE5CB">
      <w:pPr>
        <w:pStyle w:val="3"/>
      </w:pPr>
      <w:r>
        <w:rPr>
          <w:b/>
          <w:bCs/>
        </w:rPr>
        <w:t>页码、目录、图表编号连续性检测</w:t>
      </w:r>
      <w:r>
        <w:t>。系统应自动识别报告书的页码编排、目录结构、图表编号，分析各元素之间的逻辑关系，识别页码不连续、目录与正文页码不对应、图表编号跳号或重号等问题。</w:t>
      </w:r>
    </w:p>
    <w:bookmarkEnd w:id="16"/>
    <w:bookmarkEnd w:id="19"/>
    <w:p w14:paraId="225A6302">
      <w:pPr>
        <w:pStyle w:val="5"/>
      </w:pPr>
      <w:bookmarkStart w:id="20" w:name="内容完整性审核"/>
      <w:r>
        <w:t>2.2 内容完整性审核</w:t>
      </w:r>
    </w:p>
    <w:p w14:paraId="03123FD0">
      <w:pPr>
        <w:pStyle w:val="6"/>
      </w:pPr>
      <w:bookmarkStart w:id="21" w:name="前言部分"/>
      <w:r>
        <w:t>2.2.1 前言部分</w:t>
      </w:r>
    </w:p>
    <w:p w14:paraId="1EED7CBC">
      <w:pPr>
        <w:pStyle w:val="27"/>
      </w:pPr>
      <w:r>
        <w:t>前言部分是环评报告书的统领性章节，其内容完整性直接影响报告书的整体质量。智能审核系统需要建立前言章节关键要素检查清单，通过自然语言处理技术识别各要素的覆盖情况：</w:t>
      </w:r>
    </w:p>
    <w:p w14:paraId="389E5AEE">
      <w:pPr>
        <w:pStyle w:val="3"/>
      </w:pPr>
      <w:r>
        <w:rPr>
          <w:b/>
          <w:bCs/>
        </w:rPr>
        <w:t>项目建设必要性论证审核</w:t>
      </w:r>
      <w:r>
        <w:t>。系统应识别报告书中是否从产业政策、行业规划、市场需求、企业发展等角度论证了项目建设的必要性，论证是否充分、逻辑是否清晰。对于涉及产能置换、能耗替代的项目，系统需审核其置换或替代方案的落实情况。</w:t>
      </w:r>
    </w:p>
    <w:p w14:paraId="07C5F476">
      <w:pPr>
        <w:pStyle w:val="3"/>
      </w:pPr>
      <w:r>
        <w:rPr>
          <w:b/>
          <w:bCs/>
        </w:rPr>
        <w:t>编制依据完整性审核</w:t>
      </w:r>
      <w:r>
        <w:t>。系统应审核报告书列出的编制依据是否涵盖了国家法律法规、部门规章、地方性法规、标准规范、技术文件、相关规划等各类文件，所列依据是否为现行有效版本。系统应建立编制依据数据库，自动识别报告书引用的依据文件，核对其完整性、时效性和适用性。对于引用已废止或即将废止的标准规范，系统应给出预警提示。</w:t>
      </w:r>
    </w:p>
    <w:p w14:paraId="1D8FA64A">
      <w:pPr>
        <w:pStyle w:val="3"/>
      </w:pPr>
      <w:r>
        <w:rPr>
          <w:b/>
          <w:bCs/>
        </w:rPr>
        <w:t>评价工作过程描述审核</w:t>
      </w:r>
      <w:r>
        <w:t>。系统应审核报告书是否说明了评价工作的组织方式、现场踏勘情况、资料收集情况、环境监测情况、公众参与情况、专家评审情况等，反映环评工作的全过程，证明评价结论的可靠性。</w:t>
      </w:r>
    </w:p>
    <w:bookmarkEnd w:id="21"/>
    <w:p w14:paraId="28EBA348">
      <w:pPr>
        <w:pStyle w:val="6"/>
      </w:pPr>
      <w:bookmarkStart w:id="22" w:name="工程分析"/>
      <w:r>
        <w:t>2.2.2 工程分析</w:t>
      </w:r>
    </w:p>
    <w:p w14:paraId="5F2071E6">
      <w:pPr>
        <w:pStyle w:val="27"/>
      </w:pPr>
      <w:r>
        <w:t>工程分析是环评报告书的技术核心，其深度和准确性直接决定环境影响预测与评价的可靠性。智能审核系统需要建立工程分析深度评估模型，实现以下审核功能：</w:t>
      </w:r>
    </w:p>
    <w:tbl>
      <w:tblPr>
        <w:tblStyle w:val="45"/>
        <w:tblW w:w="5000" w:type="pct"/>
        <w:tblInd w:w="0" w:type="dxa"/>
        <w:tblLayout w:type="fixed"/>
        <w:tblCellMar>
          <w:top w:w="0" w:type="dxa"/>
          <w:left w:w="108" w:type="dxa"/>
          <w:bottom w:w="0" w:type="dxa"/>
          <w:right w:w="108" w:type="dxa"/>
        </w:tblCellMar>
      </w:tblPr>
      <w:tblGrid>
        <w:gridCol w:w="2344"/>
        <w:gridCol w:w="2865"/>
        <w:gridCol w:w="3647"/>
      </w:tblGrid>
      <w:tr w14:paraId="5C264A16">
        <w:tblPrEx>
          <w:tblCellMar>
            <w:top w:w="0" w:type="dxa"/>
            <w:left w:w="108" w:type="dxa"/>
            <w:bottom w:w="0" w:type="dxa"/>
            <w:right w:w="108" w:type="dxa"/>
          </w:tblCellMar>
        </w:tblPrEx>
        <w:trPr>
          <w:tblHeader/>
        </w:trPr>
        <w:tc>
          <w:p w14:paraId="7C06CAA3">
            <w:pPr>
              <w:pStyle w:val="28"/>
              <w:jc w:val="left"/>
            </w:pPr>
            <w:r>
              <w:t>审核维度</w:t>
            </w:r>
          </w:p>
        </w:tc>
        <w:tc>
          <w:p w14:paraId="68481244">
            <w:pPr>
              <w:pStyle w:val="28"/>
              <w:jc w:val="left"/>
            </w:pPr>
            <w:r>
              <w:t>核心审核内容</w:t>
            </w:r>
          </w:p>
        </w:tc>
        <w:tc>
          <w:p w14:paraId="6622A53A">
            <w:pPr>
              <w:pStyle w:val="28"/>
              <w:jc w:val="left"/>
            </w:pPr>
            <w:r>
              <w:t>智能审核技术方法</w:t>
            </w:r>
          </w:p>
        </w:tc>
      </w:tr>
      <w:tr w14:paraId="6CAA9D0E">
        <w:tblPrEx>
          <w:tblCellMar>
            <w:top w:w="0" w:type="dxa"/>
            <w:left w:w="108" w:type="dxa"/>
            <w:bottom w:w="0" w:type="dxa"/>
            <w:right w:w="108" w:type="dxa"/>
          </w:tblCellMar>
        </w:tblPrEx>
        <w:tc>
          <w:p w14:paraId="4ED87435">
            <w:pPr>
              <w:pStyle w:val="28"/>
              <w:jc w:val="left"/>
            </w:pPr>
            <w:r>
              <w:rPr>
                <w:b/>
                <w:bCs/>
              </w:rPr>
              <w:t>项目基本情况</w:t>
            </w:r>
          </w:p>
        </w:tc>
        <w:tc>
          <w:p w14:paraId="6B75B60B">
            <w:pPr>
              <w:pStyle w:val="28"/>
              <w:jc w:val="left"/>
            </w:pPr>
            <w:r>
              <w:t>名称、地点、性质、规模、行业类别、投资、环保投资、定员、工作制度</w:t>
            </w:r>
          </w:p>
        </w:tc>
        <w:tc>
          <w:p w14:paraId="76C38DC6">
            <w:pPr>
              <w:pStyle w:val="28"/>
              <w:jc w:val="left"/>
            </w:pPr>
            <w:r>
              <w:t>信息提取与完整性校验</w:t>
            </w:r>
          </w:p>
        </w:tc>
      </w:tr>
      <w:tr w14:paraId="33E51F30">
        <w:tblPrEx>
          <w:tblCellMar>
            <w:top w:w="0" w:type="dxa"/>
            <w:left w:w="108" w:type="dxa"/>
            <w:bottom w:w="0" w:type="dxa"/>
            <w:right w:w="108" w:type="dxa"/>
          </w:tblCellMar>
        </w:tblPrEx>
        <w:tc>
          <w:p w14:paraId="23160E65">
            <w:pPr>
              <w:pStyle w:val="28"/>
              <w:jc w:val="left"/>
            </w:pPr>
            <w:r>
              <w:rPr>
                <w:b/>
                <w:bCs/>
              </w:rPr>
              <w:t>建设内容完整性</w:t>
            </w:r>
          </w:p>
        </w:tc>
        <w:tc>
          <w:p w14:paraId="1A8FEF0D">
            <w:pPr>
              <w:pStyle w:val="28"/>
              <w:jc w:val="left"/>
            </w:pPr>
            <w:r>
              <w:t>主体工程、辅助工程、公用工程、环保工程、储运工程、依托工程</w:t>
            </w:r>
          </w:p>
        </w:tc>
        <w:tc>
          <w:p w14:paraId="6E8B5C84">
            <w:pPr>
              <w:pStyle w:val="28"/>
              <w:jc w:val="left"/>
            </w:pPr>
            <w:r>
              <w:t>工程组成模板匹配</w:t>
            </w:r>
          </w:p>
        </w:tc>
      </w:tr>
      <w:tr w14:paraId="7DB91161">
        <w:tblPrEx>
          <w:tblCellMar>
            <w:top w:w="0" w:type="dxa"/>
            <w:left w:w="108" w:type="dxa"/>
            <w:bottom w:w="0" w:type="dxa"/>
            <w:right w:w="108" w:type="dxa"/>
          </w:tblCellMar>
        </w:tblPrEx>
        <w:tc>
          <w:p w14:paraId="04FE80CE">
            <w:pPr>
              <w:pStyle w:val="28"/>
              <w:jc w:val="left"/>
            </w:pPr>
            <w:r>
              <w:rPr>
                <w:b/>
                <w:bCs/>
              </w:rPr>
              <w:t>总平面布置合理性</w:t>
            </w:r>
          </w:p>
        </w:tc>
        <w:tc>
          <w:p w14:paraId="17FB6F05">
            <w:pPr>
              <w:pStyle w:val="28"/>
              <w:jc w:val="left"/>
            </w:pPr>
            <w:r>
              <w:t>功能分区、物流走向、环境防护距离、风险设施布局</w:t>
            </w:r>
          </w:p>
        </w:tc>
        <w:tc>
          <w:p w14:paraId="11236B86">
            <w:pPr>
              <w:pStyle w:val="28"/>
              <w:jc w:val="left"/>
            </w:pPr>
            <w:r>
              <w:t>GIS空间分析辅助</w:t>
            </w:r>
          </w:p>
        </w:tc>
      </w:tr>
      <w:tr w14:paraId="5A51A895">
        <w:tblPrEx>
          <w:tblCellMar>
            <w:top w:w="0" w:type="dxa"/>
            <w:left w:w="108" w:type="dxa"/>
            <w:bottom w:w="0" w:type="dxa"/>
            <w:right w:w="108" w:type="dxa"/>
          </w:tblCellMar>
        </w:tblPrEx>
        <w:tc>
          <w:p w14:paraId="51D8579F">
            <w:pPr>
              <w:pStyle w:val="28"/>
              <w:jc w:val="left"/>
            </w:pPr>
            <w:r>
              <w:rPr>
                <w:b/>
                <w:bCs/>
              </w:rPr>
              <w:t>原辅材料与能源消耗</w:t>
            </w:r>
          </w:p>
        </w:tc>
        <w:tc>
          <w:p w14:paraId="2AD6A9F5">
            <w:pPr>
              <w:pStyle w:val="28"/>
              <w:jc w:val="left"/>
            </w:pPr>
            <w:r>
              <w:t>名称、规格、用量、来源、储运方式、理化性质、毒理特征</w:t>
            </w:r>
          </w:p>
        </w:tc>
        <w:tc>
          <w:p w14:paraId="0EA8992D">
            <w:pPr>
              <w:pStyle w:val="28"/>
              <w:jc w:val="left"/>
            </w:pPr>
            <w:r>
              <w:t>危险化学品自动识别</w:t>
            </w:r>
          </w:p>
        </w:tc>
      </w:tr>
      <w:tr w14:paraId="6B19DDD4">
        <w:tblPrEx>
          <w:tblCellMar>
            <w:top w:w="0" w:type="dxa"/>
            <w:left w:w="108" w:type="dxa"/>
            <w:bottom w:w="0" w:type="dxa"/>
            <w:right w:w="108" w:type="dxa"/>
          </w:tblCellMar>
        </w:tblPrEx>
        <w:tc>
          <w:p w14:paraId="6EBD71DF">
            <w:pPr>
              <w:pStyle w:val="28"/>
              <w:jc w:val="left"/>
            </w:pPr>
            <w:r>
              <w:rPr>
                <w:b/>
                <w:bCs/>
              </w:rPr>
              <w:t>生产工艺流程及产污环节</w:t>
            </w:r>
          </w:p>
        </w:tc>
        <w:tc>
          <w:p w14:paraId="642EA84F">
            <w:pPr>
              <w:pStyle w:val="28"/>
              <w:jc w:val="left"/>
            </w:pPr>
            <w:r>
              <w:t>流程描述、产污节点识别、污染物种类、产生量、排放方式</w:t>
            </w:r>
          </w:p>
        </w:tc>
        <w:tc>
          <w:p w14:paraId="5C633BD6">
            <w:pPr>
              <w:pStyle w:val="28"/>
              <w:jc w:val="left"/>
            </w:pPr>
            <w:r>
              <w:t>工艺流程图解析</w:t>
            </w:r>
          </w:p>
        </w:tc>
      </w:tr>
      <w:tr w14:paraId="633F8DCD">
        <w:tblPrEx>
          <w:tblCellMar>
            <w:top w:w="0" w:type="dxa"/>
            <w:left w:w="108" w:type="dxa"/>
            <w:bottom w:w="0" w:type="dxa"/>
            <w:right w:w="108" w:type="dxa"/>
          </w:tblCellMar>
        </w:tblPrEx>
        <w:tc>
          <w:p w14:paraId="169B7FD8">
            <w:pPr>
              <w:pStyle w:val="28"/>
              <w:jc w:val="left"/>
            </w:pPr>
            <w:r>
              <w:rPr>
                <w:b/>
                <w:bCs/>
              </w:rPr>
              <w:t>物料平衡与水平衡</w:t>
            </w:r>
          </w:p>
        </w:tc>
        <w:tc>
          <w:p w14:paraId="4BD626DF">
            <w:pPr>
              <w:pStyle w:val="28"/>
              <w:jc w:val="left"/>
            </w:pPr>
            <w:r>
              <w:t>投入产出平衡、特征物质单项平衡、水资源利用效率</w:t>
            </w:r>
          </w:p>
        </w:tc>
        <w:tc>
          <w:p w14:paraId="2B08D54C">
            <w:pPr>
              <w:pStyle w:val="28"/>
              <w:jc w:val="left"/>
            </w:pPr>
            <w:r>
              <w:t>质量守恒自动验算</w:t>
            </w:r>
          </w:p>
        </w:tc>
      </w:tr>
      <w:tr w14:paraId="7C402C00">
        <w:tblPrEx>
          <w:tblCellMar>
            <w:top w:w="0" w:type="dxa"/>
            <w:left w:w="108" w:type="dxa"/>
            <w:bottom w:w="0" w:type="dxa"/>
            <w:right w:w="108" w:type="dxa"/>
          </w:tblCellMar>
        </w:tblPrEx>
        <w:tc>
          <w:p w14:paraId="791AFF28">
            <w:pPr>
              <w:pStyle w:val="28"/>
              <w:jc w:val="left"/>
            </w:pPr>
            <w:r>
              <w:rPr>
                <w:b/>
                <w:bCs/>
              </w:rPr>
              <w:t>施工期与运营期污染源</w:t>
            </w:r>
          </w:p>
        </w:tc>
        <w:tc>
          <w:p w14:paraId="37FB1D73">
            <w:pPr>
              <w:pStyle w:val="28"/>
              <w:jc w:val="left"/>
            </w:pPr>
            <w:r>
              <w:t>分期、分要素污染源分析，源强核算方法合理性</w:t>
            </w:r>
          </w:p>
        </w:tc>
        <w:tc>
          <w:p w14:paraId="314163A8">
            <w:pPr>
              <w:pStyle w:val="28"/>
              <w:jc w:val="left"/>
            </w:pPr>
            <w:r>
              <w:t>分期污染源清单模板</w:t>
            </w:r>
          </w:p>
        </w:tc>
      </w:tr>
      <w:tr w14:paraId="19121F71">
        <w:tblPrEx>
          <w:tblCellMar>
            <w:top w:w="0" w:type="dxa"/>
            <w:left w:w="108" w:type="dxa"/>
            <w:bottom w:w="0" w:type="dxa"/>
            <w:right w:w="108" w:type="dxa"/>
          </w:tblCellMar>
        </w:tblPrEx>
        <w:tc>
          <w:p w14:paraId="2498A021">
            <w:pPr>
              <w:pStyle w:val="28"/>
              <w:jc w:val="left"/>
            </w:pPr>
            <w:r>
              <w:rPr>
                <w:b/>
                <w:bCs/>
              </w:rPr>
              <w:t>非正常工况与事故排放</w:t>
            </w:r>
          </w:p>
        </w:tc>
        <w:tc>
          <w:p w14:paraId="59AEE76B">
            <w:pPr>
              <w:pStyle w:val="28"/>
              <w:jc w:val="left"/>
            </w:pPr>
            <w:r>
              <w:t>开停车、检修、故障、事故情景识别，源强估算</w:t>
            </w:r>
          </w:p>
        </w:tc>
        <w:tc>
          <w:p w14:paraId="02A5BEA8">
            <w:pPr>
              <w:pStyle w:val="28"/>
              <w:jc w:val="left"/>
            </w:pPr>
            <w:r>
              <w:t>风险情景库匹配</w:t>
            </w:r>
          </w:p>
        </w:tc>
      </w:tr>
    </w:tbl>
    <w:p w14:paraId="4029B847">
      <w:pPr>
        <w:pStyle w:val="3"/>
      </w:pPr>
      <w:r>
        <w:rPr>
          <w:b/>
          <w:bCs/>
        </w:rPr>
        <w:t>生产工艺流程及产污环节分析</w:t>
      </w:r>
      <w:r>
        <w:t>是工程分析的技术难点。系统应审核工艺流程描述是否清晰，是否绘制了带产污环节的工艺流程图，各生产工序的原理、条件、设备、产污环节是否明确。对于化工项目，系统需重点审核主、副化学反应式的完整性，以及产污节点识别的全面性。系统应建立产污环节与工艺流程的对应关系验证机制，识别是否存在产污环节遗漏或对应关系错误。</w:t>
      </w:r>
    </w:p>
    <w:p w14:paraId="4A90ABEF">
      <w:pPr>
        <w:pStyle w:val="3"/>
      </w:pPr>
      <w:r>
        <w:rPr>
          <w:b/>
          <w:bCs/>
        </w:rPr>
        <w:t>物料平衡与水平衡</w:t>
      </w:r>
      <w:r>
        <w:t>是验证污染源强核算准确性的重要手段。系统应审核是否绘制了物料平衡图和水平衡图，投入与产出是否平衡，水资源利用效率是否合理。对于有毒有害化学品、重金属等特征物质，系统需审核其单项平衡分析的完整性。系统应建立质量守恒核算模型，自动判断报告书中的平衡数据是否闭合，是否存在异常偏差。</w:t>
      </w:r>
    </w:p>
    <w:bookmarkEnd w:id="22"/>
    <w:p w14:paraId="0FAE2979">
      <w:pPr>
        <w:pStyle w:val="6"/>
      </w:pPr>
      <w:bookmarkStart w:id="23" w:name="环境现状调查与评价"/>
      <w:r>
        <w:t>2.2.3 环境现状调查与评价</w:t>
      </w:r>
    </w:p>
    <w:p w14:paraId="672DAF7A">
      <w:pPr>
        <w:pStyle w:val="27"/>
      </w:pPr>
      <w:r>
        <w:t>环境现状调查与评价是判断项目建设环境可行性的基准依据。智能审核系统需要实现以下审核功能：</w:t>
      </w:r>
    </w:p>
    <w:p w14:paraId="36F1C3B5">
      <w:pPr>
        <w:pStyle w:val="3"/>
      </w:pPr>
      <w:r>
        <w:rPr>
          <w:b/>
          <w:bCs/>
        </w:rPr>
        <w:t>自然环境概况审核</w:t>
      </w:r>
      <w:r>
        <w:t>。系统应审核地理位置、地形地貌、气候气象、水文地质、土壤植被等基础资料的完整性和准确性，特别关注是否与项目选址和污染物排放途径密切相关的内容。</w:t>
      </w:r>
    </w:p>
    <w:p w14:paraId="7062A5E8">
      <w:pPr>
        <w:pStyle w:val="3"/>
      </w:pPr>
      <w:r>
        <w:rPr>
          <w:b/>
          <w:bCs/>
        </w:rPr>
        <w:t>环境质量现状监测审核</w:t>
      </w:r>
      <w:r>
        <w:t>。系统应建立”五性”检查框架：</w:t>
      </w:r>
      <w:r>
        <w:rPr>
          <w:b/>
          <w:bCs/>
        </w:rPr>
        <w:t>监测因子的针对性</w:t>
      </w:r>
      <w:r>
        <w:t>（是否涵盖项目特征污染物和区域超标因子）、</w:t>
      </w:r>
      <w:r>
        <w:rPr>
          <w:b/>
          <w:bCs/>
        </w:rPr>
        <w:t>监测布点的代表性</w:t>
      </w:r>
      <w:r>
        <w:t>（是否覆盖评价范围和环境敏感区）、</w:t>
      </w:r>
      <w:r>
        <w:rPr>
          <w:b/>
          <w:bCs/>
        </w:rPr>
        <w:t>监测频次的充分性</w:t>
      </w:r>
      <w:r>
        <w:t>（是否满足评价时段要求）、</w:t>
      </w:r>
      <w:r>
        <w:rPr>
          <w:b/>
          <w:bCs/>
        </w:rPr>
        <w:t>监测方法的规范性</w:t>
      </w:r>
      <w:r>
        <w:t>（是否采用国家标准方法）、</w:t>
      </w:r>
      <w:r>
        <w:rPr>
          <w:b/>
          <w:bCs/>
        </w:rPr>
        <w:t>监测数据的有效性</w:t>
      </w:r>
      <w:r>
        <w:t xml:space="preserve">（是否在三年有效期内） </w:t>
      </w:r>
      <w:r>
        <w:fldChar w:fldCharType="begin"/>
      </w:r>
      <w:r>
        <w:instrText xml:space="preserve"> HYPERLINK "https://www.mee.gov.cn/ywgz/fgbz/bz/bzwb/other/pjjsdz/201810/W020190410547545735168.pdf" \h </w:instrText>
      </w:r>
      <w:r>
        <w:fldChar w:fldCharType="separate"/>
      </w:r>
      <w:r>
        <w:rPr>
          <w:rStyle w:val="24"/>
        </w:rPr>
        <w:t>(中华人民共和国生态环境部)</w:t>
      </w:r>
      <w:r>
        <w:rPr>
          <w:rStyle w:val="24"/>
        </w:rPr>
        <w:fldChar w:fldCharType="end"/>
      </w:r>
      <w:r>
        <w:t xml:space="preserve"> 。系统应对接环境监测数据共享平台，实现监测数据的自动核验和异常值识别。</w:t>
      </w:r>
    </w:p>
    <w:p w14:paraId="710EB07B">
      <w:pPr>
        <w:pStyle w:val="3"/>
      </w:pPr>
      <w:r>
        <w:rPr>
          <w:b/>
          <w:bCs/>
        </w:rPr>
        <w:t>监测数据时效性与有效性审核</w:t>
      </w:r>
      <w:r>
        <w:t>。系统应自动识别监测数据的出具日期，判断是否超过有效期。对于引用现有监测资料的，系统应审核资料来源的可靠性、监测时间和监测点位置的注明情况、数据时效性和有效性的分析说明。对于超标因子，系统应审核是否开展了补充监测。</w:t>
      </w:r>
    </w:p>
    <w:p w14:paraId="54689420">
      <w:pPr>
        <w:pStyle w:val="3"/>
      </w:pPr>
      <w:r>
        <w:rPr>
          <w:b/>
          <w:bCs/>
        </w:rPr>
        <w:t>环境保护目标识别审核</w:t>
      </w:r>
      <w:r>
        <w:t>。系统应通过GIS技术辅助识别评价范围内的环境敏感目标，包括居民区、学校、医院、自然保护区、风景名胜区、饮用水水源保护区等，审核报告书识别的敏感目标是否全面，敏感目标的方位、距离、人口规模、保护级别等信息是否准确，相关图件是否清晰标注。系统应建立深圳市环境敏感目标数据库，实现敏感目标的自动识别和距离量算。</w:t>
      </w:r>
    </w:p>
    <w:bookmarkEnd w:id="23"/>
    <w:p w14:paraId="0078A63D">
      <w:pPr>
        <w:pStyle w:val="6"/>
      </w:pPr>
      <w:bookmarkStart w:id="24" w:name="环境影响预测与评价"/>
      <w:r>
        <w:t>2.2.4 环境影响预测与评价</w:t>
      </w:r>
    </w:p>
    <w:p w14:paraId="4E3193FF">
      <w:pPr>
        <w:pStyle w:val="27"/>
      </w:pPr>
      <w:r>
        <w:t>环境影响预测与评价是环评报告书的技术核心。智能审核系统需要建立预测评价合规性检查框架：</w:t>
      </w:r>
    </w:p>
    <w:p w14:paraId="50B0B576">
      <w:pPr>
        <w:pStyle w:val="3"/>
      </w:pPr>
      <w:r>
        <w:rPr>
          <w:b/>
          <w:bCs/>
        </w:rPr>
        <w:t>预测因子与评价指标审核</w:t>
      </w:r>
      <w:r>
        <w:t xml:space="preserve">。系统应审核预测因子的选择是否根据建设项目特点、环境影响特征、区域环境功能要求、环境保护目标、评价标准和环境制约因素合理筛选，是否涵盖了项目排放的主要污染物和特征污染物 </w:t>
      </w:r>
      <w:r>
        <w:fldChar w:fldCharType="begin"/>
      </w:r>
      <w:r>
        <w:instrText xml:space="preserve"> HYPERLINK "https://www.mee.gov.cn/ywgz/fgbz/bz/bzwb/other/pjjsdz/201612/W020161214348664955109.pdf" \h </w:instrText>
      </w:r>
      <w:r>
        <w:fldChar w:fldCharType="separate"/>
      </w:r>
      <w:r>
        <w:rPr>
          <w:rStyle w:val="24"/>
        </w:rPr>
        <w:t>(中华人民共和国生态环境部)</w:t>
      </w:r>
      <w:r>
        <w:rPr>
          <w:rStyle w:val="24"/>
        </w:rPr>
        <w:fldChar w:fldCharType="end"/>
      </w:r>
      <w:r>
        <w:t xml:space="preserve"> 。</w:t>
      </w:r>
    </w:p>
    <w:p w14:paraId="08357DD4">
      <w:pPr>
        <w:pStyle w:val="3"/>
      </w:pPr>
      <w:r>
        <w:rPr>
          <w:b/>
          <w:bCs/>
        </w:rPr>
        <w:t>预测模型与方法选择审核</w:t>
      </w:r>
      <w:r>
        <w:t>。系统应建立预测模型适用性判断规则库，依据HJ 2.2、HJ 2.3、HJ 2.4、HJ 610、HJ 19等导则的要求，自动判断报告书选用的预测模型是否与评价等级、项目特征、环境条件相匹配。对于采用非规定方法的，系统应审核其是否分析了适用性。</w:t>
      </w:r>
    </w:p>
    <w:p w14:paraId="623FE87F">
      <w:pPr>
        <w:pStyle w:val="3"/>
      </w:pPr>
      <w:r>
        <w:rPr>
          <w:b/>
          <w:bCs/>
        </w:rPr>
        <w:t>预测参数与边界条件审核</w:t>
      </w:r>
      <w:r>
        <w:t>。系统应审核预测所使用的气象数据、水文数据、地形数据等基础数据的来源和可靠性，边界条件的设置是否合理。对于采用数值模型的，系统应审核网格设置、初始条件、边界条件等参数的设置依据。</w:t>
      </w:r>
    </w:p>
    <w:p w14:paraId="6E2E45DC">
      <w:pPr>
        <w:pStyle w:val="3"/>
      </w:pPr>
      <w:r>
        <w:rPr>
          <w:b/>
          <w:bCs/>
        </w:rPr>
        <w:t>预测结果表达与评价结论审核</w:t>
      </w:r>
      <w:r>
        <w:t>。系统应审核预测结果的呈现方式是否规范，是否包含了关心点浓度、最大落地浓度、超标范围、超标时长等关键信息，评价结论是否基于预测结果得出且逻辑严密。对于出现超标情形的项目，系统应审核其是否提出了区域削减方案或环境保护措施优化建议。</w:t>
      </w:r>
    </w:p>
    <w:bookmarkEnd w:id="24"/>
    <w:p w14:paraId="3BC4F987">
      <w:pPr>
        <w:pStyle w:val="6"/>
      </w:pPr>
      <w:bookmarkStart w:id="25" w:name="环境保护措施及其可行性论证"/>
      <w:r>
        <w:t>2.2.5 环境保护措施及其可行性论证</w:t>
      </w:r>
    </w:p>
    <w:p w14:paraId="3FE1F134">
      <w:pPr>
        <w:pStyle w:val="27"/>
      </w:pPr>
      <w:r>
        <w:t>环境保护措施及其可行性论证是环评报告书的落脚点。智能审核系统需要建立措施可行性论证的审核要点库：</w:t>
      </w:r>
    </w:p>
    <w:tbl>
      <w:tblPr>
        <w:tblStyle w:val="45"/>
        <w:tblW w:w="5000" w:type="pct"/>
        <w:tblInd w:w="0" w:type="dxa"/>
        <w:tblLayout w:type="fixed"/>
        <w:tblCellMar>
          <w:top w:w="0" w:type="dxa"/>
          <w:left w:w="108" w:type="dxa"/>
          <w:bottom w:w="0" w:type="dxa"/>
          <w:right w:w="108" w:type="dxa"/>
        </w:tblCellMar>
      </w:tblPr>
      <w:tblGrid>
        <w:gridCol w:w="2748"/>
        <w:gridCol w:w="2748"/>
        <w:gridCol w:w="3360"/>
      </w:tblGrid>
      <w:tr w14:paraId="2C5A9A76">
        <w:tblPrEx>
          <w:tblCellMar>
            <w:top w:w="0" w:type="dxa"/>
            <w:left w:w="108" w:type="dxa"/>
            <w:bottom w:w="0" w:type="dxa"/>
            <w:right w:w="108" w:type="dxa"/>
          </w:tblCellMar>
        </w:tblPrEx>
        <w:trPr>
          <w:tblHeader/>
        </w:trPr>
        <w:tc>
          <w:p w14:paraId="7619965E">
            <w:pPr>
              <w:pStyle w:val="28"/>
              <w:jc w:val="left"/>
            </w:pPr>
            <w:r>
              <w:t>环境要素</w:t>
            </w:r>
          </w:p>
        </w:tc>
        <w:tc>
          <w:p w14:paraId="3E318CDF">
            <w:pPr>
              <w:pStyle w:val="28"/>
              <w:jc w:val="left"/>
            </w:pPr>
            <w:r>
              <w:t>审核要点</w:t>
            </w:r>
          </w:p>
        </w:tc>
        <w:tc>
          <w:p w14:paraId="25090249">
            <w:pPr>
              <w:pStyle w:val="28"/>
              <w:jc w:val="left"/>
            </w:pPr>
            <w:r>
              <w:t>关键技术参数</w:t>
            </w:r>
          </w:p>
        </w:tc>
      </w:tr>
      <w:tr w14:paraId="510A55A6">
        <w:tblPrEx>
          <w:tblCellMar>
            <w:top w:w="0" w:type="dxa"/>
            <w:left w:w="108" w:type="dxa"/>
            <w:bottom w:w="0" w:type="dxa"/>
            <w:right w:w="108" w:type="dxa"/>
          </w:tblCellMar>
        </w:tblPrEx>
        <w:tc>
          <w:p w14:paraId="06347A67">
            <w:pPr>
              <w:pStyle w:val="28"/>
              <w:jc w:val="left"/>
            </w:pPr>
            <w:r>
              <w:rPr>
                <w:b/>
                <w:bCs/>
              </w:rPr>
              <w:t>废气治理</w:t>
            </w:r>
          </w:p>
        </w:tc>
        <w:tc>
          <w:p w14:paraId="4532B481">
            <w:pPr>
              <w:pStyle w:val="28"/>
              <w:jc w:val="left"/>
            </w:pPr>
            <w:r>
              <w:t>收集系统完备性、处理工艺适用性、去除效率达标性、排气筒合理性</w:t>
            </w:r>
          </w:p>
        </w:tc>
        <w:tc>
          <w:p w14:paraId="58C75A74">
            <w:pPr>
              <w:pStyle w:val="28"/>
              <w:jc w:val="left"/>
            </w:pPr>
            <w:r>
              <w:t>收集效率≥90%，去除效率≥90%（VOCs燃烧法≥95%）</w:t>
            </w:r>
          </w:p>
        </w:tc>
      </w:tr>
      <w:tr w14:paraId="75AF5076">
        <w:tblPrEx>
          <w:tblCellMar>
            <w:top w:w="0" w:type="dxa"/>
            <w:left w:w="108" w:type="dxa"/>
            <w:bottom w:w="0" w:type="dxa"/>
            <w:right w:w="108" w:type="dxa"/>
          </w:tblCellMar>
        </w:tblPrEx>
        <w:tc>
          <w:p w14:paraId="30F1A5A0">
            <w:pPr>
              <w:pStyle w:val="28"/>
              <w:jc w:val="left"/>
            </w:pPr>
            <w:r>
              <w:rPr>
                <w:b/>
                <w:bCs/>
              </w:rPr>
              <w:t>废水治理</w:t>
            </w:r>
          </w:p>
        </w:tc>
        <w:tc>
          <w:p w14:paraId="5B718BDA">
            <w:pPr>
              <w:pStyle w:val="28"/>
              <w:jc w:val="left"/>
            </w:pPr>
            <w:r>
              <w:t>分类收集、分质处理、达标排放、纳管可行性、回用途径</w:t>
            </w:r>
          </w:p>
        </w:tc>
        <w:tc>
          <w:p w14:paraId="1ECE2646">
            <w:pPr>
              <w:pStyle w:val="28"/>
              <w:jc w:val="left"/>
            </w:pPr>
            <w:r>
              <w:t>处理效率、纳管标准、污水处理厂剩余容量</w:t>
            </w:r>
          </w:p>
        </w:tc>
      </w:tr>
      <w:tr w14:paraId="4B9FF1AB">
        <w:tblPrEx>
          <w:tblCellMar>
            <w:top w:w="0" w:type="dxa"/>
            <w:left w:w="108" w:type="dxa"/>
            <w:bottom w:w="0" w:type="dxa"/>
            <w:right w:w="108" w:type="dxa"/>
          </w:tblCellMar>
        </w:tblPrEx>
        <w:tc>
          <w:p w14:paraId="478CFFCC">
            <w:pPr>
              <w:pStyle w:val="28"/>
              <w:jc w:val="left"/>
            </w:pPr>
            <w:r>
              <w:rPr>
                <w:b/>
                <w:bCs/>
              </w:rPr>
              <w:t>噪声控制</w:t>
            </w:r>
          </w:p>
        </w:tc>
        <w:tc>
          <w:p w14:paraId="33E7DFE1">
            <w:pPr>
              <w:pStyle w:val="28"/>
              <w:jc w:val="left"/>
            </w:pPr>
            <w:r>
              <w:t>源头控制、传播途径控制、敏感点防护三级体系</w:t>
            </w:r>
          </w:p>
        </w:tc>
        <w:tc>
          <w:p w14:paraId="21BBCFAD">
            <w:pPr>
              <w:pStyle w:val="28"/>
              <w:jc w:val="left"/>
            </w:pPr>
            <w:r>
              <w:t>降噪量预测、厂界达标预判</w:t>
            </w:r>
          </w:p>
        </w:tc>
      </w:tr>
      <w:tr w14:paraId="19346068">
        <w:tblPrEx>
          <w:tblCellMar>
            <w:top w:w="0" w:type="dxa"/>
            <w:left w:w="108" w:type="dxa"/>
            <w:bottom w:w="0" w:type="dxa"/>
            <w:right w:w="108" w:type="dxa"/>
          </w:tblCellMar>
        </w:tblPrEx>
        <w:tc>
          <w:p w14:paraId="3A7C3F26">
            <w:pPr>
              <w:pStyle w:val="28"/>
              <w:jc w:val="left"/>
            </w:pPr>
            <w:r>
              <w:rPr>
                <w:b/>
                <w:bCs/>
              </w:rPr>
              <w:t>固体废物</w:t>
            </w:r>
          </w:p>
        </w:tc>
        <w:tc>
          <w:p w14:paraId="4221350C">
            <w:pPr>
              <w:pStyle w:val="28"/>
              <w:jc w:val="left"/>
            </w:pPr>
            <w:r>
              <w:t>分类收集、规范贮存、合法转移、安全处置</w:t>
            </w:r>
          </w:p>
        </w:tc>
        <w:tc>
          <w:p w14:paraId="15328B39">
            <w:pPr>
              <w:pStyle w:val="28"/>
              <w:jc w:val="left"/>
            </w:pPr>
            <w:r>
              <w:t>危险废物代码准确性、处置单位资质</w:t>
            </w:r>
          </w:p>
        </w:tc>
      </w:tr>
      <w:tr w14:paraId="0D697664">
        <w:tblPrEx>
          <w:tblCellMar>
            <w:top w:w="0" w:type="dxa"/>
            <w:left w:w="108" w:type="dxa"/>
            <w:bottom w:w="0" w:type="dxa"/>
            <w:right w:w="108" w:type="dxa"/>
          </w:tblCellMar>
        </w:tblPrEx>
        <w:tc>
          <w:p w14:paraId="1C540DD5">
            <w:pPr>
              <w:pStyle w:val="28"/>
              <w:jc w:val="left"/>
            </w:pPr>
            <w:r>
              <w:rPr>
                <w:b/>
                <w:bCs/>
              </w:rPr>
              <w:t>地下水污染防治</w:t>
            </w:r>
          </w:p>
        </w:tc>
        <w:tc>
          <w:p w14:paraId="1B4D2960">
            <w:pPr>
              <w:pStyle w:val="28"/>
              <w:jc w:val="left"/>
            </w:pPr>
            <w:r>
              <w:t>分区防渗、监测井设置、应急响应</w:t>
            </w:r>
          </w:p>
        </w:tc>
        <w:tc>
          <w:p w14:paraId="5A3A1821">
            <w:pPr>
              <w:pStyle w:val="28"/>
              <w:jc w:val="left"/>
            </w:pPr>
            <w:r>
              <w:t>防渗等级（重点防渗区Mb≥6.0m，K≤1×10⁻⁷cm/s）</w:t>
            </w:r>
          </w:p>
        </w:tc>
      </w:tr>
      <w:tr w14:paraId="1AD7C00C">
        <w:tblPrEx>
          <w:tblCellMar>
            <w:top w:w="0" w:type="dxa"/>
            <w:left w:w="108" w:type="dxa"/>
            <w:bottom w:w="0" w:type="dxa"/>
            <w:right w:w="108" w:type="dxa"/>
          </w:tblCellMar>
        </w:tblPrEx>
        <w:tc>
          <w:p w14:paraId="0A2274C3">
            <w:pPr>
              <w:pStyle w:val="28"/>
              <w:jc w:val="left"/>
            </w:pPr>
            <w:r>
              <w:rPr>
                <w:b/>
                <w:bCs/>
              </w:rPr>
              <w:t>生态保护与恢复</w:t>
            </w:r>
          </w:p>
        </w:tc>
        <w:tc>
          <w:p w14:paraId="415E1005">
            <w:pPr>
              <w:pStyle w:val="28"/>
              <w:jc w:val="left"/>
            </w:pPr>
            <w:r>
              <w:t>避让优先、减缓措施、修复补偿、重建措施</w:t>
            </w:r>
          </w:p>
        </w:tc>
        <w:tc>
          <w:p w14:paraId="0506A551">
            <w:pPr>
              <w:pStyle w:val="28"/>
              <w:jc w:val="left"/>
            </w:pPr>
            <w:r>
              <w:t>生态恢复目标、恢复期限、效果评估</w:t>
            </w:r>
          </w:p>
        </w:tc>
      </w:tr>
      <w:tr w14:paraId="1C7F8DD7">
        <w:tblPrEx>
          <w:tblCellMar>
            <w:top w:w="0" w:type="dxa"/>
            <w:left w:w="108" w:type="dxa"/>
            <w:bottom w:w="0" w:type="dxa"/>
            <w:right w:w="108" w:type="dxa"/>
          </w:tblCellMar>
        </w:tblPrEx>
        <w:tc>
          <w:p w14:paraId="54161776">
            <w:pPr>
              <w:pStyle w:val="28"/>
              <w:jc w:val="left"/>
            </w:pPr>
            <w:r>
              <w:rPr>
                <w:b/>
                <w:bCs/>
              </w:rPr>
              <w:t>环境风险防范</w:t>
            </w:r>
          </w:p>
        </w:tc>
        <w:tc>
          <w:p w14:paraId="51D0A22C">
            <w:pPr>
              <w:pStyle w:val="28"/>
              <w:jc w:val="left"/>
            </w:pPr>
            <w:r>
              <w:t>风险识别、防范措施、应急预案、应急资源</w:t>
            </w:r>
          </w:p>
        </w:tc>
        <w:tc>
          <w:p w14:paraId="2D37D038">
            <w:pPr>
              <w:pStyle w:val="28"/>
              <w:jc w:val="left"/>
            </w:pPr>
            <w:r>
              <w:t>事故应急池容积、围堰高度、应急物资配备</w:t>
            </w:r>
          </w:p>
        </w:tc>
      </w:tr>
    </w:tbl>
    <w:p w14:paraId="6F659554">
      <w:pPr>
        <w:pStyle w:val="3"/>
      </w:pPr>
      <w:r>
        <w:rPr>
          <w:b/>
          <w:bCs/>
        </w:rPr>
        <w:t>废水治理措施审核</w:t>
      </w:r>
      <w:r>
        <w:t xml:space="preserve">方面，对于拟进入区域污水处理厂的项目，系统应重点审核区域管网建设情况说明、污水处理厂剩余容量分析、处理工艺对于接纳建设项目废水水量和水质的可行性与有效性分析等内容 </w:t>
      </w:r>
      <w:r>
        <w:fldChar w:fldCharType="begin"/>
      </w:r>
      <w:r>
        <w:instrText xml:space="preserve"> HYPERLINK "http://amr.sz.gov.cn/attachment/1/1195/1195395/9772235.pdf" \h </w:instrText>
      </w:r>
      <w:r>
        <w:fldChar w:fldCharType="separate"/>
      </w:r>
      <w:r>
        <w:rPr>
          <w:rStyle w:val="24"/>
        </w:rPr>
        <w:t>(深圳市市场监督管理局网站)</w:t>
      </w:r>
      <w:r>
        <w:rPr>
          <w:rStyle w:val="24"/>
        </w:rPr>
        <w:fldChar w:fldCharType="end"/>
      </w:r>
      <w:r>
        <w:t xml:space="preserve"> 。系统应实现污水处理厂信息的自动核验，包括处理规模、实际处理量、剩余容量、接管标准、处理工艺等。</w:t>
      </w:r>
    </w:p>
    <w:p w14:paraId="254FB97E">
      <w:pPr>
        <w:pStyle w:val="3"/>
      </w:pPr>
      <w:r>
        <w:rPr>
          <w:b/>
          <w:bCs/>
        </w:rPr>
        <w:t>地下水污染防治措施审核</w:t>
      </w:r>
      <w:r>
        <w:t>方面，HJ 610将防渗分区划分为</w:t>
      </w:r>
      <w:r>
        <w:rPr>
          <w:b/>
          <w:bCs/>
        </w:rPr>
        <w:t>重点防渗区、一般防渗区和简单防渗区</w:t>
      </w:r>
      <w:r>
        <w:t>，分别对应不同的防渗技术要求。智能审核系统需要建立防渗分区自动识别规则，根据项目特征判断分区是否合理，防渗材料选择和防渗层设计是否满足标准要求。</w:t>
      </w:r>
    </w:p>
    <w:bookmarkEnd w:id="25"/>
    <w:p w14:paraId="4B430501">
      <w:pPr>
        <w:pStyle w:val="6"/>
      </w:pPr>
      <w:bookmarkStart w:id="26" w:name="环境管理与监测计划"/>
      <w:r>
        <w:t>2.2.6 环境管理与监测计划</w:t>
      </w:r>
    </w:p>
    <w:p w14:paraId="4E59513E">
      <w:pPr>
        <w:pStyle w:val="27"/>
      </w:pPr>
      <w:r>
        <w:t>环境管理与监测计划是确保环保措施落实的重要制度安排。智能审核系统需要审核：环境管理机构设置与职责分工的明确性；环境管理制度（环保设施运行管理、污染物排放管理、环境应急管理、环境信息公开等）的完整性；污染物排放清单的准确性；自行监测计划的合规性（监测点位、监测因子、监测频次、监测方法是否符合《排污单位自行监测技术指南》要求）；竣工环境保护验收要求的明确性。</w:t>
      </w:r>
    </w:p>
    <w:bookmarkEnd w:id="26"/>
    <w:p w14:paraId="54DC7518">
      <w:pPr>
        <w:pStyle w:val="6"/>
      </w:pPr>
      <w:bookmarkStart w:id="27" w:name="结论与建议"/>
      <w:r>
        <w:t>2.2.7 结论与建议</w:t>
      </w:r>
    </w:p>
    <w:p w14:paraId="3916FB4F">
      <w:pPr>
        <w:pStyle w:val="27"/>
      </w:pPr>
      <w:r>
        <w:t>结论与建议是环评报告书的最终输出。智能审核系统需要建立结论要素检查清单：建设项目环境可行性结论的明确性，是否基于前述分析综合得出，是否存在模棱两可或自相矛盾的表述；主要环境影响及对策措施总结的完整性，是否简明扼要地概括了项目的主要环境影响和针对性的对策措施；环评建议与要求的针对性，是否针对项目特点和管理需要提出了具有针对性的建议。</w:t>
      </w:r>
    </w:p>
    <w:bookmarkEnd w:id="20"/>
    <w:bookmarkEnd w:id="27"/>
    <w:p w14:paraId="482CCDEE">
      <w:pPr>
        <w:pStyle w:val="5"/>
      </w:pPr>
      <w:bookmarkStart w:id="28" w:name="技术方法合规性审核"/>
      <w:r>
        <w:t>2.3 技术方法合规性审核</w:t>
      </w:r>
    </w:p>
    <w:p w14:paraId="34F1ABE5">
      <w:pPr>
        <w:pStyle w:val="6"/>
      </w:pPr>
      <w:bookmarkStart w:id="29" w:name="评价等级与范围"/>
      <w:r>
        <w:t>2.3.1 评价等级与范围</w:t>
      </w:r>
    </w:p>
    <w:p w14:paraId="0518AD8C">
      <w:pPr>
        <w:pStyle w:val="27"/>
      </w:pPr>
      <w:r>
        <w:t>评价等级与范围的确定是环评工作的基础，其准确性直接影响后续评价内容的深度和广度。智能审核系统需要内置各要素导则的等级判定规则，实现自动复核：</w:t>
      </w:r>
    </w:p>
    <w:p w14:paraId="56195DBE">
      <w:pPr>
        <w:pStyle w:val="3"/>
      </w:pPr>
      <w:r>
        <w:rPr>
          <w:b/>
          <w:bCs/>
        </w:rPr>
        <w:t>大气环境评价等级判定</w:t>
      </w:r>
      <w:r>
        <w:t xml:space="preserve">。系统应根据污染物最大地面空气质量浓度占标率（Pmax）和地面空气质量浓度达到标准值10%时所对应的最远距离（D10%），自动判定评价等级。对于电力、钢铁、水泥、石化、化工、平板玻璃、有色等高耗能行业的多源项目或以使用高污染燃料为主的多源项目，系统应自动识别并触发评价等级提高一级的规则 </w:t>
      </w:r>
      <w:r>
        <w:fldChar w:fldCharType="begin"/>
      </w:r>
      <w:r>
        <w:instrText xml:space="preserve"> HYPERLINK "https://www.mee.gov.cn/ywgz/fgbz/bz/bzwb/other/pjjsdz/201808/W020180814672740551977.pdf" \h </w:instrText>
      </w:r>
      <w:r>
        <w:fldChar w:fldCharType="separate"/>
      </w:r>
      <w:r>
        <w:rPr>
          <w:rStyle w:val="24"/>
        </w:rPr>
        <w:t>(中华人民共和国生态环境部)</w:t>
      </w:r>
      <w:r>
        <w:rPr>
          <w:rStyle w:val="24"/>
        </w:rPr>
        <w:fldChar w:fldCharType="end"/>
      </w:r>
      <w:r>
        <w:t xml:space="preserve"> 。</w:t>
      </w:r>
    </w:p>
    <w:p w14:paraId="719C0036">
      <w:pPr>
        <w:pStyle w:val="3"/>
      </w:pPr>
      <w:r>
        <w:rPr>
          <w:b/>
          <w:bCs/>
        </w:rPr>
        <w:t>地表水环境评价等级判定</w:t>
      </w:r>
      <w:r>
        <w:t xml:space="preserve">。系统应根据废水排放方式、废水排放量、水污染物当量数、受纳水体环境敏感程度等参数，自动判定评价等级为一级、二级、三级A或三级B </w:t>
      </w:r>
      <w:r>
        <w:fldChar w:fldCharType="begin"/>
      </w:r>
      <w:r>
        <w:instrText xml:space="preserve"> HYPERLINK "https://www.mee.gov.cn/ywgz/fgbz/bz/bzwb/other/pjjsdz/201810/W020190410547545735168.pdf" \h </w:instrText>
      </w:r>
      <w:r>
        <w:fldChar w:fldCharType="separate"/>
      </w:r>
      <w:r>
        <w:rPr>
          <w:rStyle w:val="24"/>
        </w:rPr>
        <w:t>(中华人民共和国生态环境部)</w:t>
      </w:r>
      <w:r>
        <w:rPr>
          <w:rStyle w:val="24"/>
        </w:rPr>
        <w:fldChar w:fldCharType="end"/>
      </w:r>
      <w:r>
        <w:t xml:space="preserve"> 。</w:t>
      </w:r>
    </w:p>
    <w:p w14:paraId="5F117762">
      <w:pPr>
        <w:pStyle w:val="3"/>
      </w:pPr>
      <w:r>
        <w:rPr>
          <w:b/>
          <w:bCs/>
        </w:rPr>
        <w:t>生态环境评价等级判定</w:t>
      </w:r>
      <w:r>
        <w:t xml:space="preserve">。系统应根据项目影响区域的生态敏感性和工程占地范围，自动判定评价工作等级。对于涉及国家公园、自然保护区、自然公园等法定生态保护区域的项目，系统应自动识别并触发特殊审核流程 </w:t>
      </w:r>
      <w:r>
        <w:fldChar w:fldCharType="begin"/>
      </w:r>
      <w:r>
        <w:instrText xml:space="preserve"> HYPERLINK "https://eia543.com/documents/01-%E5%9F%BA%E7%A1%80%E6%80%A7%E6%A0%87%E5%87%86%E8%A7%84%E8%8C%83/01-%E5%BB%BA%E8%AE%BE%E9%A1%B9%E7%9B%AE%E7%8E%AF%E8%AF%84%E6%8A%80%E6%9C%AF%E5%AF%BC%E5%88%99/%E7%8E%AF%E5%A2%83%E5%BD%B1%E5%93%8D%E8%AF%84%E4%BB%B7%E6%8A%80%E6%9C%AF%E5%AF%BC%E5%88%99%20%20%E7%94%9F%E6%80%81%E5%BD%B1%E5%93%8D%EF%BC%88HJ%2019-2022%EF%BC%89.pdf" \h </w:instrText>
      </w:r>
      <w:r>
        <w:fldChar w:fldCharType="separate"/>
      </w:r>
      <w:r>
        <w:rPr>
          <w:rStyle w:val="24"/>
        </w:rPr>
        <w:t>(环评五四三)</w:t>
      </w:r>
      <w:r>
        <w:rPr>
          <w:rStyle w:val="24"/>
        </w:rPr>
        <w:fldChar w:fldCharType="end"/>
      </w:r>
      <w:r>
        <w:t xml:space="preserve"> 。</w:t>
      </w:r>
    </w:p>
    <w:bookmarkEnd w:id="29"/>
    <w:p w14:paraId="2DEEF4B4">
      <w:pPr>
        <w:pStyle w:val="6"/>
      </w:pPr>
      <w:bookmarkStart w:id="30" w:name="评价标准适用性"/>
      <w:r>
        <w:t>2.3.2 评价标准适用性</w:t>
      </w:r>
    </w:p>
    <w:p w14:paraId="5E95C8EC">
      <w:pPr>
        <w:pStyle w:val="27"/>
      </w:pPr>
      <w:r>
        <w:t>评价标准的适用性审核需要验证环境质量标准和污染物排放标准的选用是否正确。智能审核系统应建立标准动态数据库：环境质量标准功能区划符合性审核，系统应根据项目所在区域的环境功能区划，自动匹配相应的环境质量标准；污染物排放标准时效性与适用性审核，系统应自动识别标准的现行有效状态，优先采用地方标准、行业标准，对于没有行业标准的执行综合排放标准；其他标准规范引用准确性审核，系统应审核技术规范、方法标准、设计规范等的引用是否准确，是否存在引用已废止标准的情况。</w:t>
      </w:r>
    </w:p>
    <w:bookmarkEnd w:id="30"/>
    <w:p w14:paraId="65D67BA1">
      <w:pPr>
        <w:pStyle w:val="6"/>
      </w:pPr>
      <w:bookmarkStart w:id="31" w:name="源强核算方法"/>
      <w:r>
        <w:t>2.3.3 源强核算方法</w:t>
      </w:r>
    </w:p>
    <w:p w14:paraId="5F183825">
      <w:pPr>
        <w:pStyle w:val="27"/>
      </w:pPr>
      <w:r>
        <w:t>源强核算方法的合规性审核需要关注方法选择合理性、核算参数来源可靠性、核算结果准确性验证。智能审核系统应建立源强核算方法知识库：物料衡算法优先适用于工艺过程清晰、物料输入输出可准确计量的项目；类比法适用于有成熟同类项目参考数据的情况，但需关注类比条件的相似性；实测法适用于现有工程改扩建项目，但需关注测量条件的代表性和测量方法的规范性；产排污系数法适用于数据缺乏的项目。系统应建立参数合理性验证机制，对于明显偏离常规取值范围的参数，自动标记并提示核实。</w:t>
      </w:r>
    </w:p>
    <w:bookmarkEnd w:id="31"/>
    <w:p w14:paraId="52CC8AF0">
      <w:pPr>
        <w:pStyle w:val="6"/>
      </w:pPr>
      <w:bookmarkStart w:id="32" w:name="预测模型与参数"/>
      <w:r>
        <w:t>2.3.4 预测模型与参数</w:t>
      </w:r>
    </w:p>
    <w:p w14:paraId="44099FF4">
      <w:pPr>
        <w:pStyle w:val="27"/>
      </w:pPr>
      <w:r>
        <w:t>预测模型与参数的合规性审核需要验证模型适用条件满足性、参数选取依据充分性、模型验证与不确定性分析完整性。智能审核系统应建立预测模型适用性判断规则：AERMOD模型适用于平坦或简单地形、评价范围小于50km的项目；ADMS模型适用于城市或复杂地形、评价范围小于15km的项目；CALPUFF模型适用于复杂地形、长距离传输、评价范围大于50km的项目。系统应审核模型参数的来源和依据，对于采用默认参数的，应说明默认参数的适用性和保守性。</w:t>
      </w:r>
    </w:p>
    <w:bookmarkEnd w:id="28"/>
    <w:bookmarkEnd w:id="32"/>
    <w:p w14:paraId="0AD27ADB">
      <w:pPr>
        <w:pStyle w:val="5"/>
      </w:pPr>
      <w:bookmarkStart w:id="33" w:name="数据一致性审核"/>
      <w:r>
        <w:t>2.4 数据一致性审核</w:t>
      </w:r>
    </w:p>
    <w:p w14:paraId="5AF49E89">
      <w:pPr>
        <w:pStyle w:val="6"/>
      </w:pPr>
      <w:bookmarkStart w:id="34" w:name="内部数据一致性"/>
      <w:r>
        <w:t>2.4.1 内部数据一致性</w:t>
      </w:r>
    </w:p>
    <w:p w14:paraId="02B15A49">
      <w:pPr>
        <w:pStyle w:val="27"/>
      </w:pPr>
      <w:r>
        <w:t>内部数据一致性审核关注环评文件自身的数据逻辑。智能审核系统需要建立数据一致性校验规则引擎：工程分析数据与预测输入数据一致性审核，自动比对污染源位置、排放高度、排放参数等关键数据；源强核算与排放量统计一致性审核，验证各污染源核算的源强汇总后与项目总排放量的平衡关系；文本描述与附图附表一致性审核，通过多模态数据提取技术，实现跨格式比对。</w:t>
      </w:r>
    </w:p>
    <w:bookmarkEnd w:id="34"/>
    <w:p w14:paraId="3BB0D11C">
      <w:pPr>
        <w:pStyle w:val="6"/>
      </w:pPr>
      <w:bookmarkStart w:id="35" w:name="外部数据一致性"/>
      <w:r>
        <w:t>2.4.2 外部数据一致性</w:t>
      </w:r>
    </w:p>
    <w:p w14:paraId="3CAEE711">
      <w:pPr>
        <w:pStyle w:val="27"/>
      </w:pPr>
      <w:r>
        <w:t>外部数据一致性审核关注环评文件与外部权威数据的一致性。智能审核系统需要建立外部数据核验机制：与规划、产业政策符合性审核，对接规划数据库、产业政策库，实现自动比对；与区域环境质量数据一致性审核，对接环境监测数据平台，核验环评文件引用的区域环境质量数据；与排污许可数据衔接性审核，对接全国排污许可证管理信息平台，核验改扩建项目的现有工程排污数据。</w:t>
      </w:r>
    </w:p>
    <w:bookmarkEnd w:id="33"/>
    <w:bookmarkEnd w:id="35"/>
    <w:p w14:paraId="6B18D57A">
      <w:pPr>
        <w:pStyle w:val="5"/>
      </w:pPr>
      <w:bookmarkStart w:id="36" w:name="不予批准情形审查"/>
      <w:r>
        <w:t>2.5 不予批准情形审查</w:t>
      </w:r>
    </w:p>
    <w:p w14:paraId="1DC119D3">
      <w:pPr>
        <w:pStyle w:val="6"/>
      </w:pPr>
      <w:bookmarkStart w:id="37" w:name="法律法规符合性"/>
      <w:r>
        <w:t>2.5.1 法律法规符合性</w:t>
      </w:r>
    </w:p>
    <w:p w14:paraId="32225EE2">
      <w:pPr>
        <w:pStyle w:val="27"/>
      </w:pPr>
      <w:r>
        <w:t xml:space="preserve">根据《建设项目环境保护管理条例》第十一条，智能审核系统需要建立不予批准情形自动识别机制：建设项目类型及其选址、布局、规模等不符合环境保护法律法规和相关法定规划的，环境保护行政主管部门应当作出不予批准的决定 </w:t>
      </w:r>
      <w:r>
        <w:fldChar w:fldCharType="begin"/>
      </w:r>
      <w:r>
        <w:instrText xml:space="preserve"> HYPERLINK "https://www.shyp.gov.cn/shypq/hbjzl-bgxz/20190327/323991/e48a8235c4274ccea396c54dd8fc8b51.docx" \h </w:instrText>
      </w:r>
      <w:r>
        <w:fldChar w:fldCharType="separate"/>
      </w:r>
      <w:r>
        <w:rPr>
          <w:rStyle w:val="24"/>
        </w:rPr>
        <w:t>(shyp.gov.cn)</w:t>
      </w:r>
      <w:r>
        <w:rPr>
          <w:rStyle w:val="24"/>
        </w:rPr>
        <w:fldChar w:fldCharType="end"/>
      </w:r>
      <w:r>
        <w:t xml:space="preserve"> 。系统应自动识别项目是否位于自然保护区核心区、是否违反饮用水水源保护规定等明显违法情形。</w:t>
      </w:r>
    </w:p>
    <w:bookmarkEnd w:id="37"/>
    <w:p w14:paraId="55A0C9E1">
      <w:pPr>
        <w:pStyle w:val="6"/>
      </w:pPr>
      <w:bookmarkStart w:id="38" w:name="区域环境质量改善要求"/>
      <w:r>
        <w:t>2.5.2 区域环境质量改善要求</w:t>
      </w:r>
    </w:p>
    <w:p w14:paraId="5C6FEFD1">
      <w:pPr>
        <w:pStyle w:val="27"/>
      </w:pPr>
      <w:r>
        <w:t xml:space="preserve">对于所在区域环境质量未达到国家或者地方环境质量标准，且建设项目拟采取的措施不能满足区域环境质量改善目标管理要求的，应当不予批准 </w:t>
      </w:r>
      <w:r>
        <w:fldChar w:fldCharType="begin"/>
      </w:r>
      <w:r>
        <w:instrText xml:space="preserve"> HYPERLINK "https://www.shyp.gov.cn/shypq/hbjzl-bgxz/20190327/323991/e48a8235c4274ccea396c54dd8fc8b51.docx" \h </w:instrText>
      </w:r>
      <w:r>
        <w:fldChar w:fldCharType="separate"/>
      </w:r>
      <w:r>
        <w:rPr>
          <w:rStyle w:val="24"/>
        </w:rPr>
        <w:t>(shyp.gov.cn)</w:t>
      </w:r>
      <w:r>
        <w:rPr>
          <w:rStyle w:val="24"/>
        </w:rPr>
        <w:fldChar w:fldCharType="end"/>
      </w:r>
      <w:r>
        <w:t xml:space="preserve"> 。智能审核系统需要对接环境质量达标判定数据，结合项目污染防治措施评估，辅助判断是否符合区域改善要求。对于环境质量不达标区域，系统应重点审核是否采取了先进可行的污染防治措施，是否结合区域限期达标规划分析了项目对区域环境质量改善目标的贡献和影响 </w:t>
      </w:r>
      <w:r>
        <w:fldChar w:fldCharType="begin"/>
      </w:r>
      <w:r>
        <w:instrText xml:space="preserve"> HYPERLINK "https://www.mee.gov.cn/ywgz/fgbz/bz/bzwb/other/pjjsdz/201612/W020161214348664955109.pdf" \h </w:instrText>
      </w:r>
      <w:r>
        <w:fldChar w:fldCharType="separate"/>
      </w:r>
      <w:r>
        <w:rPr>
          <w:rStyle w:val="24"/>
        </w:rPr>
        <w:t>(中华人民共和国生态环境部)</w:t>
      </w:r>
      <w:r>
        <w:rPr>
          <w:rStyle w:val="24"/>
        </w:rPr>
        <w:fldChar w:fldCharType="end"/>
      </w:r>
      <w:r>
        <w:t xml:space="preserve"> 。</w:t>
      </w:r>
    </w:p>
    <w:bookmarkEnd w:id="38"/>
    <w:p w14:paraId="4ADB4061">
      <w:pPr>
        <w:pStyle w:val="6"/>
      </w:pPr>
      <w:bookmarkStart w:id="39" w:name="污染防治措施有效性"/>
      <w:r>
        <w:t>2.5.3 污染防治措施有效性</w:t>
      </w:r>
    </w:p>
    <w:p w14:paraId="021AD1F0">
      <w:pPr>
        <w:pStyle w:val="27"/>
      </w:pPr>
      <w:r>
        <w:t xml:space="preserve">建设项目采取的污染防治措施无法确保污染物排放达到国家和地方排放标准，或者未采取必要措施预防和控制生态破坏的，应当不予批准 </w:t>
      </w:r>
      <w:r>
        <w:fldChar w:fldCharType="begin"/>
      </w:r>
      <w:r>
        <w:instrText xml:space="preserve"> HYPERLINK "https://www.shyp.gov.cn/shypq/hbjzl-bgxz/20190327/323991/e48a8235c4274ccea396c54dd8fc8b51.docx" \h </w:instrText>
      </w:r>
      <w:r>
        <w:fldChar w:fldCharType="separate"/>
      </w:r>
      <w:r>
        <w:rPr>
          <w:rStyle w:val="24"/>
        </w:rPr>
        <w:t>(shyp.gov.cn)</w:t>
      </w:r>
      <w:r>
        <w:rPr>
          <w:rStyle w:val="24"/>
        </w:rPr>
        <w:fldChar w:fldCharType="end"/>
      </w:r>
      <w:r>
        <w:t xml:space="preserve"> 。智能审核系统需要基于措施可行性论证分析，辅助判断措施有效性。系统应建立措施有效性评估模型，从技术可行性、经济合理性、长期稳定运行可靠性等维度进行综合评判。</w:t>
      </w:r>
    </w:p>
    <w:bookmarkEnd w:id="39"/>
    <w:p w14:paraId="639F1817">
      <w:pPr>
        <w:pStyle w:val="6"/>
      </w:pPr>
      <w:bookmarkStart w:id="40" w:name="环境风险可控性"/>
      <w:r>
        <w:t>2.5.4 环境风险可控性</w:t>
      </w:r>
    </w:p>
    <w:p w14:paraId="2D0C6EA9">
      <w:pPr>
        <w:pStyle w:val="27"/>
      </w:pPr>
      <w:r>
        <w:t xml:space="preserve">改建、扩建和技术改造项目，未针对项目原有环境污染和生态破坏提出有效防治措施的，应当不予批准 </w:t>
      </w:r>
      <w:r>
        <w:fldChar w:fldCharType="begin"/>
      </w:r>
      <w:r>
        <w:instrText xml:space="preserve"> HYPERLINK "https://www.shyp.gov.cn/shypq/hbjzl-bgxz/20190327/323991/e48a8235c4274ccea396c54dd8fc8b51.docx" \h </w:instrText>
      </w:r>
      <w:r>
        <w:fldChar w:fldCharType="separate"/>
      </w:r>
      <w:r>
        <w:rPr>
          <w:rStyle w:val="24"/>
        </w:rPr>
        <w:t>(shyp.gov.cn)</w:t>
      </w:r>
      <w:r>
        <w:rPr>
          <w:rStyle w:val="24"/>
        </w:rPr>
        <w:fldChar w:fldCharType="end"/>
      </w:r>
      <w:r>
        <w:t xml:space="preserve"> 。智能审核系统需要特别关注改扩建项目的”以新带老”措施，识别措施缺失或不足。系统应建立”以新带老”措施审核模块，对现有工程环境问题的识别准确性和治理措施的有效性进行专项审查。</w:t>
      </w:r>
    </w:p>
    <w:bookmarkEnd w:id="15"/>
    <w:bookmarkEnd w:id="36"/>
    <w:bookmarkEnd w:id="40"/>
    <w:p w14:paraId="49887C8A">
      <w:pPr>
        <w:pStyle w:val="4"/>
      </w:pPr>
      <w:bookmarkStart w:id="41" w:name="智能审核核心功能设计"/>
      <w:r>
        <w:t>3. 智能审核核心功能设计</w:t>
      </w:r>
    </w:p>
    <w:p w14:paraId="13B8764D">
      <w:pPr>
        <w:pStyle w:val="5"/>
      </w:pPr>
      <w:bookmarkStart w:id="42" w:name="自动化检查模块"/>
      <w:r>
        <w:t>3.1 自动化检查模块</w:t>
      </w:r>
    </w:p>
    <w:p w14:paraId="36391CA6">
      <w:pPr>
        <w:pStyle w:val="6"/>
      </w:pPr>
      <w:bookmarkStart w:id="43" w:name="格式规范性自动校验"/>
      <w:r>
        <w:t>3.1.1 格式规范性自动校验</w:t>
      </w:r>
    </w:p>
    <w:p w14:paraId="2B9F71E6">
      <w:pPr>
        <w:pStyle w:val="27"/>
      </w:pPr>
      <w:r>
        <w:t>格式规范性自动校验是智能审核系统的基础功能，旨在替代人工完成繁琐的格式审查工作。该功能模块需要综合运用文档解析技术、OCR技术、自然语言处理技术，实现对环评报告书格式规范的全面自动检测。</w:t>
      </w:r>
    </w:p>
    <w:p w14:paraId="7EE71C98">
      <w:pPr>
        <w:pStyle w:val="3"/>
      </w:pPr>
      <w:r>
        <w:rPr>
          <w:b/>
          <w:bCs/>
        </w:rPr>
        <w:t>文件结构完整性检测</w:t>
      </w:r>
      <w:r>
        <w:t>功能建立标准章节模板库。系统依据HJ 2.1及各专项导则的要求，构建不同行业、不同评价等级对应的标准章节结构模板，通过文档结构解析技术自动识别报告书章节设置，检测章节缺失、顺序错误、层级混乱等问题。对于检测到的结构异常，系统生成详细的异常报告，指明缺失的章节名称、建议的插入位置，并引用相关标准依据。</w:t>
      </w:r>
    </w:p>
    <w:p w14:paraId="4F0E2344">
      <w:pPr>
        <w:pStyle w:val="3"/>
      </w:pPr>
      <w:r>
        <w:rPr>
          <w:b/>
          <w:bCs/>
        </w:rPr>
        <w:t>附图附件完整性检测</w:t>
      </w:r>
      <w:r>
        <w:t>功能建立关键图件清单库。系统通过OCR技术和图像识别技术，自动提取报告书中的图件和附件，识别图件类型和内容，与标准清单进行比对。对于地理位置图，系统识别是否标注了项目位置、评价范围、环境敏感目标等关键信息；对于监测布点图，系统识别监测点位数量、位置、编号等是否与文本描述一致。</w:t>
      </w:r>
    </w:p>
    <w:p w14:paraId="670FD5B0">
      <w:pPr>
        <w:pStyle w:val="3"/>
      </w:pPr>
      <w:r>
        <w:rPr>
          <w:b/>
          <w:bCs/>
        </w:rPr>
        <w:t>计量单位与符号规范性检测</w:t>
      </w:r>
      <w:r>
        <w:t>功能建立标准库。系统依据《中华人民共和国法定计量单位》和环境保护领域相关标准，构建计量单位和符号的标准库，自动识别非法定计量单位、符号错误、不规范缩写等问题，提供标准用法建议和修改示例。</w:t>
      </w:r>
    </w:p>
    <w:p w14:paraId="5FE3C992">
      <w:pPr>
        <w:pStyle w:val="3"/>
      </w:pPr>
      <w:r>
        <w:rPr>
          <w:b/>
          <w:bCs/>
        </w:rPr>
        <w:t>页码、目录、图表编号连续性检测</w:t>
      </w:r>
      <w:r>
        <w:t>功能建立文档元素关联分析机制。系统自动识别页码编排、目录结构、图表编号，分析各元素之间的逻辑关系，识别跳号、重号、错引等问题。</w:t>
      </w:r>
    </w:p>
    <w:bookmarkEnd w:id="43"/>
    <w:p w14:paraId="11EC857E">
      <w:pPr>
        <w:pStyle w:val="6"/>
      </w:pPr>
      <w:bookmarkStart w:id="44" w:name="内容完整性自动校验"/>
      <w:r>
        <w:t>3.1.2 内容完整性自动校验</w:t>
      </w:r>
    </w:p>
    <w:p w14:paraId="113AC324">
      <w:pPr>
        <w:pStyle w:val="27"/>
      </w:pPr>
      <w:r>
        <w:t>内容完整性自动校验功能确保环评报告书各章节内容的充实程度满足技术要求。</w:t>
      </w:r>
    </w:p>
    <w:p w14:paraId="521FBDF7">
      <w:pPr>
        <w:pStyle w:val="3"/>
      </w:pPr>
      <w:r>
        <w:rPr>
          <w:b/>
          <w:bCs/>
        </w:rPr>
        <w:t>必填字段空缺识别</w:t>
      </w:r>
      <w:r>
        <w:t>功能建立关键信息提取模型。系统通过机器学习技术，训练针对环评报告书的命名实体识别模型，自动提取项目名称、建设地点、行业类别、建设规模、投资金额、环保投资、占地面积、职工人数等关键字段，识别空缺或填写不规范的字段。</w:t>
      </w:r>
    </w:p>
    <w:p w14:paraId="29DE42E0">
      <w:pPr>
        <w:pStyle w:val="3"/>
      </w:pPr>
      <w:r>
        <w:rPr>
          <w:b/>
          <w:bCs/>
        </w:rPr>
        <w:t>关键章节内容长度合理性检测</w:t>
      </w:r>
      <w:r>
        <w:t>功能建立内容深度评估模型。系统通过分析大量历史环评报告书，建立各章节内容长度的统计分布模型，设定合理的内容长度区间，识别内容明显偏短的章节，提示可能存在的内容缺失风险。</w:t>
      </w:r>
    </w:p>
    <w:p w14:paraId="504ED3C8">
      <w:pPr>
        <w:pStyle w:val="3"/>
      </w:pPr>
      <w:r>
        <w:rPr>
          <w:b/>
          <w:bCs/>
        </w:rPr>
        <w:t>环境保护目标清单完整性检测</w:t>
      </w:r>
      <w:r>
        <w:t>功能建立敏感目标智能识别机制。系统通过GIS技术，以项目选址为中心，按照各环境要素的评价范围，自动检索评价范围内的环境敏感目标，与报告书列出的清单进行比对，检测遗漏项。</w:t>
      </w:r>
    </w:p>
    <w:p w14:paraId="281FF50B">
      <w:pPr>
        <w:pStyle w:val="3"/>
      </w:pPr>
      <w:r>
        <w:rPr>
          <w:b/>
          <w:bCs/>
        </w:rPr>
        <w:t>措施与工程对应关系完整性检测</w:t>
      </w:r>
      <w:r>
        <w:t>功能建立”污染源-治理措施-排放口”关联图谱。系统自动识别报告书中提出的各项环境保护措施，追溯其对应的污染源或影响环节，检测是否存在”有污染源无措施”或”有措施无对应污染源”的情况。</w:t>
      </w:r>
    </w:p>
    <w:bookmarkEnd w:id="44"/>
    <w:p w14:paraId="03F39B6D">
      <w:pPr>
        <w:pStyle w:val="6"/>
      </w:pPr>
      <w:bookmarkStart w:id="45" w:name="数据一致性自动校验"/>
      <w:r>
        <w:t>3.1.3 数据一致性自动校验</w:t>
      </w:r>
    </w:p>
    <w:p w14:paraId="623B1A7B">
      <w:pPr>
        <w:pStyle w:val="27"/>
      </w:pPr>
      <w:r>
        <w:t>数据一致性自动校验是智能审核系统的核心技术功能，旨在发现和纠正报告书内部的数据矛盾。</w:t>
      </w:r>
    </w:p>
    <w:p w14:paraId="32C6836B">
      <w:pPr>
        <w:pStyle w:val="3"/>
      </w:pPr>
      <w:r>
        <w:rPr>
          <w:b/>
          <w:bCs/>
        </w:rPr>
        <w:t>文本-表格-附图数据交叉比对</w:t>
      </w:r>
      <w:r>
        <w:t>功能建立多模态数据关联分析机制。系统采用自然语言处理和计算机视觉技术，自动提取文本、表格、附图中的关键数据，建立数据关联关系，检测不一致问题。系统处理数据单位换算、四舍五入误差、时间口径差异等技术细节，区分真正的数据矛盾与合理的表述差异。</w:t>
      </w:r>
    </w:p>
    <w:p w14:paraId="375AE6A4">
      <w:pPr>
        <w:pStyle w:val="3"/>
      </w:pPr>
      <w:r>
        <w:rPr>
          <w:b/>
          <w:bCs/>
        </w:rPr>
        <w:t>工程参数前后一致性检测</w:t>
      </w:r>
      <w:r>
        <w:t>功能建立工程参数追踪机制。系统识别同一参数在报告书不同章节的出现位置和数值，标记变化情况，提示核实变更原因和一致性处理。</w:t>
      </w:r>
    </w:p>
    <w:p w14:paraId="6A81042B">
      <w:pPr>
        <w:pStyle w:val="3"/>
      </w:pPr>
      <w:r>
        <w:rPr>
          <w:b/>
          <w:bCs/>
        </w:rPr>
        <w:t>源强核算与预测输入数据一致性验证</w:t>
      </w:r>
      <w:r>
        <w:t>功能建立数据流转检查机制。系统自动比对工程分析章节的污染源强核算结果与环境影响预测章节的输入数据，识别数据转换错误或遗漏。</w:t>
      </w:r>
    </w:p>
    <w:p w14:paraId="400B0574">
      <w:pPr>
        <w:pStyle w:val="3"/>
      </w:pPr>
      <w:r>
        <w:rPr>
          <w:b/>
          <w:bCs/>
        </w:rPr>
        <w:t>排放量汇总与单项核算平衡检测</w:t>
      </w:r>
      <w:r>
        <w:t>功能建立质量平衡核算模型。系统自动汇总各污染源、各污染物的排放量，与报告书给出的总量数据进行比对，识别不平衡或异常值。</w:t>
      </w:r>
    </w:p>
    <w:bookmarkEnd w:id="45"/>
    <w:p w14:paraId="7395F45E">
      <w:pPr>
        <w:pStyle w:val="6"/>
      </w:pPr>
      <w:bookmarkStart w:id="46" w:name="资质合规性自动校验"/>
      <w:r>
        <w:t>3.1.4 资质合规性自动校验</w:t>
      </w:r>
    </w:p>
    <w:p w14:paraId="598AFF35">
      <w:pPr>
        <w:pStyle w:val="27"/>
      </w:pPr>
      <w:r>
        <w:t>资质合规性自动校验功能确保环评文件编制单位和人员的合法合规性。</w:t>
      </w:r>
    </w:p>
    <w:p w14:paraId="4CF33ABE">
      <w:pPr>
        <w:pStyle w:val="3"/>
      </w:pPr>
      <w:r>
        <w:rPr>
          <w:b/>
          <w:bCs/>
        </w:rPr>
        <w:t>编制单位信用平台信息自动核验</w:t>
      </w:r>
      <w:r>
        <w:t>功能对接全国环境影响评价信用平台。系统自动查询编制单位的基本信息、信用记录、技术能力评估结果等，核验报告书标注的信息与平台记录的一致性。</w:t>
      </w:r>
    </w:p>
    <w:p w14:paraId="6D5C4FD7">
      <w:pPr>
        <w:pStyle w:val="3"/>
      </w:pPr>
      <w:r>
        <w:rPr>
          <w:b/>
          <w:bCs/>
        </w:rPr>
        <w:t>编制人员职业资格自动核验</w:t>
      </w:r>
      <w:r>
        <w:t>功能对接环境影响评价工程师职业资格管理系统。系统验证编制主持人的证书有效性、注册状态、注册单位等信息，对于异常情况生成明确的审核意见。</w:t>
      </w:r>
    </w:p>
    <w:p w14:paraId="057AA580">
      <w:pPr>
        <w:pStyle w:val="3"/>
      </w:pPr>
      <w:r>
        <w:rPr>
          <w:b/>
          <w:bCs/>
        </w:rPr>
        <w:t>信用状况实时查询</w:t>
      </w:r>
      <w:r>
        <w:t>功能建立黑名单动态监测机制。系统定期同步生态环境部发布的限期整改名单和失信”黑名单”，自动比对编制单位和编制人员是否列入名单，对于黑名单中的对象自动触发高风险预警。</w:t>
      </w:r>
    </w:p>
    <w:p w14:paraId="7E029B8E">
      <w:pPr>
        <w:pStyle w:val="3"/>
      </w:pPr>
      <w:r>
        <w:rPr>
          <w:b/>
          <w:bCs/>
        </w:rPr>
        <w:t>项目编号与信息公开状态核验</w:t>
      </w:r>
      <w:r>
        <w:t>功能对接信用平台项目信息库。系统验证项目编号的有效性和信息公开的完整性，对于未履行信息公开程序的项目自动识别并提示补正。</w:t>
      </w:r>
    </w:p>
    <w:bookmarkEnd w:id="42"/>
    <w:bookmarkEnd w:id="46"/>
    <w:p w14:paraId="1626838E">
      <w:pPr>
        <w:pStyle w:val="5"/>
      </w:pPr>
      <w:bookmarkStart w:id="47" w:name="智能分析与评估模块"/>
      <w:r>
        <w:t>3.2 智能分析与评估模块</w:t>
      </w:r>
    </w:p>
    <w:p w14:paraId="02BA6A7F">
      <w:pPr>
        <w:pStyle w:val="6"/>
      </w:pPr>
      <w:bookmarkStart w:id="48" w:name="基于hj-616的评估要点智能识别"/>
      <w:r>
        <w:t>3.2.1 基于HJ 616的评估要点智能识别</w:t>
      </w:r>
    </w:p>
    <w:p w14:paraId="14591F83">
      <w:pPr>
        <w:pStyle w:val="27"/>
      </w:pPr>
      <w:r>
        <w:t>基于HJ 616-2011的评估要点智能识别是智能审核系统的核心功能，需要将标准中的定性要求转化为可执行的算法规则。</w:t>
      </w:r>
    </w:p>
    <w:p w14:paraId="1BBD3B7E">
      <w:pPr>
        <w:pStyle w:val="3"/>
      </w:pPr>
      <w:r>
        <w:rPr>
          <w:b/>
          <w:bCs/>
        </w:rPr>
        <w:t>大气环境影响智能评估</w:t>
      </w:r>
      <w:r>
        <w:t>功能实现四个子功能：评价等级自动判定与复核，通过内置估算模型计算Pmax和D10%，与报告书自评结果比对，识别等级判定错误；预测模型适用性智能判断，根据项目特征（地形、气象、污染源类型等）推荐适用的预测模型，审核报告书选择的合理性；环境敏感目标影响程度自动评估，基于预测结果和敏感目标位置，计算最大浓度贡献值和叠加值，评估达标可行性和影响可接受性；达标可行性智能分析，对于不达标区项目，自动触发达标规划叠加计算，判定区域环境质量整体改善是否满足要求。</w:t>
      </w:r>
    </w:p>
    <w:p w14:paraId="3538286B">
      <w:pPr>
        <w:pStyle w:val="3"/>
      </w:pPr>
      <w:r>
        <w:rPr>
          <w:b/>
          <w:bCs/>
        </w:rPr>
        <w:t>水环境影响智能评估</w:t>
      </w:r>
      <w:r>
        <w:t>功能涵盖地表水和地下水两个维度。评价等级与范围合理性判断功能根据HJ 2.3和HJ 610的规定，自动复核评价等级和范围的判定；水文地质条件分析充分性评估功能审核报告书对区域水文地质条件的调查和分析是否满足评价需要；预测方法科学性智能评价功能建立水环境影响预测方法库，对报告书采用的预测方法进行适用性判断；水环境保护措施可行性论证功能建立水处理工艺数据库，对报告书提出的废水处理工艺进行技术经济可行性初判。</w:t>
      </w:r>
    </w:p>
    <w:p w14:paraId="2FF4DD25">
      <w:pPr>
        <w:pStyle w:val="3"/>
      </w:pPr>
      <w:r>
        <w:rPr>
          <w:b/>
          <w:bCs/>
        </w:rPr>
        <w:t>声环境影响智能评估</w:t>
      </w:r>
      <w:r>
        <w:t>功能实现评价等级自动判定、噪声源强确定方法合理性判断、传播途径分析完整性评估、降噪措施效果预测与评价等子功能。系统建立噪声预测模型库，包括工业噪声预测模型、交通噪声预测模型等，根据项目类型自动选用合适的预测模型。</w:t>
      </w:r>
    </w:p>
    <w:p w14:paraId="3BCA8F48">
      <w:pPr>
        <w:pStyle w:val="3"/>
      </w:pPr>
      <w:r>
        <w:rPr>
          <w:b/>
          <w:bCs/>
        </w:rPr>
        <w:t>生态环境影响智能评估</w:t>
      </w:r>
      <w:r>
        <w:t>功能实现生态因子识别完整性评估、评价方法科学性判断、生态现状调查规范性评估、生态保护措施有效性评价等子功能。系统建立生态评价方法库，包括列表清单法、图形叠置法、生态机理分析法、景观生态学方法等，对报告书采用的评价方法进行适用性判断。</w:t>
      </w:r>
    </w:p>
    <w:p w14:paraId="33E16D90">
      <w:pPr>
        <w:pStyle w:val="3"/>
      </w:pPr>
      <w:r>
        <w:rPr>
          <w:b/>
          <w:bCs/>
        </w:rPr>
        <w:t>地下水环境影响智能评估</w:t>
      </w:r>
      <w:r>
        <w:t>功能实现影响识别正确性判断、水文地质调查资料适用性评估、预测模型与参数合理性评价、防渗措施可行性论证等子功能。系统建立地下水污染预测模型库，包括解析解模型、数值模型等，根据水文地质条件复杂程度和评价等级要求进行模型适用性判断。</w:t>
      </w:r>
    </w:p>
    <w:bookmarkEnd w:id="48"/>
    <w:p w14:paraId="36DE9CCA">
      <w:pPr>
        <w:pStyle w:val="6"/>
      </w:pPr>
      <w:bookmarkStart w:id="49" w:name="清洁生产与循环经济智能评估"/>
      <w:r>
        <w:t>3.2.2 清洁生产与循环经济智能评估</w:t>
      </w:r>
    </w:p>
    <w:p w14:paraId="4F55500C">
      <w:pPr>
        <w:pStyle w:val="27"/>
      </w:pPr>
      <w:r>
        <w:t>清洁生产与循环经济智能评估功能建立行业清洁生产指标数据库，自动提取报告书中的清洁生产指标数据，与国家和行业清洁生产标准进行自动对标，判定清洁生产水平等级。行业先进水平对比分析功能收集国内外同行业先进企业的清洁生产指标数据，建立行业标杆数据库，为项目清洁生产水平评估提供参照。节能减排措施有效性评价功能建立节能减排技术数据库，对报告书提出的节能减排措施进行技术可行性和效果可靠性评估。循环经济产业链完整性评估功能分析项目的资源能源利用效率、废物综合利用途径、产业协同关系等，评估循环经济发展水平。</w:t>
      </w:r>
    </w:p>
    <w:bookmarkEnd w:id="49"/>
    <w:p w14:paraId="15047CBB">
      <w:pPr>
        <w:pStyle w:val="6"/>
      </w:pPr>
      <w:bookmarkStart w:id="50" w:name="环境风险智能评估"/>
      <w:r>
        <w:t>3.2.3 环境风险智能评估</w:t>
      </w:r>
    </w:p>
    <w:p w14:paraId="6FE16CFD">
      <w:pPr>
        <w:pStyle w:val="27"/>
      </w:pPr>
      <w:r>
        <w:t>环境风险智能评估功能建立危险化学品数据库，自动识别报告书中涉及的危险物质，依据《危险化学品重大危险源辨识》等标准进行重大危险源判定。危险物质临界量自动比对功能查询危险物质临界量数据库，计算重大危险源辨识指标，判定重大危险源等级。风险预测模型智能选择功能建立环境风险预测模型库，根据风险类型和环境特征自动推荐适用的预测模型。风险防范措施完整性评估功能建立风险防范措施清单，自动核对报告书是否提出了针对性的风险防范措施，评估措施的完备性和可操作性。应急预案合规性审查功能对照《企业突发环境事件应急预案编制指南》等文件，审核应急预案的编制规范性。</w:t>
      </w:r>
    </w:p>
    <w:bookmarkEnd w:id="50"/>
    <w:p w14:paraId="0DE2F578">
      <w:pPr>
        <w:pStyle w:val="6"/>
      </w:pPr>
      <w:bookmarkStart w:id="51" w:name="多维度合规性智能判断"/>
      <w:r>
        <w:t>3.2.4 多维度合规性智能判断</w:t>
      </w:r>
    </w:p>
    <w:p w14:paraId="6586BE00">
      <w:pPr>
        <w:pStyle w:val="27"/>
      </w:pPr>
      <w:r>
        <w:t>多维度合规性智能判断功能整合政策库、规划库、管控单元数据，实现综合研判。产业政策符合性智能研判功能建立产业政策数据库，包括《产业结构调整指导目录》《市场准入负面清单》等，自动判断项目与国家产业政策的符合性。规划符合性自动比对功能建立规划数据库，包括国土空间规划、生态环境保护规划、产业发展规划等，自动比对项目与相关规划的符合性。“三线一单”生态环境分区管控符合性分析功能集成深圳市”三线一单”数据，自动分析项目选址与生态保护红线、环境质量底线、资源利用上线、生态环境准入清单的符合性。碳排放达峰目标符合性评估功能建立碳排放核算方法学库，自动核算项目碳排放量，评估与国家和地方碳达峰目标的符合性。</w:t>
      </w:r>
    </w:p>
    <w:bookmarkEnd w:id="47"/>
    <w:bookmarkEnd w:id="51"/>
    <w:p w14:paraId="6AFDE786">
      <w:pPr>
        <w:pStyle w:val="5"/>
      </w:pPr>
      <w:bookmarkStart w:id="52" w:name="辅助决策支持模块"/>
      <w:r>
        <w:t>3.3 辅助决策支持模块</w:t>
      </w:r>
    </w:p>
    <w:p w14:paraId="0F42A966">
      <w:pPr>
        <w:pStyle w:val="6"/>
      </w:pPr>
      <w:bookmarkStart w:id="53" w:name="智能审核报告生成"/>
      <w:r>
        <w:t>3.3.1 智能审核报告生成</w:t>
      </w:r>
    </w:p>
    <w:p w14:paraId="08438B61">
      <w:pPr>
        <w:pStyle w:val="27"/>
      </w:pPr>
      <w:r>
        <w:t>智能审核报告生成功能基于审核规则引擎的执行结果，自动生成结构化的审核问题清单。问题分类分级功能按照问题性质（格式规范、内容完整性、技术方法、数据一致性、法规符合性等）和严重程度（重大缺陷、较大缺陷、一般问题、建议改进）进行分类。问题定位与原文关联标注功能将每个问题与报告书的具体位置（章节、页码、段落）进行关联，提供原文摘录，便于编制单位快速定位和修改。法规依据自动引用功能为每个问题自动匹配相关的法律法规、标准规范条款，提供权威的审核依据。审核结论建议自动生成功能综合分析审核问题的性质、数量、严重程度，自动生成审核结论建议，如”建议批准”“建议补正后重新报送”“建议不予批准”等。</w:t>
      </w:r>
    </w:p>
    <w:bookmarkEnd w:id="53"/>
    <w:p w14:paraId="1B72AC28">
      <w:pPr>
        <w:pStyle w:val="6"/>
      </w:pPr>
      <w:bookmarkStart w:id="54" w:name="智能修改建议"/>
      <w:r>
        <w:t>3.3.2 智能修改建议</w:t>
      </w:r>
    </w:p>
    <w:p w14:paraId="607CD3A2">
      <w:pPr>
        <w:pStyle w:val="27"/>
      </w:pPr>
      <w:r>
        <w:t>智能修改建议功能基于问题诊断，提供针对性的修复方案。针对detected issues的修复方案推荐功能建立问题-方案知识库，针对常见审核问题，自动推荐修复方案和技术要点。同类项目优秀案例对标推荐功能建立优秀环评报告书案例库，根据项目类型、行业特征、环境要素等，推荐同类优秀案例供编制单位参考学习。标准规范条款智能推送功能根据审核问题的性质，智能推送相关的标准规范条款和技术指南，帮助编制单位准确理解和执行要求。修改后复审核验功能支持编制单位上传修改后的报告书，系统自动进行针对性复核，验证问题是否已整改到位。</w:t>
      </w:r>
    </w:p>
    <w:bookmarkEnd w:id="54"/>
    <w:p w14:paraId="3E3D9E05">
      <w:pPr>
        <w:pStyle w:val="6"/>
      </w:pPr>
      <w:bookmarkStart w:id="55" w:name="审核意见辅助生成"/>
      <w:r>
        <w:t>3.3.3 审核意见辅助生成</w:t>
      </w:r>
    </w:p>
    <w:p w14:paraId="231403B7">
      <w:pPr>
        <w:pStyle w:val="27"/>
      </w:pPr>
      <w:r>
        <w:t>审核意见辅助生成功能面向技术评估人员和审批人员，提供决策支持。技术评估意见框架自动生成功能根据HJ 616-2011附录A的要求，自动生成技术评估报告的框架结构。关键问题摘要与结论提炼功能从审核问题清单中自动提取关键问题，生成问题摘要和评估结论。审批建议智能推荐功能综合分析项目的环境可行性、技术可靠性、措施有效性、风险可控性等因素，智能推荐审批建议，并给出法规依据和理由说明。</w:t>
      </w:r>
    </w:p>
    <w:bookmarkEnd w:id="55"/>
    <w:p w14:paraId="58F1E3C0">
      <w:pPr>
        <w:pStyle w:val="6"/>
      </w:pPr>
      <w:bookmarkStart w:id="56" w:name="知识库与案例支持"/>
      <w:r>
        <w:t>3.3.4 知识库与案例支持</w:t>
      </w:r>
    </w:p>
    <w:p w14:paraId="7CEE0ECD">
      <w:pPr>
        <w:pStyle w:val="27"/>
      </w:pPr>
      <w:r>
        <w:t>知识库与案例支持功能是智能审核系统持续优化的基础。历史审核案例智能检索功能建立审核案例数据库，支持按项目类型、行业特征、环境要素、问题类型等多维度检索。行业典型问题知识图谱功能构建环评审核领域的知识图谱，关联项目特征、环境问题、审核要点、法规依据、解决方案等知识节点。政策法规更新自动推送功能建立政策法规监测机制，自动跟踪环评相关法律法规、标准规范的制修订动态，及时向审核人员和编制单位推送更新信息。审核规则动态优化学习功能建立机器学习机制，根据审核实践反馈，持续优化审核规则和算法模型，提升智能审核的准确性和适应性。</w:t>
      </w:r>
    </w:p>
    <w:bookmarkEnd w:id="52"/>
    <w:bookmarkEnd w:id="56"/>
    <w:p w14:paraId="6FEB85F3">
      <w:pPr>
        <w:pStyle w:val="5"/>
      </w:pPr>
      <w:bookmarkStart w:id="57" w:name="系统集成与数据对接"/>
      <w:r>
        <w:t>3.4 系统集成与数据对接</w:t>
      </w:r>
    </w:p>
    <w:p w14:paraId="4A7C2757">
      <w:pPr>
        <w:pStyle w:val="6"/>
      </w:pPr>
      <w:bookmarkStart w:id="58" w:name="跨平台数据核验"/>
      <w:r>
        <w:t>3.4.1 跨平台数据核验</w:t>
      </w:r>
    </w:p>
    <w:p w14:paraId="594AF53B">
      <w:pPr>
        <w:pStyle w:val="27"/>
      </w:pPr>
      <w:r>
        <w:t>跨平台数据核验是确保审核数据真实性和一致性的关键。生态环境部环评统一申报系统对接实现项目信息、编制单位信息、编制人员信息的实时核验。排污许可数据自动核验功能对接全国排污许可证管理信息平台，核验项目污染物排放数据与排污许可证申请数据的衔接性。环境监测数据实时校验功能对接环境质量监测数据共享平台、污染源监测数据管理平台，实现监测数据的自动核验和异常值识别。信用平台信息实时查询功能与生态环境部环境影响评价信用平台建立实时查询接口，支持编制单位和人员信用状况的动态核验。</w:t>
      </w:r>
    </w:p>
    <w:bookmarkEnd w:id="58"/>
    <w:p w14:paraId="551E8E10">
      <w:pPr>
        <w:pStyle w:val="6"/>
      </w:pPr>
      <w:bookmarkStart w:id="59" w:name="智能审核规则库"/>
      <w:r>
        <w:t>3.4.2 智能审核规则库</w:t>
      </w:r>
    </w:p>
    <w:p w14:paraId="7E714C81">
      <w:pPr>
        <w:pStyle w:val="27"/>
      </w:pPr>
      <w:r>
        <w:t>智能审核规则库是系统审核能力的核心载体。</w:t>
      </w:r>
      <w:r>
        <w:rPr>
          <w:b/>
          <w:bCs/>
        </w:rPr>
        <w:t>逻辑一致性规则库</w:t>
      </w:r>
      <w:r>
        <w:t>涵盖环评文件内部的各类逻辑关系，包括数据计算关系、条件判断关系、时序先后关系等，可设计128项核心规则作为基础框架。</w:t>
      </w:r>
      <w:r>
        <w:rPr>
          <w:b/>
          <w:bCs/>
        </w:rPr>
        <w:t>数据合理性规则库</w:t>
      </w:r>
      <w:r>
        <w:t>建立各类环境参数的阈值范围和异常值检测模型，识别明显偏离合理范围的异常数据。</w:t>
      </w:r>
      <w:r>
        <w:rPr>
          <w:b/>
          <w:bCs/>
        </w:rPr>
        <w:t>法规符合性规则库</w:t>
      </w:r>
      <w:r>
        <w:t>动态更新，及时纳入新发布的法律法规和标准规范要求。</w:t>
      </w:r>
      <w:r>
        <w:rPr>
          <w:b/>
          <w:bCs/>
        </w:rPr>
        <w:t>行业特定规则库</w:t>
      </w:r>
      <w:r>
        <w:t>针对化工、医药、机械等重点行业，建立专项审核规则子库。</w:t>
      </w:r>
    </w:p>
    <w:bookmarkEnd w:id="59"/>
    <w:p w14:paraId="75B61427">
      <w:pPr>
        <w:pStyle w:val="6"/>
      </w:pPr>
      <w:bookmarkStart w:id="60" w:name="人机协同审核机制"/>
      <w:r>
        <w:t>3.4.3 人机协同审核机制</w:t>
      </w:r>
    </w:p>
    <w:p w14:paraId="778FAB9F">
      <w:pPr>
        <w:pStyle w:val="27"/>
      </w:pPr>
      <w:r>
        <w:t>人机协同审核机制是智能审核系统实际应用的组织保障。</w:t>
      </w:r>
      <w:r>
        <w:rPr>
          <w:b/>
          <w:bCs/>
        </w:rPr>
        <w:t>机器预审-人工复核-终审决策流程</w:t>
      </w:r>
      <w:r>
        <w:t>明确智能审核系统的定位：作为技术辅助工具，承担基础性、重复性审核任务，为人工审核提供问题线索和决策参考，最终审核结论仍由人工作出。</w:t>
      </w:r>
      <w:r>
        <w:rPr>
          <w:b/>
          <w:bCs/>
        </w:rPr>
        <w:t>高风险项目自动标记</w:t>
      </w:r>
      <w:r>
        <w:t>功能建立风险评估模型，对涉及重大环境风险、敏感区域、复杂工艺的项目进行自动标记，提示加强人工审核。</w:t>
      </w:r>
      <w:r>
        <w:rPr>
          <w:b/>
          <w:bCs/>
        </w:rPr>
        <w:t>专家经验模型化沉淀</w:t>
      </w:r>
      <w:r>
        <w:t>功能建立专家知识抽取机制，将资深审核专家的经验判断转化为可复用的审核规则和算法模型。</w:t>
      </w:r>
      <w:r>
        <w:rPr>
          <w:b/>
          <w:bCs/>
        </w:rPr>
        <w:t>审核质量反馈闭环优化</w:t>
      </w:r>
      <w:r>
        <w:t>功能建立审核质量评价机制，基于人工复核结果，持续优化智能审核算法和规则库。</w:t>
      </w:r>
    </w:p>
    <w:bookmarkEnd w:id="0"/>
    <w:bookmarkEnd w:id="41"/>
    <w:bookmarkEnd w:id="57"/>
    <w:bookmarkEnd w:id="60"/>
    <w:sectPr>
      <w:headerReference r:id="rId7" w:type="first"/>
      <w:footerReference r:id="rId10" w:type="first"/>
      <w:headerReference r:id="rId5" w:type="default"/>
      <w:footerReference r:id="rId8" w:type="default"/>
      <w:headerReference r:id="rId6" w:type="even"/>
      <w:footerReference r:id="rId9" w:type="even"/>
      <w:footnotePr>
        <w:numRestart w:val="eachSect"/>
      </w:footnotePr>
      <w:pgSz w:w="12240" w:h="15840"/>
      <w:pgMar w:top="1440" w:right="1800" w:bottom="1440" w:left="1800" w:header="720" w:footer="10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Times New Roman (正文 CS 字体)">
    <w:altName w:val="宋体"/>
    <w:panose1 w:val="020B0604020202020204"/>
    <w:charset w:val="86"/>
    <w:family w:val="roman"/>
    <w:pitch w:val="default"/>
    <w:sig w:usb0="00000000" w:usb1="00000000" w:usb2="00000000" w:usb3="00000000" w:csb0="00000000" w:csb1="00000000"/>
  </w:font>
  <w:font w:name="Times New Roman (标题 CS)">
    <w:altName w:val="宋体"/>
    <w:panose1 w:val="020B0604020202020204"/>
    <w:charset w:val="86"/>
    <w:family w:val="roman"/>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351765">
    <w:pPr>
      <w:pStyle w:val="16"/>
      <w:jc w:val="right"/>
      <w:rPr>
        <w:sz w:val="24"/>
        <w:szCs w:val="24"/>
        <w:lang w:eastAsia="zh-CN"/>
      </w:rPr>
    </w:pPr>
    <w:r>
      <w:rPr>
        <w:sz w:val="24"/>
        <w:szCs w:val="24"/>
      </w:rPr>
      <w:t>Kimi.ai</w:t>
    </w:r>
    <w:r>
      <w:rPr>
        <w:rFonts w:hint="eastAsia"/>
        <w:sz w:val="24"/>
        <w:szCs w:val="24"/>
        <w:lang w:eastAsia="zh-CN"/>
      </w:rPr>
      <w:t xml:space="preserve"> 生成</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41403">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087B5">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666F4">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DC649">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B1459">
    <w:pPr>
      <w:pStyle w:val="1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compatSetting w:name="compatibilityMode" w:uri="http://schemas.microsoft.com/office/word" w:val="12"/>
  </w:compat>
  <w:rsids>
    <w:rsidRoot w:val="001C7A67"/>
    <w:rsid w:val="001C7A67"/>
    <w:rsid w:val="00342A87"/>
    <w:rsid w:val="004825C6"/>
    <w:rsid w:val="0051628A"/>
    <w:rsid w:val="005464E3"/>
    <w:rsid w:val="005F6CBF"/>
    <w:rsid w:val="00643110"/>
    <w:rsid w:val="00746C97"/>
    <w:rsid w:val="008708D9"/>
    <w:rsid w:val="00977478"/>
    <w:rsid w:val="00AF517C"/>
    <w:rsid w:val="00BF08D0"/>
    <w:rsid w:val="00CF7597"/>
    <w:rsid w:val="00D90F1F"/>
    <w:rsid w:val="00EC61BB"/>
    <w:rsid w:val="00F71170"/>
    <w:rsid w:val="00FA401C"/>
    <w:rsid w:val="00FD76EA"/>
    <w:rsid w:val="00FE619A"/>
    <w:rsid w:val="4D5876D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Arial" w:hAnsi="Arial" w:eastAsia="宋体" w:cs="Times New Roman (正文 CS 字体)"/>
      <w:sz w:val="24"/>
      <w:szCs w:val="24"/>
      <w:lang w:val="en-US" w:eastAsia="en-US" w:bidi="ar-SA"/>
    </w:rPr>
  </w:style>
  <w:style w:type="paragraph" w:styleId="2">
    <w:name w:val="heading 1"/>
    <w:basedOn w:val="1"/>
    <w:next w:val="3"/>
    <w:link w:val="35"/>
    <w:qFormat/>
    <w:uiPriority w:val="9"/>
    <w:pPr>
      <w:keepNext/>
      <w:keepLines/>
      <w:outlineLvl w:val="0"/>
    </w:pPr>
    <w:rPr>
      <w:rFonts w:eastAsia="黑体" w:cs="Times New Roman (标题 CS)"/>
      <w:sz w:val="30"/>
      <w:szCs w:val="40"/>
    </w:rPr>
  </w:style>
  <w:style w:type="paragraph" w:styleId="4">
    <w:name w:val="heading 2"/>
    <w:basedOn w:val="1"/>
    <w:next w:val="3"/>
    <w:link w:val="36"/>
    <w:semiHidden/>
    <w:unhideWhenUsed/>
    <w:qFormat/>
    <w:uiPriority w:val="9"/>
    <w:pPr>
      <w:keepNext/>
      <w:keepLines/>
      <w:outlineLvl w:val="1"/>
    </w:pPr>
    <w:rPr>
      <w:rFonts w:eastAsia="黑体" w:cs="Times New Roman (标题 CS)"/>
      <w:sz w:val="28"/>
      <w:szCs w:val="32"/>
    </w:rPr>
  </w:style>
  <w:style w:type="paragraph" w:styleId="5">
    <w:name w:val="heading 3"/>
    <w:basedOn w:val="1"/>
    <w:next w:val="3"/>
    <w:link w:val="37"/>
    <w:semiHidden/>
    <w:unhideWhenUsed/>
    <w:qFormat/>
    <w:uiPriority w:val="9"/>
    <w:pPr>
      <w:keepNext/>
      <w:keepLines/>
      <w:outlineLvl w:val="2"/>
    </w:pPr>
    <w:rPr>
      <w:rFonts w:eastAsia="黑体" w:cs="Times New Roman (标题 CS)"/>
      <w:sz w:val="26"/>
      <w:szCs w:val="28"/>
    </w:rPr>
  </w:style>
  <w:style w:type="paragraph" w:styleId="6">
    <w:name w:val="heading 4"/>
    <w:basedOn w:val="5"/>
    <w:next w:val="3"/>
    <w:link w:val="38"/>
    <w:unhideWhenUsed/>
    <w:qFormat/>
    <w:uiPriority w:val="9"/>
    <w:pPr>
      <w:outlineLvl w:val="3"/>
    </w:pPr>
  </w:style>
  <w:style w:type="paragraph" w:styleId="7">
    <w:name w:val="heading 5"/>
    <w:basedOn w:val="6"/>
    <w:next w:val="3"/>
    <w:link w:val="39"/>
    <w:unhideWhenUsed/>
    <w:qFormat/>
    <w:uiPriority w:val="9"/>
    <w:pPr>
      <w:outlineLvl w:val="4"/>
    </w:pPr>
  </w:style>
  <w:style w:type="paragraph" w:styleId="8">
    <w:name w:val="heading 6"/>
    <w:basedOn w:val="7"/>
    <w:next w:val="3"/>
    <w:link w:val="40"/>
    <w:unhideWhenUsed/>
    <w:qFormat/>
    <w:uiPriority w:val="9"/>
    <w:pPr>
      <w:outlineLvl w:val="5"/>
    </w:pPr>
  </w:style>
  <w:style w:type="paragraph" w:styleId="9">
    <w:name w:val="heading 7"/>
    <w:basedOn w:val="8"/>
    <w:next w:val="3"/>
    <w:link w:val="41"/>
    <w:unhideWhenUsed/>
    <w:qFormat/>
    <w:uiPriority w:val="9"/>
    <w:pPr>
      <w:outlineLvl w:val="6"/>
    </w:pPr>
  </w:style>
  <w:style w:type="paragraph" w:styleId="10">
    <w:name w:val="heading 8"/>
    <w:basedOn w:val="9"/>
    <w:next w:val="3"/>
    <w:link w:val="42"/>
    <w:unhideWhenUsed/>
    <w:qFormat/>
    <w:uiPriority w:val="9"/>
    <w:pPr>
      <w:outlineLvl w:val="7"/>
    </w:pPr>
  </w:style>
  <w:style w:type="paragraph" w:styleId="11">
    <w:name w:val="heading 9"/>
    <w:basedOn w:val="10"/>
    <w:next w:val="3"/>
    <w:link w:val="43"/>
    <w:unhideWhenUsed/>
    <w:qFormat/>
    <w:uiPriority w:val="9"/>
    <w:pPr>
      <w:outlineLvl w:val="8"/>
    </w:p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style>
  <w:style w:type="paragraph" w:styleId="12">
    <w:name w:val="caption"/>
    <w:basedOn w:val="1"/>
    <w:link w:val="25"/>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basedOn w:val="15"/>
    <w:next w:val="3"/>
    <w:qFormat/>
    <w:uiPriority w:val="0"/>
    <w:pPr>
      <w:keepNext/>
      <w:keepLines/>
    </w:pPr>
    <w:rPr>
      <w:sz w:val="24"/>
      <w:szCs w:val="24"/>
    </w:rPr>
  </w:style>
  <w:style w:type="paragraph" w:styleId="15">
    <w:name w:val="Title"/>
    <w:basedOn w:val="1"/>
    <w:next w:val="3"/>
    <w:link w:val="29"/>
    <w:qFormat/>
    <w:uiPriority w:val="10"/>
    <w:pPr>
      <w:contextualSpacing/>
      <w:jc w:val="center"/>
    </w:pPr>
    <w:rPr>
      <w:rFonts w:eastAsia="黑体" w:cs="Times New Roman (标题 CS)"/>
      <w:sz w:val="30"/>
      <w:szCs w:val="56"/>
    </w:rPr>
  </w:style>
  <w:style w:type="paragraph" w:styleId="16">
    <w:name w:val="footer"/>
    <w:basedOn w:val="1"/>
    <w:link w:val="58"/>
    <w:qFormat/>
    <w:uiPriority w:val="0"/>
    <w:pPr>
      <w:tabs>
        <w:tab w:val="center" w:pos="4153"/>
        <w:tab w:val="right" w:pos="8306"/>
      </w:tabs>
      <w:snapToGrid w:val="0"/>
      <w:spacing w:line="240" w:lineRule="auto"/>
    </w:pPr>
    <w:rPr>
      <w:sz w:val="18"/>
      <w:szCs w:val="18"/>
    </w:rPr>
  </w:style>
  <w:style w:type="paragraph" w:styleId="17">
    <w:name w:val="header"/>
    <w:basedOn w:val="1"/>
    <w:link w:val="57"/>
    <w:qFormat/>
    <w:uiPriority w:val="0"/>
    <w:pPr>
      <w:tabs>
        <w:tab w:val="center" w:pos="4153"/>
        <w:tab w:val="right" w:pos="8306"/>
      </w:tabs>
      <w:snapToGrid w:val="0"/>
      <w:spacing w:line="240" w:lineRule="auto"/>
      <w:jc w:val="center"/>
    </w:pPr>
    <w:rPr>
      <w:sz w:val="18"/>
      <w:szCs w:val="18"/>
    </w:rPr>
  </w:style>
  <w:style w:type="paragraph" w:styleId="18">
    <w:name w:val="Subtitle"/>
    <w:basedOn w:val="15"/>
    <w:next w:val="3"/>
    <w:link w:val="30"/>
    <w:qFormat/>
    <w:uiPriority w:val="11"/>
    <w:rPr>
      <w:rFonts w:eastAsiaTheme="majorEastAsia" w:cstheme="majorBidi"/>
      <w:spacing w:val="15"/>
      <w:sz w:val="28"/>
      <w:szCs w:val="28"/>
    </w:rPr>
  </w:style>
  <w:style w:type="paragraph" w:styleId="19">
    <w:name w:val="footnote text"/>
    <w:basedOn w:val="1"/>
    <w:unhideWhenUsed/>
    <w:qFormat/>
    <w:uiPriority w:val="9"/>
    <w:rPr>
      <w:sz w:val="18"/>
    </w:rPr>
  </w:style>
  <w:style w:type="table" w:styleId="21">
    <w:name w:val="Table Grid"/>
    <w:basedOn w:val="20"/>
    <w:qFormat/>
    <w:uiPriority w:val="0"/>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FollowedHyperlink"/>
    <w:basedOn w:val="22"/>
    <w:uiPriority w:val="0"/>
    <w:rPr>
      <w:color w:val="800080"/>
      <w:u w:val="single"/>
    </w:rPr>
  </w:style>
  <w:style w:type="character" w:styleId="24">
    <w:name w:val="Hyperlink"/>
    <w:basedOn w:val="25"/>
    <w:qFormat/>
    <w:uiPriority w:val="0"/>
    <w:rPr>
      <w:color w:val="156082" w:themeColor="accent1"/>
    </w:rPr>
  </w:style>
  <w:style w:type="character" w:customStyle="1" w:styleId="25">
    <w:name w:val="题注 字符"/>
    <w:basedOn w:val="22"/>
    <w:link w:val="12"/>
    <w:qFormat/>
    <w:uiPriority w:val="0"/>
  </w:style>
  <w:style w:type="character" w:styleId="26">
    <w:name w:val="footnote reference"/>
    <w:basedOn w:val="25"/>
    <w:qFormat/>
    <w:uiPriority w:val="0"/>
    <w:rPr>
      <w:vertAlign w:val="superscript"/>
    </w:rPr>
  </w:style>
  <w:style w:type="paragraph" w:customStyle="1" w:styleId="27">
    <w:name w:val="First Paragraph"/>
    <w:basedOn w:val="3"/>
    <w:next w:val="3"/>
    <w:qFormat/>
    <w:uiPriority w:val="0"/>
  </w:style>
  <w:style w:type="paragraph" w:customStyle="1" w:styleId="28">
    <w:name w:val="Compact"/>
    <w:basedOn w:val="3"/>
    <w:qFormat/>
    <w:uiPriority w:val="0"/>
    <w:pPr>
      <w:spacing w:before="36" w:after="36"/>
    </w:pPr>
  </w:style>
  <w:style w:type="character" w:customStyle="1" w:styleId="29">
    <w:name w:val="标题 字符"/>
    <w:basedOn w:val="22"/>
    <w:link w:val="15"/>
    <w:qFormat/>
    <w:uiPriority w:val="10"/>
    <w:rPr>
      <w:rFonts w:ascii="Arial" w:hAnsi="Arial" w:eastAsia="黑体" w:cs="Times New Roman (标题 CS)"/>
      <w:sz w:val="30"/>
      <w:szCs w:val="56"/>
    </w:rPr>
  </w:style>
  <w:style w:type="character" w:customStyle="1" w:styleId="30">
    <w:name w:val="副标题 字符"/>
    <w:basedOn w:val="22"/>
    <w:link w:val="18"/>
    <w:qFormat/>
    <w:uiPriority w:val="11"/>
    <w:rPr>
      <w:rFonts w:eastAsiaTheme="majorEastAsia" w:cstheme="majorBidi"/>
      <w:color w:val="585858" w:themeColor="text1" w:themeTint="A6"/>
      <w:spacing w:val="15"/>
      <w:sz w:val="28"/>
      <w:szCs w:val="28"/>
    </w:rPr>
  </w:style>
  <w:style w:type="paragraph" w:customStyle="1" w:styleId="31">
    <w:name w:val="Author"/>
    <w:basedOn w:val="15"/>
    <w:next w:val="3"/>
    <w:qFormat/>
    <w:uiPriority w:val="0"/>
    <w:pPr>
      <w:keepNext/>
      <w:keepLines/>
    </w:pPr>
    <w:rPr>
      <w:sz w:val="24"/>
      <w:szCs w:val="24"/>
    </w:rPr>
  </w:style>
  <w:style w:type="paragraph" w:customStyle="1" w:styleId="32">
    <w:name w:val="Abstract Title"/>
    <w:basedOn w:val="1"/>
    <w:next w:val="33"/>
    <w:qFormat/>
    <w:uiPriority w:val="0"/>
    <w:pPr>
      <w:keepNext/>
      <w:keepLines/>
      <w:spacing w:before="300"/>
      <w:jc w:val="center"/>
    </w:pPr>
    <w:rPr>
      <w:b/>
      <w:sz w:val="20"/>
      <w:szCs w:val="20"/>
    </w:rPr>
  </w:style>
  <w:style w:type="paragraph" w:customStyle="1" w:styleId="33">
    <w:name w:val="Abstract"/>
    <w:basedOn w:val="1"/>
    <w:next w:val="3"/>
    <w:qFormat/>
    <w:uiPriority w:val="0"/>
    <w:pPr>
      <w:keepNext/>
      <w:keepLines/>
      <w:spacing w:before="100" w:after="300"/>
    </w:pPr>
    <w:rPr>
      <w:sz w:val="20"/>
      <w:szCs w:val="20"/>
    </w:rPr>
  </w:style>
  <w:style w:type="paragraph" w:customStyle="1" w:styleId="34">
    <w:name w:val="Bibliography"/>
    <w:basedOn w:val="1"/>
    <w:qFormat/>
    <w:uiPriority w:val="0"/>
  </w:style>
  <w:style w:type="character" w:customStyle="1" w:styleId="35">
    <w:name w:val="标题 1 字符"/>
    <w:basedOn w:val="22"/>
    <w:link w:val="2"/>
    <w:qFormat/>
    <w:uiPriority w:val="9"/>
    <w:rPr>
      <w:rFonts w:ascii="Arial" w:hAnsi="Arial" w:eastAsia="黑体" w:cs="Times New Roman (标题 CS)"/>
      <w:sz w:val="30"/>
      <w:szCs w:val="40"/>
    </w:rPr>
  </w:style>
  <w:style w:type="character" w:customStyle="1" w:styleId="36">
    <w:name w:val="标题 2 字符"/>
    <w:basedOn w:val="22"/>
    <w:link w:val="4"/>
    <w:semiHidden/>
    <w:qFormat/>
    <w:uiPriority w:val="9"/>
    <w:rPr>
      <w:rFonts w:ascii="Arial" w:hAnsi="Arial" w:eastAsia="黑体" w:cs="Times New Roman (标题 CS)"/>
      <w:sz w:val="28"/>
      <w:szCs w:val="32"/>
    </w:rPr>
  </w:style>
  <w:style w:type="character" w:customStyle="1" w:styleId="37">
    <w:name w:val="标题 3 字符"/>
    <w:basedOn w:val="22"/>
    <w:link w:val="5"/>
    <w:semiHidden/>
    <w:qFormat/>
    <w:uiPriority w:val="9"/>
    <w:rPr>
      <w:rFonts w:ascii="Arial" w:hAnsi="Arial" w:eastAsia="黑体" w:cs="Times New Roman (标题 CS)"/>
      <w:sz w:val="26"/>
      <w:szCs w:val="28"/>
    </w:rPr>
  </w:style>
  <w:style w:type="character" w:customStyle="1" w:styleId="38">
    <w:name w:val="标题 4 字符"/>
    <w:basedOn w:val="22"/>
    <w:link w:val="6"/>
    <w:qFormat/>
    <w:uiPriority w:val="9"/>
    <w:rPr>
      <w:rFonts w:ascii="Arial" w:hAnsi="Arial" w:eastAsia="黑体" w:cs="Times New Roman (标题 CS)"/>
      <w:color w:val="0F4761" w:themeColor="accent1" w:themeShade="BF"/>
      <w:sz w:val="26"/>
      <w:szCs w:val="28"/>
    </w:rPr>
  </w:style>
  <w:style w:type="character" w:customStyle="1" w:styleId="39">
    <w:name w:val="标题 5 字符"/>
    <w:basedOn w:val="22"/>
    <w:link w:val="7"/>
    <w:qFormat/>
    <w:uiPriority w:val="9"/>
    <w:rPr>
      <w:rFonts w:ascii="Arial" w:hAnsi="Arial" w:eastAsia="黑体" w:cs="Times New Roman (标题 CS)"/>
      <w:color w:val="0F4761" w:themeColor="accent1" w:themeShade="BF"/>
      <w:sz w:val="26"/>
      <w:szCs w:val="28"/>
    </w:rPr>
  </w:style>
  <w:style w:type="character" w:customStyle="1" w:styleId="40">
    <w:name w:val="标题 6 字符"/>
    <w:basedOn w:val="22"/>
    <w:link w:val="8"/>
    <w:qFormat/>
    <w:uiPriority w:val="9"/>
    <w:rPr>
      <w:rFonts w:ascii="Arial" w:hAnsi="Arial" w:eastAsia="黑体" w:cs="Times New Roman (标题 CS)"/>
      <w:color w:val="0F4761" w:themeColor="accent1" w:themeShade="BF"/>
      <w:sz w:val="26"/>
      <w:szCs w:val="28"/>
    </w:rPr>
  </w:style>
  <w:style w:type="character" w:customStyle="1" w:styleId="41">
    <w:name w:val="标题 7 字符"/>
    <w:basedOn w:val="22"/>
    <w:link w:val="9"/>
    <w:uiPriority w:val="9"/>
    <w:rPr>
      <w:rFonts w:ascii="Arial" w:hAnsi="Arial" w:eastAsia="黑体" w:cs="Times New Roman (标题 CS)"/>
      <w:color w:val="0F4761" w:themeColor="accent1" w:themeShade="BF"/>
      <w:sz w:val="26"/>
      <w:szCs w:val="28"/>
    </w:rPr>
  </w:style>
  <w:style w:type="character" w:customStyle="1" w:styleId="42">
    <w:name w:val="标题 8 字符"/>
    <w:basedOn w:val="22"/>
    <w:link w:val="10"/>
    <w:uiPriority w:val="9"/>
    <w:rPr>
      <w:rFonts w:ascii="Arial" w:hAnsi="Arial" w:eastAsia="黑体" w:cs="Times New Roman (标题 CS)"/>
      <w:color w:val="0F4761" w:themeColor="accent1" w:themeShade="BF"/>
      <w:sz w:val="26"/>
      <w:szCs w:val="28"/>
    </w:rPr>
  </w:style>
  <w:style w:type="character" w:customStyle="1" w:styleId="43">
    <w:name w:val="标题 9 字符"/>
    <w:basedOn w:val="22"/>
    <w:link w:val="11"/>
    <w:qFormat/>
    <w:uiPriority w:val="9"/>
    <w:rPr>
      <w:rFonts w:ascii="Arial" w:hAnsi="Arial" w:eastAsia="黑体" w:cs="Times New Roman (标题 CS)"/>
      <w:color w:val="0F4761" w:themeColor="accent1" w:themeShade="BF"/>
      <w:sz w:val="26"/>
      <w:szCs w:val="28"/>
    </w:rPr>
  </w:style>
  <w:style w:type="paragraph" w:customStyle="1" w:styleId="44">
    <w:name w:val="Footnote Block Text"/>
    <w:basedOn w:val="19"/>
    <w:next w:val="19"/>
    <w:unhideWhenUsed/>
    <w:qFormat/>
    <w:uiPriority w:val="9"/>
    <w:pPr>
      <w:spacing w:before="100" w:after="100"/>
      <w:ind w:left="480" w:right="480"/>
    </w:pPr>
  </w:style>
  <w:style w:type="table" w:customStyle="1" w:styleId="45">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6">
    <w:name w:val="Definition Term"/>
    <w:basedOn w:val="1"/>
    <w:next w:val="47"/>
    <w:uiPriority w:val="0"/>
    <w:pPr>
      <w:keepNext/>
      <w:keepLines/>
    </w:pPr>
    <w:rPr>
      <w:b/>
    </w:rPr>
  </w:style>
  <w:style w:type="paragraph" w:customStyle="1" w:styleId="47">
    <w:name w:val="Definition"/>
    <w:basedOn w:val="1"/>
    <w:qFormat/>
    <w:uiPriority w:val="0"/>
  </w:style>
  <w:style w:type="paragraph" w:customStyle="1" w:styleId="48">
    <w:name w:val="Table Caption"/>
    <w:basedOn w:val="12"/>
    <w:uiPriority w:val="0"/>
    <w:pPr>
      <w:keepNext/>
      <w:spacing w:after="0"/>
      <w:jc w:val="center"/>
    </w:pPr>
    <w:rPr>
      <w:i w:val="0"/>
      <w:sz w:val="20"/>
    </w:rPr>
  </w:style>
  <w:style w:type="paragraph" w:customStyle="1" w:styleId="49">
    <w:name w:val="Image Caption"/>
    <w:basedOn w:val="12"/>
    <w:uiPriority w:val="0"/>
    <w:pPr>
      <w:spacing w:after="0"/>
      <w:jc w:val="center"/>
    </w:pPr>
    <w:rPr>
      <w:i w:val="0"/>
      <w:sz w:val="20"/>
    </w:rPr>
  </w:style>
  <w:style w:type="paragraph" w:customStyle="1" w:styleId="50">
    <w:name w:val="Figure"/>
    <w:basedOn w:val="1"/>
    <w:uiPriority w:val="0"/>
  </w:style>
  <w:style w:type="paragraph" w:customStyle="1" w:styleId="51">
    <w:name w:val="Captioned Figure"/>
    <w:basedOn w:val="50"/>
    <w:uiPriority w:val="0"/>
    <w:pPr>
      <w:keepNext/>
    </w:pPr>
  </w:style>
  <w:style w:type="character" w:customStyle="1" w:styleId="52">
    <w:name w:val="Verbatim Char"/>
    <w:basedOn w:val="25"/>
    <w:link w:val="53"/>
    <w:qFormat/>
    <w:uiPriority w:val="0"/>
    <w:rPr>
      <w:rFonts w:ascii="Consolas" w:hAnsi="Consolas"/>
      <w:sz w:val="22"/>
    </w:rPr>
  </w:style>
  <w:style w:type="paragraph" w:customStyle="1" w:styleId="53">
    <w:name w:val="Source Code"/>
    <w:link w:val="52"/>
    <w:qFormat/>
    <w:uiPriority w:val="0"/>
    <w:pPr>
      <w:wordWrap w:val="0"/>
      <w:spacing w:after="200"/>
    </w:pPr>
    <w:rPr>
      <w:rFonts w:asciiTheme="minorHAnsi" w:hAnsiTheme="minorHAnsi" w:eastAsiaTheme="minorEastAsia" w:cstheme="minorBidi"/>
      <w:sz w:val="24"/>
      <w:szCs w:val="24"/>
      <w:lang w:val="en-US" w:eastAsia="en-US" w:bidi="ar-SA"/>
    </w:rPr>
  </w:style>
  <w:style w:type="character" w:customStyle="1" w:styleId="54">
    <w:name w:val="Section Number"/>
    <w:basedOn w:val="25"/>
    <w:qFormat/>
    <w:uiPriority w:val="0"/>
  </w:style>
  <w:style w:type="paragraph" w:customStyle="1" w:styleId="55">
    <w:name w:val="TOC Heading"/>
    <w:basedOn w:val="2"/>
    <w:next w:val="3"/>
    <w:unhideWhenUsed/>
    <w:qFormat/>
    <w:uiPriority w:val="39"/>
    <w:pPr>
      <w:spacing w:before="240" w:line="259" w:lineRule="auto"/>
      <w:outlineLvl w:val="9"/>
    </w:pPr>
    <w:rPr>
      <w:rFonts w:asciiTheme="majorHAnsi" w:hAnsiTheme="majorHAnsi" w:eastAsiaTheme="majorEastAsia" w:cstheme="majorBidi"/>
    </w:rPr>
  </w:style>
  <w:style w:type="paragraph" w:styleId="56">
    <w:name w:val="List Paragraph"/>
    <w:basedOn w:val="3"/>
    <w:qFormat/>
    <w:uiPriority w:val="0"/>
    <w:pPr>
      <w:ind w:firstLine="420" w:firstLineChars="200"/>
    </w:pPr>
  </w:style>
  <w:style w:type="character" w:customStyle="1" w:styleId="57">
    <w:name w:val="页眉 字符"/>
    <w:basedOn w:val="22"/>
    <w:link w:val="17"/>
    <w:qFormat/>
    <w:uiPriority w:val="0"/>
    <w:rPr>
      <w:rFonts w:ascii="Arial" w:hAnsi="Arial" w:eastAsia="宋体" w:cs="Times New Roman (正文 CS 字体)"/>
      <w:sz w:val="18"/>
      <w:szCs w:val="18"/>
    </w:rPr>
  </w:style>
  <w:style w:type="character" w:customStyle="1" w:styleId="58">
    <w:name w:val="页脚 字符"/>
    <w:basedOn w:val="22"/>
    <w:link w:val="16"/>
    <w:qFormat/>
    <w:uiPriority w:val="0"/>
    <w:rPr>
      <w:rFonts w:ascii="Arial" w:hAnsi="Arial" w:eastAsia="宋体" w:cs="Times New Roman (正文 CS 字体)"/>
      <w:sz w:val="18"/>
      <w:szCs w:val="18"/>
    </w:rPr>
  </w:style>
  <w:style w:type="character" w:customStyle="1" w:styleId="59">
    <w:name w:val="KeywordTok"/>
    <w:basedOn w:val="52"/>
    <w:qFormat/>
    <w:uiPriority w:val="0"/>
    <w:rPr>
      <w:b/>
      <w:color w:val="007020"/>
    </w:rPr>
  </w:style>
  <w:style w:type="character" w:customStyle="1" w:styleId="60">
    <w:name w:val="DataTypeTok"/>
    <w:basedOn w:val="52"/>
    <w:qFormat/>
    <w:uiPriority w:val="0"/>
    <w:rPr>
      <w:color w:val="902000"/>
    </w:rPr>
  </w:style>
  <w:style w:type="character" w:customStyle="1" w:styleId="61">
    <w:name w:val="DecValTok"/>
    <w:basedOn w:val="52"/>
    <w:qFormat/>
    <w:uiPriority w:val="0"/>
    <w:rPr>
      <w:color w:val="40A070"/>
    </w:rPr>
  </w:style>
  <w:style w:type="character" w:customStyle="1" w:styleId="62">
    <w:name w:val="BaseNTok"/>
    <w:basedOn w:val="52"/>
    <w:qFormat/>
    <w:uiPriority w:val="0"/>
    <w:rPr>
      <w:color w:val="40A070"/>
    </w:rPr>
  </w:style>
  <w:style w:type="character" w:customStyle="1" w:styleId="63">
    <w:name w:val="FloatTok"/>
    <w:basedOn w:val="52"/>
    <w:qFormat/>
    <w:uiPriority w:val="0"/>
    <w:rPr>
      <w:color w:val="40A070"/>
    </w:rPr>
  </w:style>
  <w:style w:type="character" w:customStyle="1" w:styleId="64">
    <w:name w:val="ConstantTok"/>
    <w:basedOn w:val="52"/>
    <w:qFormat/>
    <w:uiPriority w:val="0"/>
    <w:rPr>
      <w:color w:val="880000"/>
    </w:rPr>
  </w:style>
  <w:style w:type="character" w:customStyle="1" w:styleId="65">
    <w:name w:val="CharTok"/>
    <w:basedOn w:val="52"/>
    <w:qFormat/>
    <w:uiPriority w:val="0"/>
    <w:rPr>
      <w:color w:val="4070A0"/>
    </w:rPr>
  </w:style>
  <w:style w:type="character" w:customStyle="1" w:styleId="66">
    <w:name w:val="SpecialCharTok"/>
    <w:basedOn w:val="52"/>
    <w:qFormat/>
    <w:uiPriority w:val="0"/>
    <w:rPr>
      <w:color w:val="4070A0"/>
    </w:rPr>
  </w:style>
  <w:style w:type="character" w:customStyle="1" w:styleId="67">
    <w:name w:val="StringTok"/>
    <w:basedOn w:val="52"/>
    <w:qFormat/>
    <w:uiPriority w:val="0"/>
    <w:rPr>
      <w:color w:val="4070A0"/>
    </w:rPr>
  </w:style>
  <w:style w:type="character" w:customStyle="1" w:styleId="68">
    <w:name w:val="VerbatimStringTok"/>
    <w:basedOn w:val="52"/>
    <w:qFormat/>
    <w:uiPriority w:val="0"/>
    <w:rPr>
      <w:color w:val="4070A0"/>
    </w:rPr>
  </w:style>
  <w:style w:type="character" w:customStyle="1" w:styleId="69">
    <w:name w:val="SpecialStringTok"/>
    <w:basedOn w:val="52"/>
    <w:qFormat/>
    <w:uiPriority w:val="0"/>
    <w:rPr>
      <w:color w:val="BB6688"/>
    </w:rPr>
  </w:style>
  <w:style w:type="character" w:customStyle="1" w:styleId="70">
    <w:name w:val="ImportTok"/>
    <w:basedOn w:val="52"/>
    <w:qFormat/>
    <w:uiPriority w:val="0"/>
    <w:rPr>
      <w:b/>
      <w:color w:val="008000"/>
    </w:rPr>
  </w:style>
  <w:style w:type="character" w:customStyle="1" w:styleId="71">
    <w:name w:val="CommentTok"/>
    <w:basedOn w:val="52"/>
    <w:qFormat/>
    <w:uiPriority w:val="0"/>
    <w:rPr>
      <w:i/>
      <w:color w:val="60A0B0"/>
    </w:rPr>
  </w:style>
  <w:style w:type="character" w:customStyle="1" w:styleId="72">
    <w:name w:val="DocumentationTok"/>
    <w:basedOn w:val="52"/>
    <w:qFormat/>
    <w:uiPriority w:val="0"/>
    <w:rPr>
      <w:i/>
      <w:color w:val="BA2121"/>
    </w:rPr>
  </w:style>
  <w:style w:type="character" w:customStyle="1" w:styleId="73">
    <w:name w:val="AnnotationTok"/>
    <w:basedOn w:val="52"/>
    <w:qFormat/>
    <w:uiPriority w:val="0"/>
    <w:rPr>
      <w:b/>
      <w:i/>
      <w:color w:val="60A0B0"/>
    </w:rPr>
  </w:style>
  <w:style w:type="character" w:customStyle="1" w:styleId="74">
    <w:name w:val="CommentVarTok"/>
    <w:basedOn w:val="52"/>
    <w:qFormat/>
    <w:uiPriority w:val="0"/>
    <w:rPr>
      <w:b/>
      <w:i/>
      <w:color w:val="60A0B0"/>
    </w:rPr>
  </w:style>
  <w:style w:type="character" w:customStyle="1" w:styleId="75">
    <w:name w:val="OtherTok"/>
    <w:basedOn w:val="52"/>
    <w:qFormat/>
    <w:uiPriority w:val="0"/>
    <w:rPr>
      <w:color w:val="007020"/>
    </w:rPr>
  </w:style>
  <w:style w:type="character" w:customStyle="1" w:styleId="76">
    <w:name w:val="FunctionTok"/>
    <w:basedOn w:val="52"/>
    <w:qFormat/>
    <w:uiPriority w:val="0"/>
    <w:rPr>
      <w:color w:val="06287E"/>
    </w:rPr>
  </w:style>
  <w:style w:type="character" w:customStyle="1" w:styleId="77">
    <w:name w:val="VariableTok"/>
    <w:basedOn w:val="52"/>
    <w:qFormat/>
    <w:uiPriority w:val="0"/>
    <w:rPr>
      <w:color w:val="19177C"/>
    </w:rPr>
  </w:style>
  <w:style w:type="character" w:customStyle="1" w:styleId="78">
    <w:name w:val="ControlFlowTok"/>
    <w:basedOn w:val="52"/>
    <w:qFormat/>
    <w:uiPriority w:val="0"/>
    <w:rPr>
      <w:b/>
      <w:color w:val="007020"/>
    </w:rPr>
  </w:style>
  <w:style w:type="character" w:customStyle="1" w:styleId="79">
    <w:name w:val="OperatorTok"/>
    <w:basedOn w:val="52"/>
    <w:qFormat/>
    <w:uiPriority w:val="0"/>
    <w:rPr>
      <w:color w:val="666666"/>
    </w:rPr>
  </w:style>
  <w:style w:type="character" w:customStyle="1" w:styleId="80">
    <w:name w:val="BuiltInTok"/>
    <w:basedOn w:val="52"/>
    <w:qFormat/>
    <w:uiPriority w:val="0"/>
    <w:rPr>
      <w:color w:val="008000"/>
    </w:rPr>
  </w:style>
  <w:style w:type="character" w:customStyle="1" w:styleId="81">
    <w:name w:val="ExtensionTok"/>
    <w:basedOn w:val="52"/>
    <w:qFormat/>
    <w:uiPriority w:val="0"/>
  </w:style>
  <w:style w:type="character" w:customStyle="1" w:styleId="82">
    <w:name w:val="PreprocessorTok"/>
    <w:basedOn w:val="52"/>
    <w:qFormat/>
    <w:uiPriority w:val="0"/>
    <w:rPr>
      <w:color w:val="BC7A00"/>
    </w:rPr>
  </w:style>
  <w:style w:type="character" w:customStyle="1" w:styleId="83">
    <w:name w:val="AttributeTok"/>
    <w:basedOn w:val="52"/>
    <w:qFormat/>
    <w:uiPriority w:val="0"/>
    <w:rPr>
      <w:color w:val="7D9029"/>
    </w:rPr>
  </w:style>
  <w:style w:type="character" w:customStyle="1" w:styleId="84">
    <w:name w:val="RegionMarkerTok"/>
    <w:basedOn w:val="52"/>
    <w:qFormat/>
    <w:uiPriority w:val="0"/>
  </w:style>
  <w:style w:type="character" w:customStyle="1" w:styleId="85">
    <w:name w:val="InformationTok"/>
    <w:basedOn w:val="52"/>
    <w:qFormat/>
    <w:uiPriority w:val="0"/>
    <w:rPr>
      <w:b/>
      <w:i/>
      <w:color w:val="60A0B0"/>
    </w:rPr>
  </w:style>
  <w:style w:type="character" w:customStyle="1" w:styleId="86">
    <w:name w:val="WarningTok"/>
    <w:basedOn w:val="52"/>
    <w:qFormat/>
    <w:uiPriority w:val="0"/>
    <w:rPr>
      <w:b/>
      <w:i/>
      <w:color w:val="60A0B0"/>
    </w:rPr>
  </w:style>
  <w:style w:type="character" w:customStyle="1" w:styleId="87">
    <w:name w:val="AlertTok"/>
    <w:basedOn w:val="52"/>
    <w:qFormat/>
    <w:uiPriority w:val="0"/>
    <w:rPr>
      <w:b/>
      <w:color w:val="FF0000"/>
    </w:rPr>
  </w:style>
  <w:style w:type="character" w:customStyle="1" w:styleId="88">
    <w:name w:val="ErrorTok"/>
    <w:basedOn w:val="52"/>
    <w:qFormat/>
    <w:uiPriority w:val="0"/>
    <w:rPr>
      <w:b/>
      <w:color w:val="FF0000"/>
    </w:rPr>
  </w:style>
  <w:style w:type="character" w:customStyle="1" w:styleId="89">
    <w:name w:val="NormalTok"/>
    <w:basedOn w:val="52"/>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932</Words>
  <Characters>1022</Characters>
  <Lines>3</Lines>
  <Paragraphs>1</Paragraphs>
  <TotalTime>34</TotalTime>
  <ScaleCrop>false</ScaleCrop>
  <LinksUpToDate>false</LinksUpToDate>
  <CharactersWithSpaces>1041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2026-04-12T02:45:00Z</dcterms:created>
  <dc:creator>王恒俭</dc:creator>
  <cp:lastModifiedBy>王恒俭</cp:lastModifiedBy>
  <dcterms:modified xsi:type="dcterms:W3CDTF">2026-04-12T02:52:18Z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d7f29c-4272-80af-8000-098faceddd3c-20260412024532","ReservedCode1":"","ContentPropagator":"001191110108MACG2KBH8F20000","PropagateID":"anonymous-19d7f29c-4272-80af-8000-098faceddd3c-20260412024532","ReservedCode2":""}</vt:lpwstr>
  </property>
  <property fmtid="{D5CDD505-2E9C-101B-9397-08002B2CF9AE}" pid="3" name="KSOTemplateDocerSaveRecord">
    <vt:lpwstr>eyJoZGlkIjoiMzEwNTM5NzYwMDRjMzkwZTVkZjY2ODkwMGIxNGU0OTUiLCJ1c2VySWQiOiIyNjkwODc3NzAifQ==</vt:lpwstr>
  </property>
  <property fmtid="{D5CDD505-2E9C-101B-9397-08002B2CF9AE}" pid="4" name="KSOProductBuildVer">
    <vt:lpwstr>2052-12.1.0.25225</vt:lpwstr>
  </property>
  <property fmtid="{D5CDD505-2E9C-101B-9397-08002B2CF9AE}" pid="5" name="ICV">
    <vt:lpwstr>397F6966A5964935A801D80A95E86C39_12</vt:lpwstr>
  </property>
</Properties>
</file>