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140D0">
      <w:pPr>
        <w:pStyle w:val="164"/>
      </w:pPr>
      <w:r>
        <w:t>人机协同：AI赋能通用技术创新设计教学的实践探索</w:t>
      </w:r>
    </w:p>
    <w:p w14:paraId="3497007D">
      <w:pPr>
        <w:pStyle w:val="164"/>
        <w:rPr>
          <w:rFonts w:hint="default" w:ascii="宋体" w:hAnsi="宋体" w:eastAsia="宋体" w:cstheme="minorBidi"/>
          <w:b w:val="0"/>
          <w:sz w:val="24"/>
          <w:szCs w:val="22"/>
          <w:lang w:val="en-US" w:eastAsia="zh-CN" w:bidi="ar-SA"/>
        </w:rPr>
      </w:pPr>
      <w:bookmarkStart w:id="0" w:name="_GoBack"/>
      <w:bookmarkEnd w:id="0"/>
      <w:r>
        <w:rPr>
          <w:rFonts w:hint="eastAsia" w:ascii="宋体" w:hAnsi="宋体" w:eastAsia="宋体" w:cstheme="minorBidi"/>
          <w:b w:val="0"/>
          <w:sz w:val="24"/>
          <w:szCs w:val="22"/>
          <w:lang w:val="en-US" w:eastAsia="zh-CN" w:bidi="ar-SA"/>
        </w:rPr>
        <w:t>江苏省东台中学 王华军</w:t>
      </w:r>
    </w:p>
    <w:p w14:paraId="69C6959A">
      <w:pPr>
        <w:pStyle w:val="168"/>
      </w:pPr>
      <w:r>
        <w:t>摘要</w:t>
      </w:r>
    </w:p>
    <w:p w14:paraId="2CE3F339">
      <w:pPr>
        <w:pStyle w:val="169"/>
      </w:pPr>
      <w:r>
        <w:t>本文基于两节真实通用技术课堂的对比研究，探索人工智能（AI）在创新设计教学中的赋能作用与实践路径。研究发现，传统形态分析法教学存在"维度缺失"与"选项单一"的困境，学生方案生成能力受限。引入AI后，通过"猜、找、组、评"四步闭环，学生的设计方案从36种激增至3125种，实现"组合爆炸"。然而，AI应用也带来"幻觉"现象和"思维拐杖"风险。基于此，本文提出"IDEATE"人机协同教学框架，明确人类负责愿景与决策、AI负责扩展与效率的角色分工，并将工程思维中的"迭代"理念融入教学，为AI时代创新设计教育提供理论框架与实践范例。</w:t>
      </w:r>
    </w:p>
    <w:p w14:paraId="577A31D4">
      <w:pPr>
        <w:pStyle w:val="170"/>
      </w:pPr>
      <w:r>
        <w:rPr>
          <w:b/>
          <w:bCs/>
        </w:rPr>
        <w:t>关键词</w:t>
      </w:r>
      <w:r>
        <w:t>: 人工智能；形态分析法；人机协同；通用技术；教学创新</w:t>
      </w:r>
    </w:p>
    <w:p w14:paraId="0FB8CA5A">
      <w:pPr>
        <w:pStyle w:val="165"/>
      </w:pPr>
      <w:r>
        <w:t>一、引言</w:t>
      </w:r>
    </w:p>
    <w:p w14:paraId="54DA15F1">
      <w:pPr>
        <w:pStyle w:val="167"/>
      </w:pPr>
      <w:r>
        <w:t>人工智能（AI）技术的快速发展正深刻改变教育生态。清华大学自2023年秋季学期起，已有超过200门课程开展AI赋能教学实践，标志着AI从辅助工具向教学伙伴的转变[1]。在通用技术等强调创新实践的课程中，如何有效利用AI、实现"人机协同"，成为当前教育研究的核心议题[2]。</w:t>
      </w:r>
    </w:p>
    <w:p w14:paraId="27633BE3">
      <w:pPr>
        <w:pStyle w:val="167"/>
      </w:pPr>
      <w:r>
        <w:t>形态分析法（Morphological Analysis）由瑞士天文学家弗里茨·兹维基（Fritz Zwicky）于20世纪30年代提出，通过"猜（分解维度）-找（寻找选项）-组（组合方案）"的系统方法探索设计可能性[3]。然而，传统课堂教学中，学生常因认知局限和思维惯性，难以充分发挥该方法的"组合爆炸"优势。本研究通过对比传统教学与AI赋能教学的真实案例，探索构建一种人机协同的创新设计教学新模式。</w:t>
      </w:r>
    </w:p>
    <w:p w14:paraId="05DD419A">
      <w:pPr>
        <w:pStyle w:val="165"/>
      </w:pPr>
      <w:r>
        <w:t>二、传统教学的困境：以形态分析法为例</w:t>
      </w:r>
    </w:p>
    <w:p w14:paraId="7074C20F">
      <w:pPr>
        <w:pStyle w:val="166"/>
      </w:pPr>
      <w:r>
        <w:t>2.1 教学实践观察</w:t>
      </w:r>
    </w:p>
    <w:p w14:paraId="4A44B2FE">
      <w:pPr>
        <w:pStyle w:val="167"/>
      </w:pPr>
      <w:r>
        <w:t>在第一节"笔筒设计"课中，教师将形态分析法提炼为"猜、找、组"三字口诀。学生通过小组讨论确定了材料、造型、功能、尺寸、颜色五个维度。然而，在"找选项"环节，学生提出的选项高度集中于基础概念：颜色仅限于"透明色"、"深色系"、"蓝色"等纯色，材料局限于"塑料、木头、金属"，造型仅有"圆形、方形、六边形"。</w:t>
      </w:r>
    </w:p>
    <w:p w14:paraId="1AE498DB">
      <w:pPr>
        <w:pStyle w:val="166"/>
      </w:pPr>
      <w:r>
        <w:t>2.2 核心困境分析</w:t>
      </w:r>
    </w:p>
    <w:p w14:paraId="654EE0C3">
      <w:pPr>
        <w:pStyle w:val="167"/>
      </w:pPr>
      <w:r>
        <w:t>这种现象反映了两个深层问题：一是思维的线性与收敛。学生缺乏外部刺激和知识储备，倾向于选择最安全、最常见的选项，发散思维难以真正"发散"。二是系统性方法的降维。当每个维度选项寥寥数个时，组合总数锐减，形态分析法的"指数级"创新优势被降维为"加法式"拼凑。</w:t>
      </w:r>
    </w:p>
    <w:p w14:paraId="278F4829">
      <w:pPr>
        <w:pStyle w:val="167"/>
      </w:pPr>
      <w:r>
        <w:t>如表1所示，传统模式下学生能产生的有效方案不足两位数，与创新设计追求的"跳出思维定式"目标相去甚远。</w:t>
      </w:r>
    </w:p>
    <w:p w14:paraId="4D10D9AC">
      <w:pPr>
        <w:pStyle w:val="172"/>
      </w:pPr>
      <w:r>
        <w:t>表1：传统教学模式下的方案生成能力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077"/>
        <w:gridCol w:w="2077"/>
        <w:gridCol w:w="2077"/>
      </w:tblGrid>
      <w:tr w14:paraId="34071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2077" w:type="dxa"/>
          </w:tcPr>
          <w:p w14:paraId="073D35A6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设计维度</w:t>
            </w:r>
          </w:p>
        </w:tc>
        <w:tc>
          <w:tcPr>
            <w:tcW w:w="2077" w:type="dxa"/>
          </w:tcPr>
          <w:p w14:paraId="2DC985D2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学生提出的选项</w:t>
            </w:r>
          </w:p>
        </w:tc>
        <w:tc>
          <w:tcPr>
            <w:tcW w:w="2077" w:type="dxa"/>
          </w:tcPr>
          <w:p w14:paraId="1B8654E0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选项数</w:t>
            </w:r>
          </w:p>
        </w:tc>
        <w:tc>
          <w:tcPr>
            <w:tcW w:w="2077" w:type="dxa"/>
          </w:tcPr>
          <w:p w14:paraId="18B31896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总方案数</w:t>
            </w:r>
          </w:p>
        </w:tc>
      </w:tr>
      <w:tr w14:paraId="2EA98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077" w:type="dxa"/>
          </w:tcPr>
          <w:p w14:paraId="153EA14C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材料</w:t>
            </w:r>
          </w:p>
        </w:tc>
        <w:tc>
          <w:tcPr>
            <w:tcW w:w="2077" w:type="dxa"/>
          </w:tcPr>
          <w:p w14:paraId="600C01E4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塑料、木头、金属</w:t>
            </w:r>
          </w:p>
        </w:tc>
        <w:tc>
          <w:tcPr>
            <w:tcW w:w="2077" w:type="dxa"/>
          </w:tcPr>
          <w:p w14:paraId="2C2C7CB8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077" w:type="dxa"/>
          </w:tcPr>
          <w:p w14:paraId="1D6A536A">
            <w:pPr>
              <w:pStyle w:val="173"/>
              <w:spacing w:after="0"/>
              <w:rPr>
                <w:sz w:val="21"/>
                <w:szCs w:val="21"/>
              </w:rPr>
            </w:pPr>
          </w:p>
        </w:tc>
      </w:tr>
      <w:tr w14:paraId="0932D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6E5718E9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造型</w:t>
            </w:r>
          </w:p>
        </w:tc>
        <w:tc>
          <w:tcPr>
            <w:tcW w:w="2077" w:type="dxa"/>
          </w:tcPr>
          <w:p w14:paraId="187AC564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圆形、方形、六边形</w:t>
            </w:r>
          </w:p>
        </w:tc>
        <w:tc>
          <w:tcPr>
            <w:tcW w:w="2077" w:type="dxa"/>
          </w:tcPr>
          <w:p w14:paraId="7007A508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077" w:type="dxa"/>
          </w:tcPr>
          <w:p w14:paraId="7A5EFD3A">
            <w:pPr>
              <w:pStyle w:val="173"/>
              <w:spacing w:after="0"/>
              <w:rPr>
                <w:sz w:val="21"/>
                <w:szCs w:val="21"/>
              </w:rPr>
            </w:pPr>
          </w:p>
        </w:tc>
      </w:tr>
      <w:tr w14:paraId="36EFC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63E1E597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颜色</w:t>
            </w:r>
          </w:p>
        </w:tc>
        <w:tc>
          <w:tcPr>
            <w:tcW w:w="2077" w:type="dxa"/>
          </w:tcPr>
          <w:p w14:paraId="7D438187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黑色、白色、蓝色、透明</w:t>
            </w:r>
          </w:p>
        </w:tc>
        <w:tc>
          <w:tcPr>
            <w:tcW w:w="2077" w:type="dxa"/>
          </w:tcPr>
          <w:p w14:paraId="3A6AB214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077" w:type="dxa"/>
          </w:tcPr>
          <w:p w14:paraId="6B548AFB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</w:t>
            </w:r>
          </w:p>
        </w:tc>
      </w:tr>
    </w:tbl>
    <w:p w14:paraId="062377FF">
      <w:pPr>
        <w:pStyle w:val="165"/>
      </w:pPr>
      <w:r>
        <w:t>三、AI的赋能：重塑创新设计流程</w:t>
      </w:r>
    </w:p>
    <w:p w14:paraId="01BAA556">
      <w:pPr>
        <w:pStyle w:val="166"/>
      </w:pPr>
      <w:r>
        <w:t>3.1 维度与选项的升维</w:t>
      </w:r>
    </w:p>
    <w:p w14:paraId="478A4826">
      <w:pPr>
        <w:pStyle w:val="167"/>
      </w:pPr>
      <w:r>
        <w:t>在第二节"桌面挂钩设计"课中，学生借助AI（豆包大模型）完成形态分析全流程。在"猜维度"环节，学生提出连接方式、钩子功能、承重能力、造型、材料等维度后，AI迅速补充了安装方式和尺寸两个被忽略的关键维度，将思考从产品本身扩展至"产品-用户-环境"系统。</w:t>
      </w:r>
    </w:p>
    <w:p w14:paraId="0A83805E">
      <w:pPr>
        <w:pStyle w:val="167"/>
      </w:pPr>
      <w:r>
        <w:t>在"找选项"环节，AI不仅生成具体方案（如"卡通人物"、"小爪子"），更提供思考框架，启发学生从"几何形状"、"自然元素"、"抽象线条"等更高维度构思。这种从"想一个"到"想一类"的思维跃迁，是传统教学难以高效实现的。</w:t>
      </w:r>
    </w:p>
    <w:p w14:paraId="3A58E382">
      <w:pPr>
        <w:pStyle w:val="166"/>
      </w:pPr>
      <w:r>
        <w:t>3.2 组合爆炸与可视化</w:t>
      </w:r>
    </w:p>
    <w:p w14:paraId="7983BBA4">
      <w:pPr>
        <w:pStyle w:val="167"/>
      </w:pPr>
      <w:r>
        <w:t>AI的赋能在"组合"环节体现得淋漓尽致。假设5个维度各有5个选项，理论方案数达5^5 = 3125种。即使筛选后，有效方案仍可达数百个，实现从几十到几千的量级跃升。</w:t>
      </w:r>
    </w:p>
    <w:p w14:paraId="2444784B">
      <w:pPr>
        <w:pStyle w:val="172"/>
      </w:pPr>
      <w:r>
        <w:t>表2：AI赋能模式下的方案生成能力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077"/>
        <w:gridCol w:w="2077"/>
        <w:gridCol w:w="2077"/>
      </w:tblGrid>
      <w:tr w14:paraId="492A3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7C5C6892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设计维度</w:t>
            </w:r>
          </w:p>
        </w:tc>
        <w:tc>
          <w:tcPr>
            <w:tcW w:w="2077" w:type="dxa"/>
          </w:tcPr>
          <w:p w14:paraId="10267A77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AI辅助下的选项示例</w:t>
            </w:r>
          </w:p>
        </w:tc>
        <w:tc>
          <w:tcPr>
            <w:tcW w:w="2077" w:type="dxa"/>
          </w:tcPr>
          <w:p w14:paraId="3A593267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选项数</w:t>
            </w:r>
          </w:p>
        </w:tc>
        <w:tc>
          <w:tcPr>
            <w:tcW w:w="2077" w:type="dxa"/>
          </w:tcPr>
          <w:p w14:paraId="1C0A142E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总方案数</w:t>
            </w:r>
          </w:p>
        </w:tc>
      </w:tr>
      <w:tr w14:paraId="4DBEF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77" w:type="dxa"/>
          </w:tcPr>
          <w:p w14:paraId="1B5E017A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连接方式</w:t>
            </w:r>
          </w:p>
        </w:tc>
        <w:tc>
          <w:tcPr>
            <w:tcW w:w="2077" w:type="dxa"/>
          </w:tcPr>
          <w:p w14:paraId="1A164CF9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卡扣、螺丝、强力胶、磁吸、挂绳</w:t>
            </w:r>
          </w:p>
        </w:tc>
        <w:tc>
          <w:tcPr>
            <w:tcW w:w="2077" w:type="dxa"/>
          </w:tcPr>
          <w:p w14:paraId="1D81A626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077" w:type="dxa"/>
          </w:tcPr>
          <w:p w14:paraId="5CAB205C">
            <w:pPr>
              <w:pStyle w:val="173"/>
              <w:spacing w:after="0"/>
              <w:rPr>
                <w:sz w:val="21"/>
                <w:szCs w:val="21"/>
              </w:rPr>
            </w:pPr>
          </w:p>
        </w:tc>
      </w:tr>
      <w:tr w14:paraId="07C1B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7B6731E0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材料</w:t>
            </w:r>
          </w:p>
        </w:tc>
        <w:tc>
          <w:tcPr>
            <w:tcW w:w="2077" w:type="dxa"/>
          </w:tcPr>
          <w:p w14:paraId="2A79CC05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再生塑料、金属镀金、竹木、硅胶、陶瓷</w:t>
            </w:r>
          </w:p>
        </w:tc>
        <w:tc>
          <w:tcPr>
            <w:tcW w:w="2077" w:type="dxa"/>
          </w:tcPr>
          <w:p w14:paraId="0AE44346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077" w:type="dxa"/>
          </w:tcPr>
          <w:p w14:paraId="76201F18">
            <w:pPr>
              <w:pStyle w:val="173"/>
              <w:spacing w:after="0"/>
              <w:rPr>
                <w:sz w:val="21"/>
                <w:szCs w:val="21"/>
              </w:rPr>
            </w:pPr>
          </w:p>
        </w:tc>
      </w:tr>
      <w:tr w14:paraId="5C2F0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26B6E66A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造型</w:t>
            </w:r>
          </w:p>
        </w:tc>
        <w:tc>
          <w:tcPr>
            <w:tcW w:w="2077" w:type="dxa"/>
          </w:tcPr>
          <w:p w14:paraId="492C951A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极简几何、动物形态、卡通IP、仿生植物、赛博朋克</w:t>
            </w:r>
          </w:p>
        </w:tc>
        <w:tc>
          <w:tcPr>
            <w:tcW w:w="2077" w:type="dxa"/>
          </w:tcPr>
          <w:p w14:paraId="35C181CA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077" w:type="dxa"/>
          </w:tcPr>
          <w:p w14:paraId="62D9ACD3">
            <w:pPr>
              <w:pStyle w:val="173"/>
              <w:spacing w:after="0"/>
              <w:rPr>
                <w:sz w:val="21"/>
                <w:szCs w:val="21"/>
              </w:rPr>
            </w:pPr>
          </w:p>
        </w:tc>
      </w:tr>
      <w:tr w14:paraId="7EFBD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64A21F46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功能</w:t>
            </w:r>
          </w:p>
        </w:tc>
        <w:tc>
          <w:tcPr>
            <w:tcW w:w="2077" w:type="dxa"/>
          </w:tcPr>
          <w:p w14:paraId="0EF3886B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单挂钩、多挂钩、带收纳、可旋转、可折叠</w:t>
            </w:r>
          </w:p>
        </w:tc>
        <w:tc>
          <w:tcPr>
            <w:tcW w:w="2077" w:type="dxa"/>
          </w:tcPr>
          <w:p w14:paraId="02B4FDA7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077" w:type="dxa"/>
          </w:tcPr>
          <w:p w14:paraId="3B8647BB">
            <w:pPr>
              <w:pStyle w:val="173"/>
              <w:spacing w:after="0"/>
              <w:rPr>
                <w:sz w:val="21"/>
                <w:szCs w:val="21"/>
              </w:rPr>
            </w:pPr>
          </w:p>
        </w:tc>
      </w:tr>
      <w:tr w14:paraId="36F9B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279D843C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颜色</w:t>
            </w:r>
          </w:p>
        </w:tc>
        <w:tc>
          <w:tcPr>
            <w:tcW w:w="2077" w:type="dxa"/>
          </w:tcPr>
          <w:p w14:paraId="6A2911C3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莫兰迪色系、赛博撞色、木纹原色、透明渐变、金属质感</w:t>
            </w:r>
          </w:p>
        </w:tc>
        <w:tc>
          <w:tcPr>
            <w:tcW w:w="2077" w:type="dxa"/>
          </w:tcPr>
          <w:p w14:paraId="67274652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077" w:type="dxa"/>
          </w:tcPr>
          <w:p w14:paraId="5645FE20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3125</w:t>
            </w:r>
          </w:p>
        </w:tc>
      </w:tr>
    </w:tbl>
    <w:p w14:paraId="0B42271E">
      <w:pPr>
        <w:pStyle w:val="167"/>
      </w:pPr>
      <w:r>
        <w:t>更重要的是，AI能将抽象方案转化为详细文案和可视化草图，使创新过程"可见、可感、可评"，极大降低了设计的认知负荷。</w:t>
      </w:r>
    </w:p>
    <w:p w14:paraId="21E7AF14">
      <w:pPr>
        <w:pStyle w:val="166"/>
      </w:pPr>
      <w:r>
        <w:t>3.3 评价体系的引入</w:t>
      </w:r>
    </w:p>
    <w:p w14:paraId="366CBE82">
      <w:pPr>
        <w:pStyle w:val="167"/>
      </w:pPr>
      <w:r>
        <w:t>传统评价依赖教师经验或学生直觉，缺乏客观标准。AI引入后，学生设定创新性、实用性、美观性、可实现性等评价维度及权重，AI快速对数百方案打分排序。这种数据驱动的评价方式，不仅提供决策依据，更迫使学生思考"好设计的标准"，将模糊"感觉"转化为明确指标，形成"猜、找、组、评"完整闭环。</w:t>
      </w:r>
    </w:p>
    <w:p w14:paraId="386F0560">
      <w:pPr>
        <w:pStyle w:val="165"/>
      </w:pPr>
      <w:r>
        <w:t>四、新挑战：人机协同的必要性</w:t>
      </w:r>
    </w:p>
    <w:p w14:paraId="6FA301CF">
      <w:pPr>
        <w:pStyle w:val="166"/>
      </w:pPr>
      <w:r>
        <w:t>4.1 AI的"幻觉"与批判性思维</w:t>
      </w:r>
    </w:p>
    <w:p w14:paraId="03A254EF">
      <w:pPr>
        <w:pStyle w:val="167"/>
      </w:pPr>
      <w:r>
        <w:t>在实践中，AI曾偏离"挂钩"主题，生成不相关的几何概念，学生需反复纠正才能拉回正轨。这一"AI幻觉"（AI Hallucination）现象表明，AI并非被动精确的工具，而是知识渊博但偶尔"走神"的伙伴。这要求学生具备批判性思维和审辩能力，学会精准提问（Prompt Engineering）、识别无效信息、有效引导AI。未来教学的核心，不仅是传授知识，更是培养学生"驾驭"AI的能力。</w:t>
      </w:r>
    </w:p>
    <w:p w14:paraId="7FEB83FE">
      <w:pPr>
        <w:pStyle w:val="166"/>
      </w:pPr>
      <w:r>
        <w:t>4.2 创造力的悖论</w:t>
      </w:r>
    </w:p>
    <w:p w14:paraId="32C481AD">
      <w:pPr>
        <w:pStyle w:val="167"/>
      </w:pPr>
      <w:r>
        <w:t>课程末尾的"人机辩论"环节，AI自身提出警示："AI会让设计师失去自己的特色和创新能力……长此以往，人类自身的设计能力必然退化。"这揭示了核心担忧：AI是否会成为扼杀独立思考的"思维拐杖"？这要求教学设计必须从追求方案"数量"转向关注学生"思维深度"与"能力成长"，坚守技术辅助人而非取代人的底线。</w:t>
      </w:r>
    </w:p>
    <w:p w14:paraId="6A361247">
      <w:pPr>
        <w:pStyle w:val="166"/>
      </w:pPr>
      <w:r>
        <w:t>4.3 走向人机协同</w:t>
      </w:r>
    </w:p>
    <w:p w14:paraId="4192D2E5">
      <w:pPr>
        <w:pStyle w:val="167"/>
      </w:pPr>
      <w:r>
        <w:t>综合AI的技术局限和教育风险，成功的AI赋能教学关键在于建立"人机协同"（Human-AI Collaboration）关系。正如王一岩等人指出，人机协同教学旨在实现教师智慧和机器智能的有机融合[2]。基于实践，我们提出角色分工原则：</w:t>
      </w:r>
    </w:p>
    <w:p w14:paraId="5CA08844">
      <w:pPr>
        <w:pStyle w:val="169"/>
        <w:ind w:left="480"/>
      </w:pPr>
      <w:r>
        <w:t>• 人类负责"Why"与"Wow"：提出设计初衷、愿景、价值观，注入原创灵感和情感共鸣。</w:t>
      </w:r>
    </w:p>
    <w:p w14:paraId="48B049F4">
      <w:pPr>
        <w:pStyle w:val="169"/>
        <w:ind w:left="480"/>
      </w:pPr>
      <w:r>
        <w:t>• AI负责"What"与"How"：生成海量可能性方案，提供技术路径与优化方法。</w:t>
      </w:r>
    </w:p>
    <w:p w14:paraId="7E216154">
      <w:pPr>
        <w:pStyle w:val="165"/>
      </w:pPr>
      <w:r>
        <w:t>五、"IDEATE"人机协同教学框架</w:t>
      </w:r>
    </w:p>
    <w:p w14:paraId="05A80FBD">
      <w:pPr>
        <w:pStyle w:val="166"/>
      </w:pPr>
      <w:r>
        <w:t>5.1 核心理念：从"授人以渔"到"人机共渔"</w:t>
      </w:r>
    </w:p>
    <w:p w14:paraId="0F1A98C7">
      <w:pPr>
        <w:pStyle w:val="167"/>
      </w:pPr>
      <w:r>
        <w:t>传统教学追求"授人以渔"，而AI时代需升级为"人机共渔"。教学重点不再是让学生孤立掌握方法，而是教会他们如何与AI协作，共同达成目标。这种能力的核心是提问、辨别、整合、决策。</w:t>
      </w:r>
    </w:p>
    <w:p w14:paraId="67DF5E66">
      <w:pPr>
        <w:pStyle w:val="166"/>
      </w:pPr>
      <w:r>
        <w:t>5.2 "IDEATE"六步框架</w:t>
      </w:r>
    </w:p>
    <w:p w14:paraId="51AA0375">
      <w:pPr>
        <w:pStyle w:val="167"/>
      </w:pPr>
      <w:r>
        <w:t>我们提出"IDEATE"教学框架，明确各环节的人机角色分工：</w:t>
      </w:r>
    </w:p>
    <w:p w14:paraId="037B95F6">
      <w:pPr>
        <w:pStyle w:val="172"/>
      </w:pPr>
      <w:r>
        <w:t>表3："IDEATE"人机协同教学框架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077"/>
        <w:gridCol w:w="2077"/>
        <w:gridCol w:w="2077"/>
      </w:tblGrid>
      <w:tr w14:paraId="29B84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077" w:type="dxa"/>
          </w:tcPr>
          <w:p w14:paraId="2985B04D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步骤</w:t>
            </w:r>
          </w:p>
        </w:tc>
        <w:tc>
          <w:tcPr>
            <w:tcW w:w="2077" w:type="dxa"/>
          </w:tcPr>
          <w:p w14:paraId="0424BE42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77" w:type="dxa"/>
          </w:tcPr>
          <w:p w14:paraId="74A4B3C0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核心活动</w:t>
            </w:r>
          </w:p>
        </w:tc>
        <w:tc>
          <w:tcPr>
            <w:tcW w:w="2077" w:type="dxa"/>
          </w:tcPr>
          <w:p w14:paraId="3967D270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主导方</w:t>
            </w:r>
          </w:p>
        </w:tc>
      </w:tr>
      <w:tr w14:paraId="5968C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5F176832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77" w:type="dxa"/>
          </w:tcPr>
          <w:p w14:paraId="28440289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Inspire（启发）</w:t>
            </w:r>
          </w:p>
        </w:tc>
        <w:tc>
          <w:tcPr>
            <w:tcW w:w="2077" w:type="dxa"/>
          </w:tcPr>
          <w:p w14:paraId="44BD1E32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定义需求与设计挑战，确立愿景与情感目标</w:t>
            </w:r>
          </w:p>
        </w:tc>
        <w:tc>
          <w:tcPr>
            <w:tcW w:w="2077" w:type="dxa"/>
          </w:tcPr>
          <w:p w14:paraId="789A1BA5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人类</w:t>
            </w:r>
          </w:p>
        </w:tc>
      </w:tr>
      <w:tr w14:paraId="0A355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34F40AEF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77" w:type="dxa"/>
          </w:tcPr>
          <w:p w14:paraId="14627919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Deconstruct（解构）</w:t>
            </w:r>
          </w:p>
        </w:tc>
        <w:tc>
          <w:tcPr>
            <w:tcW w:w="2077" w:type="dxa"/>
          </w:tcPr>
          <w:p w14:paraId="0952DE0A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人类初步拆解维度，AI补充拓展</w:t>
            </w:r>
          </w:p>
        </w:tc>
        <w:tc>
          <w:tcPr>
            <w:tcW w:w="2077" w:type="dxa"/>
          </w:tcPr>
          <w:p w14:paraId="4415192B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人机协同</w:t>
            </w:r>
          </w:p>
        </w:tc>
      </w:tr>
      <w:tr w14:paraId="5ED28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482F06F8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077" w:type="dxa"/>
          </w:tcPr>
          <w:p w14:paraId="6EC9B438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Expand（扩展）</w:t>
            </w:r>
          </w:p>
        </w:tc>
        <w:tc>
          <w:tcPr>
            <w:tcW w:w="2077" w:type="dxa"/>
          </w:tcPr>
          <w:p w14:paraId="0BB5BFBB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AI生成海量选项与组合方案</w:t>
            </w:r>
          </w:p>
        </w:tc>
        <w:tc>
          <w:tcPr>
            <w:tcW w:w="2077" w:type="dxa"/>
          </w:tcPr>
          <w:p w14:paraId="428D5E47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</w:t>
            </w:r>
          </w:p>
        </w:tc>
      </w:tr>
      <w:tr w14:paraId="697AE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1AE70A37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077" w:type="dxa"/>
          </w:tcPr>
          <w:p w14:paraId="3BA6DA1F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Assess（评估）</w:t>
            </w:r>
          </w:p>
        </w:tc>
        <w:tc>
          <w:tcPr>
            <w:tcW w:w="2077" w:type="dxa"/>
          </w:tcPr>
          <w:p w14:paraId="3668EE1C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人类设定标准，AI执行量化评估</w:t>
            </w:r>
          </w:p>
        </w:tc>
        <w:tc>
          <w:tcPr>
            <w:tcW w:w="2077" w:type="dxa"/>
          </w:tcPr>
          <w:p w14:paraId="4729DEB8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人机协同</w:t>
            </w:r>
          </w:p>
        </w:tc>
      </w:tr>
      <w:tr w14:paraId="207BD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 w14:paraId="76490007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077" w:type="dxa"/>
          </w:tcPr>
          <w:p w14:paraId="36138DF9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Transform（转化）</w:t>
            </w:r>
          </w:p>
        </w:tc>
        <w:tc>
          <w:tcPr>
            <w:tcW w:w="2077" w:type="dxa"/>
          </w:tcPr>
          <w:p w14:paraId="796B8066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AI将方案转化为文本描述和可视化草图</w:t>
            </w:r>
          </w:p>
        </w:tc>
        <w:tc>
          <w:tcPr>
            <w:tcW w:w="2077" w:type="dxa"/>
          </w:tcPr>
          <w:p w14:paraId="79103598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</w:t>
            </w:r>
          </w:p>
        </w:tc>
      </w:tr>
      <w:tr w14:paraId="606A7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7" w:type="dxa"/>
          </w:tcPr>
          <w:p w14:paraId="0C8FB495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2077" w:type="dxa"/>
          </w:tcPr>
          <w:p w14:paraId="7AC50862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Evolve（迭代）</w:t>
            </w:r>
          </w:p>
        </w:tc>
        <w:tc>
          <w:tcPr>
            <w:tcW w:w="2077" w:type="dxa"/>
          </w:tcPr>
          <w:p w14:paraId="4642C82C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人类批判性反思、决策并优化</w:t>
            </w:r>
          </w:p>
        </w:tc>
        <w:tc>
          <w:tcPr>
            <w:tcW w:w="2077" w:type="dxa"/>
          </w:tcPr>
          <w:p w14:paraId="2802B2C6">
            <w:pPr>
              <w:pStyle w:val="173"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人类</w:t>
            </w:r>
          </w:p>
        </w:tc>
      </w:tr>
    </w:tbl>
    <w:p w14:paraId="51E55284">
      <w:pPr>
        <w:pStyle w:val="166"/>
      </w:pPr>
      <w:r>
        <w:t>5.3 角色重塑</w:t>
      </w:r>
    </w:p>
    <w:p w14:paraId="4086E726">
      <w:pPr>
        <w:pStyle w:val="167"/>
      </w:pPr>
      <w:r>
        <w:t>该框架要求角色根本性转变：教师成为"学习体验设计师"，精心设计人机协同流程，提出启发性问题，引导学生批判性思考；学生成为"创意掌舵者与决策者"，设定航向、驾驭AI、做出负责任的决策，培养信息素养、批判性思维和决策能力。</w:t>
      </w:r>
    </w:p>
    <w:p w14:paraId="6E95AD7D">
      <w:pPr>
        <w:pStyle w:val="166"/>
      </w:pPr>
      <w:r>
        <w:t>5.4 拥抱迭代：消解"设计恐惧"</w:t>
      </w:r>
    </w:p>
    <w:p w14:paraId="3FB8B6D1">
      <w:pPr>
        <w:pStyle w:val="167"/>
      </w:pPr>
      <w:r>
        <w:t>通过引入工程思维的"迭代"理念，学生可快速生成V1.0，再通过AI辅助和自身反思优化出V2.0、V3.0。这将设计从"一次性完美"的压力转变为"每次都更好"的持续进步，消解"我不会设计"的心理障碍，培养坚韧的成长型思维。</w:t>
      </w:r>
    </w:p>
    <w:p w14:paraId="23BB95E1">
      <w:pPr>
        <w:pStyle w:val="165"/>
      </w:pPr>
      <w:r>
        <w:t>六、结论与展望</w:t>
      </w:r>
    </w:p>
    <w:p w14:paraId="6C7ADC9C">
      <w:pPr>
        <w:pStyle w:val="167"/>
      </w:pPr>
      <w:r>
        <w:t>本研究通过真实课堂案例对比，系统探索了AI在创新设计教学中的应用与挑战。研究揭示传统教学的"维度缺失"与"选项单一"困境，验证了AI通过"组合爆炸"和可视化将方案从几十种扩展至数千种的巨大潜力。同时，直面"AI幻觉"和"思维拐杖"等风险，提出"IDEATE"人机协同框架，明确人类掌舵愿景与决策、AI驱动效率与扩展的分工，将教学目标从传授方法转向培养提问、审辩、决策和迭代能力。</w:t>
      </w:r>
    </w:p>
    <w:p w14:paraId="6466E4E9">
      <w:pPr>
        <w:pStyle w:val="167"/>
      </w:pPr>
      <w:r>
        <w:t>未来研究可向以下方向深化：一是跨学科应用，探索该模式在不同学科的适用性；二是长期效应追踪，评估对学生创新能力的长期影响；三是教师专业发展，支持教师角色转变；四是AI伦理与评价，建立人机协同学习的新型评价体系。</w:t>
      </w:r>
    </w:p>
    <w:p w14:paraId="03B305DE">
      <w:pPr>
        <w:pStyle w:val="167"/>
      </w:pPr>
      <w:r>
        <w:t>总而言之，AI为教育带来机遇与挑战。唯有以"人机协同"的智慧，精心设计面向未来的教育，才能培养真正能够驾驭技术、引领未来的新一代。正如课堂实践所示，当学生不再畏惧"我不会设计"，而是兴奋地喊出"再来一次，迭代一下"时，教育的真正变革便已悄然发生。</w:t>
      </w:r>
    </w:p>
    <w:p w14:paraId="1DEF04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*本文系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盐城市教育学会</w:t>
      </w:r>
      <w:r>
        <w:rPr>
          <w:rFonts w:hint="eastAsia" w:ascii="Times New Roman" w:hAnsi="Times New Roman" w:eastAsia="宋体" w:cs="宋体"/>
          <w:sz w:val="21"/>
          <w:szCs w:val="21"/>
        </w:rPr>
        <w:t>2024年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课题“STEAM理念下基于编程建模的高中3D打印校本课程的开发与研究”（课题编号：2024B-178）研究成果。</w:t>
      </w:r>
    </w:p>
    <w:p w14:paraId="58E66120">
      <w:r>
        <w:br w:type="page"/>
      </w:r>
    </w:p>
    <w:p w14:paraId="293CE23B">
      <w:pPr>
        <w:pStyle w:val="165"/>
      </w:pPr>
      <w:r>
        <w:t>参考文献</w:t>
      </w:r>
    </w:p>
    <w:p w14:paraId="2D2BBA10">
      <w:pPr>
        <w:pStyle w:val="171"/>
      </w:pPr>
      <w:r>
        <w:t>[1] 清华大学新闻网. 200门课程，10大场景，清华师生这样打开AI赋能教学[EB/OL]. (2024-06-15)[2025-10-28]. https://news.tsinghua.edu.cn/info/1173/112521.htm</w:t>
      </w:r>
    </w:p>
    <w:p w14:paraId="77118F20">
      <w:pPr>
        <w:pStyle w:val="171"/>
      </w:pPr>
      <w:r>
        <w:t>[2] 王一岩, 朱陶, 杨淑豪, 等. 人机协同教学:动因、本质与挑战[J]. 电化教育研究, 2024, 45(8): 51-58.</w:t>
      </w:r>
    </w:p>
    <w:p w14:paraId="37A8726C">
      <w:pPr>
        <w:pStyle w:val="171"/>
      </w:pPr>
      <w:r>
        <w:t>[3] 张苗苗. "人工智能赋能教育"的研究热点与发展趋势——基于CNKI核心期刊的文献计量分析[J]. 运筹与模糊学, 2025, 15(1): 226-233.</w:t>
      </w:r>
    </w:p>
    <w:sectPr>
      <w:pgSz w:w="11909" w:h="16834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CE9"/>
    <w:rsid w:val="00AA1D8D"/>
    <w:rsid w:val="00B47730"/>
    <w:rsid w:val="00CB0664"/>
    <w:rsid w:val="00FC693F"/>
    <w:rsid w:val="08603755"/>
    <w:rsid w:val="0BA457DB"/>
    <w:rsid w:val="150D43F1"/>
    <w:rsid w:val="1A890B80"/>
    <w:rsid w:val="1B4072CF"/>
    <w:rsid w:val="2FD02A79"/>
    <w:rsid w:val="34360E17"/>
    <w:rsid w:val="36127662"/>
    <w:rsid w:val="3AA975C7"/>
    <w:rsid w:val="3F504C07"/>
    <w:rsid w:val="44A65B45"/>
    <w:rsid w:val="44BF09B5"/>
    <w:rsid w:val="47264D1B"/>
    <w:rsid w:val="47E80223"/>
    <w:rsid w:val="4BC13264"/>
    <w:rsid w:val="567C6706"/>
    <w:rsid w:val="573E1C0D"/>
    <w:rsid w:val="5D323FC2"/>
    <w:rsid w:val="5D330839"/>
    <w:rsid w:val="6509385A"/>
    <w:rsid w:val="69D00DEB"/>
    <w:rsid w:val="7A85177D"/>
    <w:rsid w:val="7BD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Title Style"/>
    <w:qFormat/>
    <w:uiPriority w:val="0"/>
    <w:pPr>
      <w:spacing w:before="240" w:after="360" w:line="276" w:lineRule="auto"/>
      <w:jc w:val="center"/>
    </w:pPr>
    <w:rPr>
      <w:rFonts w:ascii="黑体" w:hAnsi="黑体" w:eastAsia="黑体" w:cstheme="minorBidi"/>
      <w:b/>
      <w:sz w:val="32"/>
      <w:szCs w:val="22"/>
      <w:lang w:val="en-US" w:eastAsia="en-US" w:bidi="ar-SA"/>
    </w:rPr>
  </w:style>
  <w:style w:type="paragraph" w:customStyle="1" w:styleId="165">
    <w:name w:val="Heading 1 Style"/>
    <w:qFormat/>
    <w:uiPriority w:val="0"/>
    <w:pPr>
      <w:spacing w:before="360" w:after="240" w:line="240" w:lineRule="auto"/>
    </w:pPr>
    <w:rPr>
      <w:rFonts w:ascii="黑体" w:hAnsi="黑体" w:eastAsia="黑体" w:cstheme="minorBidi"/>
      <w:b/>
      <w:sz w:val="28"/>
      <w:szCs w:val="22"/>
      <w:lang w:val="en-US" w:eastAsia="en-US" w:bidi="ar-SA"/>
    </w:rPr>
  </w:style>
  <w:style w:type="paragraph" w:customStyle="1" w:styleId="166">
    <w:name w:val="Heading 2 Style"/>
    <w:qFormat/>
    <w:uiPriority w:val="0"/>
    <w:pPr>
      <w:spacing w:before="240" w:after="120" w:line="240" w:lineRule="auto"/>
    </w:pPr>
    <w:rPr>
      <w:rFonts w:ascii="黑体" w:hAnsi="黑体" w:eastAsia="黑体" w:cstheme="minorBidi"/>
      <w:b/>
      <w:sz w:val="24"/>
      <w:szCs w:val="22"/>
      <w:lang w:val="en-US" w:eastAsia="en-US" w:bidi="ar-SA"/>
    </w:rPr>
  </w:style>
  <w:style w:type="paragraph" w:customStyle="1" w:styleId="167">
    <w:name w:val="Body Style"/>
    <w:qFormat/>
    <w:uiPriority w:val="0"/>
    <w:pPr>
      <w:spacing w:after="120" w:line="400" w:lineRule="exact"/>
      <w:ind w:firstLine="480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customStyle="1" w:styleId="168">
    <w:name w:val="Abstract Title Style"/>
    <w:uiPriority w:val="0"/>
    <w:pPr>
      <w:spacing w:before="240" w:after="120" w:line="240" w:lineRule="auto"/>
    </w:pPr>
    <w:rPr>
      <w:rFonts w:ascii="黑体" w:hAnsi="黑体" w:eastAsia="黑体" w:cstheme="minorBidi"/>
      <w:b/>
      <w:sz w:val="24"/>
      <w:szCs w:val="22"/>
      <w:lang w:val="en-US" w:eastAsia="en-US" w:bidi="ar-SA"/>
    </w:rPr>
  </w:style>
  <w:style w:type="paragraph" w:customStyle="1" w:styleId="169">
    <w:name w:val="Abstract Body Style"/>
    <w:qFormat/>
    <w:uiPriority w:val="0"/>
    <w:pPr>
      <w:spacing w:after="120" w:line="400" w:lineRule="exact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customStyle="1" w:styleId="170">
    <w:name w:val="Keywords Style"/>
    <w:qFormat/>
    <w:uiPriority w:val="0"/>
    <w:pPr>
      <w:spacing w:after="240" w:line="240" w:lineRule="auto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customStyle="1" w:styleId="171">
    <w:name w:val="Reference Style"/>
    <w:uiPriority w:val="0"/>
    <w:pPr>
      <w:spacing w:after="60" w:line="240" w:lineRule="auto"/>
    </w:pPr>
    <w:rPr>
      <w:rFonts w:ascii="楷体" w:hAnsi="楷体" w:eastAsia="楷体" w:cstheme="minorBidi"/>
      <w:sz w:val="21"/>
      <w:szCs w:val="22"/>
      <w:lang w:val="en-US" w:eastAsia="en-US" w:bidi="ar-SA"/>
    </w:rPr>
  </w:style>
  <w:style w:type="paragraph" w:customStyle="1" w:styleId="172">
    <w:name w:val="Table Title Style"/>
    <w:qFormat/>
    <w:uiPriority w:val="0"/>
    <w:pPr>
      <w:spacing w:before="240" w:after="120" w:line="240" w:lineRule="auto"/>
      <w:jc w:val="center"/>
    </w:pPr>
    <w:rPr>
      <w:rFonts w:ascii="黑体" w:hAnsi="黑体" w:eastAsia="黑体" w:cstheme="minorBidi"/>
      <w:b/>
      <w:sz w:val="24"/>
      <w:szCs w:val="22"/>
      <w:lang w:val="en-US" w:eastAsia="en-US" w:bidi="ar-SA"/>
    </w:rPr>
  </w:style>
  <w:style w:type="paragraph" w:customStyle="1" w:styleId="173">
    <w:name w:val="Table Content Style"/>
    <w:qFormat/>
    <w:uiPriority w:val="0"/>
    <w:pPr>
      <w:spacing w:after="200" w:line="240" w:lineRule="auto"/>
      <w:jc w:val="center"/>
    </w:pPr>
    <w:rPr>
      <w:rFonts w:ascii="宋体" w:hAnsi="宋体" w:eastAsia="宋体" w:cstheme="minorBidi"/>
      <w:sz w:val="1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3372</Words>
  <Characters>3804</Characters>
  <Lines>0</Lines>
  <Paragraphs>0</Paragraphs>
  <TotalTime>3</TotalTime>
  <ScaleCrop>false</ScaleCrop>
  <LinksUpToDate>false</LinksUpToDate>
  <CharactersWithSpaces>3847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太阳照常升起</cp:lastModifiedBy>
  <dcterms:modified xsi:type="dcterms:W3CDTF">2025-10-28T07:22:45Z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eyJoZGlkIjoiODI4MWQ1ZTA1NWEzZWJlZGQwMjliNDRiZmYxNWNiNGUiLCJ1c2VySWQiOiIyOTcyNjE3MjIifQ==</vt:lpwstr>
  </property>
  <property fmtid="{D5CDD505-2E9C-101B-9397-08002B2CF9AE}" pid="3" name="KSOProductBuildVer">
    <vt:lpwstr>2052-12.1.0.23125</vt:lpwstr>
  </property>
  <property fmtid="{D5CDD505-2E9C-101B-9397-08002B2CF9AE}" pid="4" name="ICV">
    <vt:lpwstr>7DF5A9BBAA4E4D02914C863FA9A7AC2E_12</vt:lpwstr>
  </property>
</Properties>
</file>