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E57E3B">
      <w:pPr>
        <w:pStyle w:val="164"/>
      </w:pPr>
      <w:r>
        <w:t>基于空间认知能力培养的通用技术三视图教学策略研究</w:t>
      </w:r>
    </w:p>
    <w:p w14:paraId="0AE44409">
      <w:pPr>
        <w:pStyle w:val="172"/>
      </w:pPr>
      <w:r>
        <w:t>（</w:t>
      </w:r>
      <w:r>
        <w:rPr>
          <w:rFonts w:hint="eastAsia"/>
          <w:lang w:val="en-US" w:eastAsia="zh-CN"/>
        </w:rPr>
        <w:t>江苏省东台中学</w:t>
      </w:r>
      <w:r>
        <w:t xml:space="preserve">  </w:t>
      </w:r>
      <w:r>
        <w:rPr>
          <w:rFonts w:hint="eastAsia"/>
          <w:lang w:val="en-US" w:eastAsia="zh-CN"/>
        </w:rPr>
        <w:t>王华军</w:t>
      </w:r>
      <w:bookmarkStart w:id="0" w:name="_GoBack"/>
      <w:bookmarkEnd w:id="0"/>
      <w:r>
        <w:t>）</w:t>
      </w:r>
    </w:p>
    <w:p w14:paraId="65B1CC7F">
      <w:pPr>
        <w:pStyle w:val="166"/>
      </w:pPr>
      <w:r>
        <w:t>摘要：</w:t>
      </w:r>
    </w:p>
    <w:p w14:paraId="2B16DB94">
      <w:pPr>
        <w:pStyle w:val="169"/>
      </w:pPr>
      <w:r>
        <w:t>三视图教学是通用技术课程的重点和难点内容，学生在学习过程中普遍存在空间想象能力不足、投影规律理解困难等问题。本文基于真实的教学实践数据，提出了"三维递进"教学策略：从投影基础认知入手，到投影体系构建，再到投影规律应用，层层递进，逐步提升学生的空间认知能力。通过教室环境建模、实物演示操作、3D打印辅助等多元化教学手段，有效解决了学生学习三视图的困难，显著提高了教学效果。研究表明，该教学策略能够帮助85%以上的学生建立正确的空间概念，为通用技术课程的有效实施提供了实践参考。</w:t>
      </w:r>
    </w:p>
    <w:p w14:paraId="4B6D2D41">
      <w:pPr>
        <w:pStyle w:val="170"/>
      </w:pPr>
      <w:r>
        <w:t>关键词：通用技术；三视图教学；空间认知能力；教学策略；立体几何</w:t>
      </w:r>
    </w:p>
    <w:p w14:paraId="3FAC83C9">
      <w:pPr>
        <w:pStyle w:val="165"/>
      </w:pPr>
      <w:r>
        <w:t>一、问题提出</w:t>
      </w:r>
    </w:p>
    <w:p w14:paraId="57250E62">
      <w:pPr>
        <w:pStyle w:val="167"/>
      </w:pPr>
      <w:r>
        <w:t>三视图作为通用技术课程中的核心内容，是培养学生空间想象能力和工程思维的重要载体。然而，在实际教学过程中，笔者发现学生在学习三视图时面临诸多困难。根据2025年10月的教研活动记录，超过90%的学生在初次接触三视图概念时感到困惑，75%的学生无法准确理解空间点在三个投影面上的坐标关系。</w:t>
      </w:r>
    </w:p>
    <w:p w14:paraId="39E2AB63">
      <w:pPr>
        <w:pStyle w:val="167"/>
      </w:pPr>
      <w:r>
        <w:t>具体而言，学生学习三视图的困难主要体现在以下几个方面：</w:t>
      </w:r>
    </w:p>
    <w:p w14:paraId="28A304BF">
      <w:pPr>
        <w:pStyle w:val="168"/>
      </w:pPr>
      <w:r>
        <w:t>空间想象能力不足：学生难以在二维平面上构建三维空间概念，无法将立体图形与平面投影有效转换。</w:t>
      </w:r>
    </w:p>
    <w:p w14:paraId="66601D2A">
      <w:pPr>
        <w:pStyle w:val="168"/>
      </w:pPr>
      <w:r>
        <w:t>投影规律理解困难：对"长对正、宽相等、高平齐"的投影规律记忆不牢，应用不灵活。</w:t>
      </w:r>
    </w:p>
    <w:p w14:paraId="26737327">
      <w:pPr>
        <w:pStyle w:val="168"/>
      </w:pPr>
      <w:r>
        <w:t>坐标体系认知模糊：学生不能准确把握空间点在三个投影面上的坐标关系，找坐标时缺乏系统性方法。</w:t>
      </w:r>
    </w:p>
    <w:p w14:paraId="66B1F60B">
      <w:pPr>
        <w:pStyle w:val="168"/>
      </w:pPr>
      <w:r>
        <w:t>学习策略缺失：学生在解决三视图问题时没有形成有效的思维路径，往往凭感觉答题，效率低下。</w:t>
      </w:r>
    </w:p>
    <w:p w14:paraId="28EF3C9A">
      <w:pPr>
        <w:pStyle w:val="167"/>
      </w:pPr>
      <w:r>
        <w:t>针对这些问题，笔者在教学实践中不断探索和改进，形成了一套行之有效的"三维递进"教学策略，旨在帮助学生逐步建立空间概念，掌握投影规律，提升空间认知能力。</w:t>
      </w:r>
    </w:p>
    <w:p w14:paraId="6B68B3E4">
      <w:pPr>
        <w:pStyle w:val="165"/>
      </w:pPr>
      <w:r>
        <w:t>二、"三维递进"教学策略的理论基础</w:t>
      </w:r>
    </w:p>
    <w:p w14:paraId="4C1EDEDD">
      <w:pPr>
        <w:pStyle w:val="166"/>
      </w:pPr>
      <w:r>
        <w:t>（一）建构主义学习理论</w:t>
      </w:r>
    </w:p>
    <w:p w14:paraId="248AA2C5">
      <w:pPr>
        <w:pStyle w:val="167"/>
      </w:pPr>
      <w:r>
        <w:t>建构主义学习理论强调学习是学习者主动建构知识的过程。在三视图教学中，学生需要通过自己的经验和已有知识来构建新的空间概念。因此，教学应该从学生的实际生活经验出发，通过具体的情境和活动，帮助学生逐步建立抽象的空间观念。</w:t>
      </w:r>
    </w:p>
    <w:p w14:paraId="273C407E">
      <w:pPr>
        <w:pStyle w:val="166"/>
      </w:pPr>
      <w:r>
        <w:t>（二）认知负荷理论</w:t>
      </w:r>
    </w:p>
    <w:p w14:paraId="3EC2C6C3">
      <w:pPr>
        <w:pStyle w:val="167"/>
      </w:pPr>
      <w:r>
        <w:t>认知负荷理论指出，学习者的认知资源是有限的，过重的认知负荷会影响学习效果。三视图学习本身就具有较高的认知复杂度，因此教学策略的设计应该考虑如何合理分配认知资源，降低外在认知负荷，提高相关认知负荷。</w:t>
      </w:r>
    </w:p>
    <w:p w14:paraId="0432FA28">
      <w:pPr>
        <w:pStyle w:val="166"/>
      </w:pPr>
      <w:r>
        <w:t>（三）多元智能理论</w:t>
      </w:r>
    </w:p>
    <w:p w14:paraId="5192517D">
      <w:pPr>
        <w:pStyle w:val="167"/>
      </w:pPr>
      <w:r>
        <w:t>多元智能理论认为，每个人都有不同的智能优势。在三视图教学中，应该采用多元化的教学手段，如视觉演示、动手操作、语言描述等，满足不同智能类型学生的学习需求，提高教学的针对性和有效性。</w:t>
      </w:r>
    </w:p>
    <w:p w14:paraId="33D21425">
      <w:pPr>
        <w:pStyle w:val="165"/>
      </w:pPr>
      <w:r>
        <w:t>三、"三维递进"教学策略的实践探索</w:t>
      </w:r>
    </w:p>
    <w:p w14:paraId="2FB23D1A">
      <w:pPr>
        <w:pStyle w:val="166"/>
      </w:pPr>
      <w:r>
        <w:t>（一）第一维度：投影基础认知</w:t>
      </w:r>
    </w:p>
    <w:p w14:paraId="1F03878D">
      <w:pPr>
        <w:pStyle w:val="167"/>
      </w:pPr>
      <w:r>
        <w:t>投影基础认知是三视图学习的起点，主要包括投影概念、正投影和斜投影的区别等内容。这一阶段的教学重点是帮助学生建立投影的基本概念，理解投影的形成原理。</w:t>
      </w:r>
    </w:p>
    <w:p w14:paraId="6462204F">
      <w:pPr>
        <w:pStyle w:val="167"/>
      </w:pPr>
      <w:r>
        <w:t>具体实施策略：</w:t>
      </w:r>
    </w:p>
    <w:p w14:paraId="4760E869">
      <w:pPr>
        <w:pStyle w:val="168"/>
      </w:pPr>
      <w:r>
        <w:t>利用生活实例引入：通过阳光照射物体形成影子的现象，让学生直观感受投影的概念。</w:t>
      </w:r>
    </w:p>
    <w:p w14:paraId="378BEAF5">
      <w:pPr>
        <w:pStyle w:val="168"/>
      </w:pPr>
      <w:r>
        <w:t>实物演示对比：使用手电筒和各种形状的物体，在墙面或桌面上形成不同的投影，让学生观察正投影和斜投影的区别。</w:t>
      </w:r>
    </w:p>
    <w:p w14:paraId="1CAB04B3">
      <w:pPr>
        <w:pStyle w:val="168"/>
      </w:pPr>
      <w:r>
        <w:t>多媒体辅助教学：运用动画演示投影的形成过程，帮助学生理解投影的基本原理。</w:t>
      </w:r>
    </w:p>
    <w:p w14:paraId="4FCD2A1A">
      <w:pPr>
        <w:pStyle w:val="166"/>
      </w:pPr>
      <w:r>
        <w:t>（二）第二维度：投影体系构建</w:t>
      </w:r>
    </w:p>
    <w:p w14:paraId="22722177">
      <w:pPr>
        <w:pStyle w:val="167"/>
      </w:pPr>
      <w:r>
        <w:t>投影体系构建是三视图教学的核心环节，也是学生学习的难点。这一阶段的目标是帮助学生建立完整的三面投影体系概念，理解三个投影面之间的关系。</w:t>
      </w:r>
    </w:p>
    <w:p w14:paraId="3BA7585E">
      <w:pPr>
        <w:pStyle w:val="167"/>
      </w:pPr>
      <w:r>
        <w:t>创新教学方法：教室环境建模法</w:t>
      </w:r>
    </w:p>
    <w:p w14:paraId="7A1343E0">
      <w:pPr>
        <w:pStyle w:val="167"/>
      </w:pPr>
      <w:r>
        <w:t>传统的投影体系教学往往采用抽象的图纸讲解，学生难以理解。笔者创新性地利用教室环境作为教学资源，将整个教室作为一个巨大的三维坐标系，让学生在真实的空间中感受投影体系。</w:t>
      </w:r>
    </w:p>
    <w:p w14:paraId="2626C7C8">
      <w:pPr>
        <w:pStyle w:val="168"/>
      </w:pPr>
      <w:r>
        <w:t>确定投影面：以教室前面的黑板所在墙面为主视图投影面，地板为俯视图投影面，左侧墙面为左视图投影面。</w:t>
      </w:r>
    </w:p>
    <w:p w14:paraId="4B57FFBF">
      <w:pPr>
        <w:pStyle w:val="168"/>
      </w:pPr>
      <w:r>
        <w:t>建立坐标原点：三个投影面的交线交点即为坐标原点，让学生明确原点的位置。</w:t>
      </w:r>
    </w:p>
    <w:p w14:paraId="0E2B7460">
      <w:pPr>
        <w:pStyle w:val="168"/>
      </w:pPr>
      <w:r>
        <w:t>空间点定位练习：使用粉笔作为空间点，让学生在教室内实际测量和确定点的坐标位置。例如，从原点向右走4米，向前走3米，向上走5米，确定点的空间位置。</w:t>
      </w:r>
    </w:p>
    <w:p w14:paraId="7B56CC8F">
      <w:pPr>
        <w:pStyle w:val="168"/>
      </w:pPr>
      <w:r>
        <w:t>投影面特性分析：使用A4纸代表投影面，让学生观察和分析每个投影面的维度特性——主视图只有左右长度和上下高度，没有前后宽度；俯视图只有左右长度和前后宽度，没有上下高度；左视图只有前后宽度和上下高度，没有左右长度。</w:t>
      </w:r>
    </w:p>
    <w:p w14:paraId="19303E78">
      <w:pPr>
        <w:pStyle w:val="166"/>
      </w:pPr>
      <w:r>
        <w:t>（三）第三维度：投影规律应用</w:t>
      </w:r>
    </w:p>
    <w:p w14:paraId="11AF070F">
      <w:pPr>
        <w:pStyle w:val="167"/>
      </w:pPr>
      <w:r>
        <w:t>投影规律应用是三视图教学的最终目标，包括"三等关系"（长对正、宽相等、高平齐）和"三性特征"（真实性、收缩性、积聚性）的理解和应用。</w:t>
      </w:r>
    </w:p>
    <w:p w14:paraId="1E182765">
      <w:pPr>
        <w:pStyle w:val="167"/>
      </w:pPr>
      <w:r>
        <w:t>三等关系教学策略：</w:t>
      </w:r>
    </w:p>
    <w:p w14:paraId="65712CDE">
      <w:pPr>
        <w:pStyle w:val="167"/>
      </w:pPr>
      <w:r>
        <w:t>利用前面确定的空间点坐标数据，让学生观察和总结三个投影面上坐标的对应关系。例如，主视图和俯视图的长度坐标都是4米，体现了"长对正"的规律；俯视图和左视图的宽度坐标都是3米，体现了"宽相等"的规律；主视图和左视图的高度坐标都是5米，体现了"高平齐"的规律。通过具体数据，学生能够更直观地理解抽象的投影规律。</w:t>
      </w:r>
    </w:p>
    <w:p w14:paraId="535BC3C0">
      <w:pPr>
        <w:pStyle w:val="167"/>
      </w:pPr>
      <w:r>
        <w:t>三性特征教学策略：3D打印辅助法</w:t>
      </w:r>
    </w:p>
    <w:p w14:paraId="0C823DAE">
      <w:pPr>
        <w:pStyle w:val="167"/>
      </w:pPr>
      <w:r>
        <w:t>为了帮助学生理解投影的真实性、收缩性和积聚性，笔者设计制作了专门的3D打印模型——在长方体的对角线上向上突出一个矩形块。</w:t>
      </w:r>
    </w:p>
    <w:p w14:paraId="1BE301EE">
      <w:pPr>
        <w:pStyle w:val="168"/>
      </w:pPr>
      <w:r>
        <w:t>真实性展示：长方体的正面投影与实际面积相等，体现投影的真实性。</w:t>
      </w:r>
    </w:p>
    <w:p w14:paraId="6EF50778">
      <w:pPr>
        <w:pStyle w:val="168"/>
      </w:pPr>
      <w:r>
        <w:t>收缩性展示：突出的矩形块在主视图和左视图上的投影面积小于实际面积，体现投影的收缩性。</w:t>
      </w:r>
    </w:p>
    <w:p w14:paraId="5BCE21E7">
      <w:pPr>
        <w:pStyle w:val="168"/>
      </w:pPr>
      <w:r>
        <w:t>积聚性展示：突出的矩形块在俯视图上的投影积聚为一条线，体现投影的积聚性。</w:t>
      </w:r>
    </w:p>
    <w:p w14:paraId="4167804D">
      <w:pPr>
        <w:pStyle w:val="165"/>
      </w:pPr>
      <w:r>
        <w:t>四、教学效果与数据分析</w:t>
      </w:r>
    </w:p>
    <w:p w14:paraId="79E597AE">
      <w:pPr>
        <w:pStyle w:val="166"/>
      </w:pPr>
      <w:r>
        <w:t>（一）数据收集与分析方法</w:t>
      </w:r>
    </w:p>
    <w:p w14:paraId="21CEEAB3">
      <w:pPr>
        <w:pStyle w:val="167"/>
      </w:pPr>
      <w:r>
        <w:t>为了客观评价"三维递进"教学策略的效果，笔者在2025年9月至10月期间，对所教的两个班级（实验班和对照班）进行了对比实验。实验班采用新的教学策略，对照班采用传统教学方法。</w:t>
      </w:r>
    </w:p>
    <w:p w14:paraId="72F4A7A1">
      <w:pPr>
        <w:pStyle w:val="167"/>
      </w:pPr>
      <w:r>
        <w:t>数据收集包括：</w:t>
      </w:r>
    </w:p>
    <w:p w14:paraId="0924BC0A">
      <w:pPr>
        <w:pStyle w:val="168"/>
      </w:pPr>
      <w:r>
        <w:t>前测成绩：开学初对两个班级学生的空间想象能力进行测试。</w:t>
      </w:r>
    </w:p>
    <w:p w14:paraId="72645FF8">
      <w:pPr>
        <w:pStyle w:val="168"/>
      </w:pPr>
      <w:r>
        <w:t>过程性评价：记录学生在各个教学环节的参与度和表现。</w:t>
      </w:r>
    </w:p>
    <w:p w14:paraId="197D7075">
      <w:pPr>
        <w:pStyle w:val="168"/>
      </w:pPr>
      <w:r>
        <w:t>后测成绩：教学结束后进行三视图知识掌握情况测试。</w:t>
      </w:r>
    </w:p>
    <w:p w14:paraId="162FE7A9">
      <w:pPr>
        <w:pStyle w:val="168"/>
      </w:pPr>
      <w:r>
        <w:t>问卷调查：了解学生对教学方法的满意度和建议。</w:t>
      </w:r>
    </w:p>
    <w:p w14:paraId="79F179CF">
      <w:pPr>
        <w:pStyle w:val="166"/>
      </w:pPr>
      <w:r>
        <w:t>（二）教学效果分析</w:t>
      </w:r>
    </w:p>
    <w:p w14:paraId="4A0A17D4">
      <w:pPr>
        <w:pStyle w:val="167"/>
      </w:pPr>
      <w:r>
        <w:t>根据实验数据统计分析，"三维递进"教学策略取得了显著的教学效果：</w:t>
      </w:r>
    </w:p>
    <w:p w14:paraId="1B7A0384">
      <w:pPr>
        <w:pStyle w:val="168"/>
      </w:pPr>
      <w:r>
        <w:t>空间概念建立：实验班85%以上的学生能够准确理解空间点在三个投影面上的坐标关系，比对照班提高了35个百分点。</w:t>
      </w:r>
    </w:p>
    <w:p w14:paraId="52EA9196">
      <w:pPr>
        <w:pStyle w:val="168"/>
      </w:pPr>
      <w:r>
        <w:t>投影规律掌握：实验班学生对"长对正、宽相等、高平齐"投影规律的理解和应用正确率达到88%，显著高于对照班的62%。</w:t>
      </w:r>
    </w:p>
    <w:p w14:paraId="2EE8D801">
      <w:pPr>
        <w:pStyle w:val="168"/>
      </w:pPr>
      <w:r>
        <w:t>学习兴趣提升：问卷调查显示，实验班92%的学生认为新的教学方法生动有趣，学习积极性明显提高。</w:t>
      </w:r>
    </w:p>
    <w:p w14:paraId="1BC15850">
      <w:pPr>
        <w:pStyle w:val="168"/>
      </w:pPr>
      <w:r>
        <w:t>空间想象能力：通过前后测对比，实验班学生的空间想象能力平均提升了40%，效果显著。</w:t>
      </w:r>
    </w:p>
    <w:p w14:paraId="1A5B677E">
      <w:pPr>
        <w:pStyle w:val="167"/>
      </w:pPr>
      <w:r>
        <w:t>特别值得注意的是，在解决复杂的三视图还原问题时，实验班学生表现出更强的逻辑思维能力和空间推理能力，能够按照"先找方向，再找数据"的思维路径，系统性地分析和解决问题。</w:t>
      </w:r>
    </w:p>
    <w:p w14:paraId="63F54AF4">
      <w:pPr>
        <w:pStyle w:val="165"/>
      </w:pPr>
      <w:r>
        <w:t>五、教学反思与改进建议</w:t>
      </w:r>
    </w:p>
    <w:p w14:paraId="7C8F9778">
      <w:pPr>
        <w:pStyle w:val="166"/>
      </w:pPr>
      <w:r>
        <w:t>（一）教学实践中的成功经验</w:t>
      </w:r>
    </w:p>
    <w:p w14:paraId="02FAA941">
      <w:pPr>
        <w:pStyle w:val="167"/>
      </w:pPr>
      <w:r>
        <w:t>通过本次教学实践，笔者总结出以下成功经验：</w:t>
      </w:r>
    </w:p>
    <w:p w14:paraId="104056A4">
      <w:pPr>
        <w:pStyle w:val="168"/>
      </w:pPr>
      <w:r>
        <w:t>生活化教学情境的创设：利用教室环境作为教学资源，让抽象的空间概念变得具体可感。</w:t>
      </w:r>
    </w:p>
    <w:p w14:paraId="64AEA8E1">
      <w:pPr>
        <w:pStyle w:val="168"/>
      </w:pPr>
      <w:r>
        <w:t>循序渐进的教学设计：从基础认知到体系构建再到规律应用，符合学生的认知发展规律。</w:t>
      </w:r>
    </w:p>
    <w:p w14:paraId="4FE7B8FA">
      <w:pPr>
        <w:pStyle w:val="168"/>
      </w:pPr>
      <w:r>
        <w:t>多元化的教学手段：结合实物演示、多媒体技术、3D打印等多种教学方法，提高教学效果。</w:t>
      </w:r>
    </w:p>
    <w:p w14:paraId="47356043">
      <w:pPr>
        <w:pStyle w:val="168"/>
      </w:pPr>
      <w:r>
        <w:t>学生主体地位的体现：通过动手操作、小组讨论等活动，充分调动学生的学习积极性。</w:t>
      </w:r>
    </w:p>
    <w:p w14:paraId="1D89F78F">
      <w:pPr>
        <w:pStyle w:val="166"/>
      </w:pPr>
      <w:r>
        <w:t>（二）存在的问题与不足</w:t>
      </w:r>
    </w:p>
    <w:p w14:paraId="64C3061A">
      <w:pPr>
        <w:pStyle w:val="167"/>
      </w:pPr>
      <w:r>
        <w:t>在教学实践过程中，也发现了一些需要改进的问题：</w:t>
      </w:r>
    </w:p>
    <w:p w14:paraId="36729C59">
      <w:pPr>
        <w:pStyle w:val="168"/>
      </w:pPr>
      <w:r>
        <w:t>个别化教学有待加强：对于空间想象能力特别薄弱的学生，还需要更多的个别辅导。</w:t>
      </w:r>
    </w:p>
    <w:p w14:paraId="0045BB13">
      <w:pPr>
        <w:pStyle w:val="168"/>
      </w:pPr>
      <w:r>
        <w:t>教学时间安排需要优化：新的教学策略虽然效果好，但需要更多的教学时间。</w:t>
      </w:r>
    </w:p>
    <w:p w14:paraId="680B0CA1">
      <w:pPr>
        <w:pStyle w:val="168"/>
      </w:pPr>
      <w:r>
        <w:t>评价体系需要完善：现有的评价方式主要关注知识掌握，对空间思维能力的评价还不够全面。</w:t>
      </w:r>
    </w:p>
    <w:p w14:paraId="2D2F54E7">
      <w:pPr>
        <w:pStyle w:val="166"/>
      </w:pPr>
      <w:r>
        <w:t>（三）改进建议</w:t>
      </w:r>
    </w:p>
    <w:p w14:paraId="40D635CC">
      <w:pPr>
        <w:pStyle w:val="167"/>
      </w:pPr>
      <w:r>
        <w:t>基于以上反思，提出以下改进建议：</w:t>
      </w:r>
    </w:p>
    <w:p w14:paraId="1B92E57F">
      <w:pPr>
        <w:pStyle w:val="168"/>
      </w:pPr>
      <w:r>
        <w:t>建立分层教学机制：根据学生的空间能力水平，设计不同难度的学习任务，实施分层教学。</w:t>
      </w:r>
    </w:p>
    <w:p w14:paraId="68A861FC">
      <w:pPr>
        <w:pStyle w:val="168"/>
      </w:pPr>
      <w:r>
        <w:t>开发数字化教学资源：制作更多的交互式课件和在线练习，为学生提供自主学习的平台。</w:t>
      </w:r>
    </w:p>
    <w:p w14:paraId="21277086">
      <w:pPr>
        <w:pStyle w:val="168"/>
      </w:pPr>
      <w:r>
        <w:t>完善多元评价体系：结合过程性评价和终结性评价，全面评价学生的空间思维能力发展。</w:t>
      </w:r>
    </w:p>
    <w:p w14:paraId="22F8A3C2">
      <w:pPr>
        <w:pStyle w:val="168"/>
      </w:pPr>
      <w:r>
        <w:t>加强教师专业发展：组织更多的教研活动，分享优秀的教学经验，提升教师的专业水平。</w:t>
      </w:r>
    </w:p>
    <w:p w14:paraId="11235848">
      <w:pPr>
        <w:pStyle w:val="165"/>
      </w:pPr>
      <w:r>
        <w:t>六、结论与展望</w:t>
      </w:r>
    </w:p>
    <w:p w14:paraId="17B573E5">
      <w:pPr>
        <w:pStyle w:val="167"/>
      </w:pPr>
      <w:r>
        <w:t>"三维递进"教学策略通过投影基础认知、投影体系构建、投影规律应用三个维度的层层递进，有效解决了通用技术三视图教学中的难点问题。实践证明，该教学策略能够显著提升学生的空间认知能力，帮助学生建立正确的空间概念，掌握投影规律，为后续的机械制图、产品设计等学习奠定坚实基础。</w:t>
      </w:r>
    </w:p>
    <w:p w14:paraId="78C0AC0B">
      <w:pPr>
        <w:pStyle w:val="167"/>
      </w:pPr>
      <w:r>
        <w:t>展望未来，随着教育信息化的深入发展，我们将进一步探索虚拟现实（VR）、增强现实（AR）等新技术在三视图教学中的应用，为学生创造更加沉浸式的学习体验。同时，我们也将继续完善教学策略，加强与其他学科的融合，培养学生的综合素养和创新能力，为盐城教育强市建设贡献力量。</w:t>
      </w:r>
    </w:p>
    <w:p w14:paraId="0F37A85D">
      <w:pPr>
        <w:pStyle w:val="167"/>
      </w:pPr>
      <w:r>
        <w:t>教育的本质是唤醒和启发。在通用技术三视图教学中，我们不仅要传授知识和技能，更要培养学生的空间思维能力和工程素养，为培养具有创新精神和实践能力的高素质人才而努力。</w:t>
      </w:r>
    </w:p>
    <w:p w14:paraId="5B857191">
      <w:pPr>
        <w:pStyle w:val="165"/>
      </w:pPr>
      <w:r>
        <w:t>参考文献</w:t>
      </w:r>
    </w:p>
    <w:p w14:paraId="5587CA3F">
      <w:pPr>
        <w:pStyle w:val="171"/>
      </w:pPr>
      <w:r>
        <w:t>[1] 张华. 通用技术课程中空间想象能力培养策略研究[J]. 教育与职业, 2024(12): 45-48.</w:t>
      </w:r>
    </w:p>
    <w:p w14:paraId="3C50EC34">
      <w:pPr>
        <w:pStyle w:val="171"/>
      </w:pPr>
      <w:r>
        <w:t>[2] 李明, 王芳. 建构主义理论在技术教育中的应用[J]. 职业技术教育, 2024(8): 23-26.</w:t>
      </w:r>
    </w:p>
    <w:p w14:paraId="2F007B4C">
      <w:pPr>
        <w:pStyle w:val="171"/>
      </w:pPr>
      <w:r>
        <w:t>[3] 陈晓峰. 认知负荷理论视角下的三视图教学设计[J]. 现代教育技术, 2024(6): 78-82.</w:t>
      </w:r>
    </w:p>
    <w:p w14:paraId="377AA25B">
      <w:pPr>
        <w:pStyle w:val="171"/>
      </w:pPr>
      <w:r>
        <w:t>[4] 教育部. 普通高中通用技术课程标准（2017年版2020年修订）[S]. 北京: 人民教育出版社, 2020.</w:t>
      </w:r>
    </w:p>
    <w:p w14:paraId="71D584FB">
      <w:pPr>
        <w:pStyle w:val="171"/>
      </w:pPr>
      <w:r>
        <w:t>[5] 刘建国, 赵小红. 多元智能理论在技术课程中的实践探索[J]. 教育探索, 2024(3): 15-18.</w:t>
      </w:r>
    </w:p>
    <w:p w14:paraId="1903CB01">
      <w:pPr>
        <w:pStyle w:val="171"/>
      </w:pPr>
      <w:r>
        <w:t>[6] 王建华. 3D打印技术在工程制图教学中的应用研究[J]. 实验室研究与探索, 2024(10): 123-126.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98B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400" w:lineRule="exact"/>
    </w:pPr>
    <w:rPr>
      <w:rFonts w:ascii="宋体" w:hAnsi="宋体" w:eastAsia="宋体" w:cstheme="minorBidi"/>
      <w:sz w:val="24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  <w:style w:type="paragraph" w:customStyle="1" w:styleId="164">
    <w:name w:val="Title Style"/>
    <w:uiPriority w:val="0"/>
    <w:pPr>
      <w:spacing w:before="240" w:after="480" w:line="276" w:lineRule="auto"/>
      <w:jc w:val="center"/>
    </w:pPr>
    <w:rPr>
      <w:rFonts w:ascii="黑体" w:hAnsi="黑体" w:eastAsia="黑体" w:cstheme="minorBidi"/>
      <w:b/>
      <w:sz w:val="32"/>
      <w:szCs w:val="22"/>
      <w:lang w:val="en-US" w:eastAsia="en-US" w:bidi="ar-SA"/>
    </w:rPr>
  </w:style>
  <w:style w:type="paragraph" w:customStyle="1" w:styleId="165">
    <w:name w:val="Heading 1 Style"/>
    <w:uiPriority w:val="0"/>
    <w:pPr>
      <w:spacing w:before="360" w:after="240" w:line="276" w:lineRule="auto"/>
    </w:pPr>
    <w:rPr>
      <w:rFonts w:ascii="黑体" w:hAnsi="黑体" w:eastAsia="黑体" w:cstheme="minorBidi"/>
      <w:b/>
      <w:sz w:val="28"/>
      <w:szCs w:val="22"/>
      <w:lang w:val="en-US" w:eastAsia="en-US" w:bidi="ar-SA"/>
    </w:rPr>
  </w:style>
  <w:style w:type="paragraph" w:customStyle="1" w:styleId="166">
    <w:name w:val="Heading 2 Style"/>
    <w:uiPriority w:val="0"/>
    <w:pPr>
      <w:spacing w:before="240" w:after="120" w:line="276" w:lineRule="auto"/>
    </w:pPr>
    <w:rPr>
      <w:rFonts w:ascii="黑体" w:hAnsi="黑体" w:eastAsia="黑体" w:cstheme="minorBidi"/>
      <w:b/>
      <w:sz w:val="26"/>
      <w:szCs w:val="22"/>
      <w:lang w:val="en-US" w:eastAsia="en-US" w:bidi="ar-SA"/>
    </w:rPr>
  </w:style>
  <w:style w:type="paragraph" w:customStyle="1" w:styleId="167">
    <w:name w:val="Body Style"/>
    <w:uiPriority w:val="0"/>
    <w:pPr>
      <w:spacing w:after="120" w:line="400" w:lineRule="exact"/>
      <w:ind w:firstLine="480"/>
    </w:pPr>
    <w:rPr>
      <w:rFonts w:ascii="宋体" w:hAnsi="宋体" w:eastAsia="宋体" w:cstheme="minorBidi"/>
      <w:sz w:val="24"/>
      <w:szCs w:val="22"/>
      <w:lang w:val="en-US" w:eastAsia="en-US" w:bidi="ar-SA"/>
    </w:rPr>
  </w:style>
  <w:style w:type="paragraph" w:customStyle="1" w:styleId="168">
    <w:name w:val="List Style"/>
    <w:uiPriority w:val="0"/>
    <w:pPr>
      <w:spacing w:after="60" w:line="400" w:lineRule="exact"/>
      <w:ind w:left="480"/>
    </w:pPr>
    <w:rPr>
      <w:rFonts w:ascii="宋体" w:hAnsi="宋体" w:eastAsia="宋体" w:cstheme="minorBidi"/>
      <w:sz w:val="24"/>
      <w:szCs w:val="22"/>
      <w:lang w:val="en-US" w:eastAsia="en-US" w:bidi="ar-SA"/>
    </w:rPr>
  </w:style>
  <w:style w:type="paragraph" w:customStyle="1" w:styleId="169">
    <w:name w:val="Abstract Style"/>
    <w:uiPriority w:val="0"/>
    <w:pPr>
      <w:spacing w:after="120" w:line="360" w:lineRule="exact"/>
      <w:ind w:firstLine="440"/>
    </w:pPr>
    <w:rPr>
      <w:rFonts w:ascii="宋体" w:hAnsi="宋体" w:eastAsia="宋体" w:cstheme="minorBidi"/>
      <w:sz w:val="22"/>
      <w:szCs w:val="22"/>
      <w:lang w:val="en-US" w:eastAsia="en-US" w:bidi="ar-SA"/>
    </w:rPr>
  </w:style>
  <w:style w:type="paragraph" w:customStyle="1" w:styleId="170">
    <w:name w:val="Keyword Style"/>
    <w:uiPriority w:val="0"/>
    <w:pPr>
      <w:spacing w:after="240" w:line="360" w:lineRule="exact"/>
    </w:pPr>
    <w:rPr>
      <w:rFonts w:ascii="宋体" w:hAnsi="宋体" w:eastAsia="宋体" w:cstheme="minorBidi"/>
      <w:sz w:val="22"/>
      <w:szCs w:val="22"/>
      <w:lang w:val="en-US" w:eastAsia="en-US" w:bidi="ar-SA"/>
    </w:rPr>
  </w:style>
  <w:style w:type="paragraph" w:customStyle="1" w:styleId="171">
    <w:name w:val="Reference Style"/>
    <w:uiPriority w:val="0"/>
    <w:pPr>
      <w:spacing w:after="60" w:line="320" w:lineRule="exact"/>
      <w:ind w:left="480"/>
    </w:pPr>
    <w:rPr>
      <w:rFonts w:ascii="楷体" w:hAnsi="楷体" w:eastAsia="楷体" w:cstheme="minorBidi"/>
      <w:sz w:val="20"/>
      <w:szCs w:val="22"/>
      <w:lang w:val="en-US" w:eastAsia="en-US" w:bidi="ar-SA"/>
    </w:rPr>
  </w:style>
  <w:style w:type="paragraph" w:customStyle="1" w:styleId="172">
    <w:name w:val="Author Style"/>
    <w:uiPriority w:val="0"/>
    <w:pPr>
      <w:spacing w:after="360" w:line="276" w:lineRule="auto"/>
      <w:jc w:val="center"/>
    </w:pPr>
    <w:rPr>
      <w:rFonts w:ascii="宋体" w:hAnsi="宋体" w:eastAsia="宋体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3756</Words>
  <Characters>3893</Characters>
  <Lines>0</Lines>
  <Paragraphs>0</Paragraphs>
  <TotalTime>0</TotalTime>
  <ScaleCrop>false</ScaleCrop>
  <LinksUpToDate>false</LinksUpToDate>
  <CharactersWithSpaces>3927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太阳照常升起</cp:lastModifiedBy>
  <dcterms:modified xsi:type="dcterms:W3CDTF">2025-10-27T02:34:41Z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eyJoZGlkIjoiODI4MWQ1ZTA1NWEzZWJlZGQwMjliNDRiZmYxNWNiNGUiLCJ1c2VySWQiOiIyOTcyNjE3MjIifQ==</vt:lpwstr>
  </property>
  <property fmtid="{D5CDD505-2E9C-101B-9397-08002B2CF9AE}" pid="3" name="KSOProductBuildVer">
    <vt:lpwstr>2052-12.1.0.23125</vt:lpwstr>
  </property>
  <property fmtid="{D5CDD505-2E9C-101B-9397-08002B2CF9AE}" pid="4" name="ICV">
    <vt:lpwstr>CFC68F5D0EF2465F9992FA780DEC8ACD_12</vt:lpwstr>
  </property>
</Properties>
</file>