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1</w:t>
      </w:r>
    </w:p>
    <w:p>
      <w:r>
        <w:t>Development reconstruction from the posterior mean. Counts and errors use 701 target residues or 41 sequences. The autoregressive model has no corresponding reconstruction task.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1584"/>
        <w:gridCol w:w="1584"/>
        <w:gridCol w:w="1584"/>
        <w:gridCol w:w="1584"/>
        <w:gridCol w:w="1584"/>
      </w:tblGrid>
      <w:tr>
        <w:trPr>
          <w:cantSplit/>
          <w:tblHeader/>
        </w:trPr>
        <w:tc>
          <w:tcPr>
            <w:tcW w:type="dxa" w:w="1656"/>
            <w:vAlign w:val="center"/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584"/>
            <w:vAlign w:val="center"/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Correct</w:t>
            </w:r>
          </w:p>
        </w:tc>
        <w:tc>
          <w:tcPr>
            <w:tcW w:type="dxa" w:w="1584"/>
            <w:vAlign w:val="center"/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Micro (%)</w:t>
            </w:r>
          </w:p>
        </w:tc>
        <w:tc>
          <w:tcPr>
            <w:tcW w:type="dxa" w:w="1584"/>
            <w:vAlign w:val="center"/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Macro (%)</w:t>
            </w:r>
          </w:p>
        </w:tc>
        <w:tc>
          <w:tcPr>
            <w:tcW w:type="dxa" w:w="1584"/>
            <w:vAlign w:val="center"/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Length MAE</w:t>
            </w:r>
          </w:p>
        </w:tc>
        <w:tc>
          <w:tcPr>
            <w:tcW w:type="dxa" w:w="1584"/>
            <w:vAlign w:val="center"/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Exact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CE21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497/701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70.90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42.76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3/41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MSE21</w:t>
            </w:r>
          </w:p>
        </w:tc>
        <w:tc>
          <w:tcPr>
            <w:tcW w:type="dxa" w:w="1584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88/701</w:t>
            </w:r>
          </w:p>
        </w:tc>
        <w:tc>
          <w:tcPr>
            <w:tcW w:type="dxa" w:w="1584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12.55</w:t>
            </w:r>
          </w:p>
        </w:tc>
        <w:tc>
          <w:tcPr>
            <w:tcW w:type="dxa" w:w="1584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3.57</w:t>
            </w:r>
          </w:p>
        </w:tc>
        <w:tc>
          <w:tcPr>
            <w:tcW w:type="dxa" w:w="1584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5.561</w:t>
            </w:r>
          </w:p>
        </w:tc>
        <w:tc>
          <w:tcPr>
            <w:tcW w:type="dxa" w:w="1584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0/41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Scalar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111/701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15.83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8.05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1.341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8"/>
              </w:rPr>
              <w:t>0/41</w:t>
            </w:r>
          </w:p>
        </w:tc>
      </w:tr>
    </w:tbl>
    <w:p>
      <w:pPr>
        <w:spacing w:after="0"/>
      </w:pPr>
    </w:p>
    <w:p>
      <w:r>
        <w:t>Micro: residue-level accuracy. Macro: mean recall over target-supported amino-acid classes. Length MAE: mean absolute length error. Exact: whole-sequence matches.</w:t>
      </w:r>
    </w:p>
    <w:sectPr w:rsidR="00FC693F" w:rsidRPr="0006063C" w:rsidSect="00034616">
      <w:footerReference w:type="default" r:id="rId9"/>
      <w:pgSz w:w="11909" w:h="16834"/>
      <w:pgMar w:top="1051" w:right="1123" w:bottom="1051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AMP Table 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93" w:lineRule="auto"/>
      <w:outlineLvl w:val="0"/>
    </w:pPr>
    <w:rPr>
      <w:rFonts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93" w:lineRule="auto"/>
      <w:outlineLvl w:val="1"/>
    </w:pPr>
    <w:rPr>
      <w:rFonts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93" w:lineRule="auto"/>
      <w:contextualSpacing/>
    </w:pPr>
    <w:rPr>
      <w:rFonts w:cstheme="majorBidi" w:ascii="Arial" w:hAnsi="Arial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93" w:lineRule="auto"/>
    </w:pPr>
    <w:rPr>
      <w:rFonts w:cstheme="majorBidi" w:ascii="Arial" w:hAnsi="Arial" w:eastAsia="Heiti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