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1. Development reconstruction from the posterior mean</w:t>
      </w:r>
    </w:p>
    <w:p>
      <w:r>
        <w:t>Counts and errors use 701 target residues or 41 sequences. The autoregressive model has no corresponding reconstruction task. Model and metric definitions are given in notes a–c.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/>
        </w:trPr>
        <w:tc>
          <w:tcPr>
            <w:tcW w:type="dxa" w:w="1587"/>
          </w:tcPr>
          <w:p>
            <w:r>
              <w:rPr>
                <w:sz w:val="18"/>
              </w:rPr>
              <w:t>Modelᵃ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Correctᵇ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Micro (%)ᵇ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Macro (%)ᵇ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Length MAEᶜ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Exactᶜ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  <w:t>CE21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497/701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70.90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42.76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0.000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3/41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  <w:t>MSE21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88/701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12.55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3.57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5.561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0/41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  <w:t>Scalar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111/701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15.83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8.05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1.341</w:t>
            </w:r>
          </w:p>
        </w:tc>
        <w:tc>
          <w:tcPr>
            <w:tcW w:type="dxa" w:w="1587"/>
          </w:tcPr>
          <w:p>
            <w:pPr>
              <w:jc w:val="right"/>
            </w:pPr>
            <w:r>
              <w:rPr>
                <w:sz w:val="18"/>
              </w:rPr>
              <w:t>0/41</w:t>
            </w:r>
          </w:p>
        </w:tc>
      </w:tr>
    </w:tbl>
    <w:p>
      <w:r>
        <w:t>a. CE21: 21-category cross-entropy; MSE21: 21-category mean-squared error; scalar: residue-number regression pipeline.</w:t>
      </w:r>
    </w:p>
    <w:p>
      <w:r>
        <w:t>b. Correct: aligned correct target residues out of 701; micro: percentage over those residues; macro: mean recall across target-supported amino-acid classes.</w:t>
      </w:r>
    </w:p>
    <w:p>
      <w:r>
        <w:t>c. Length MAE: mean absolute length error in residues over 41 sequences; exact: whole-sequence matches out of 41. Source: Table S1 and the accompanying reconstruction records.</w:t>
      </w:r>
    </w:p>
    <w:sectPr w:rsidR="00FC693F" w:rsidRPr="0006063C" w:rsidSect="00034616"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Briefings in Bioinformatics submission</dc:subject>
  <dc:creator>Hongsheng Wang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