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200"/>
        <w:jc w:val="center"/>
      </w:pPr>
      <w:r>
        <w:rPr>
          <w:rFonts w:ascii="Calibri" w:hAnsi="Calibri" w:eastAsia="微软雅黑"/>
          <w:b/>
          <w:color w:val="1B4F9C"/>
          <w:sz w:val="52"/>
        </w:rPr>
        <w:t>Beyond the Hall</w:t>
      </w:r>
    </w:p>
    <w:p>
      <w:pPr>
        <w:spacing w:after="40" w:before="0"/>
        <w:jc w:val="center"/>
      </w:pPr>
      <w:r>
        <w:rPr>
          <w:rFonts w:ascii="Calibri" w:hAnsi="Calibri" w:eastAsia="微软雅黑"/>
          <w:b w:val="0"/>
          <w:color w:val="0B1F3F"/>
          <w:sz w:val="30"/>
        </w:rPr>
        <w:t>博彦科技深圳展厅设计施工项目 · 投标汇报</w:t>
      </w:r>
    </w:p>
    <w:p>
      <w:pPr>
        <w:spacing w:after="600" w:before="0"/>
        <w:jc w:val="center"/>
      </w:pPr>
      <w:r>
        <w:rPr>
          <w:rFonts w:ascii="Calibri" w:hAnsi="Calibri" w:eastAsia="微软雅黑"/>
          <w:b/>
          <w:color w:val="008AAB"/>
          <w:sz w:val="26"/>
        </w:rPr>
        <w:t>10 分钟汇报稿（导览式 · 正式版）</w:t>
      </w:r>
    </w:p>
    <w:p>
      <w:pPr>
        <w:spacing w:after="0" w:before="0"/>
        <w:jc w:val="center"/>
      </w:pPr>
      <w:r>
        <w:rPr>
          <w:rFonts w:ascii="Calibri" w:hAnsi="Calibri" w:eastAsia="微软雅黑"/>
          <w:b w:val="0"/>
          <w:color w:val="667080"/>
          <w:sz w:val="18"/>
        </w:rPr>
        <w:t>配合《BeyondTheHall_动态投标汇报》正片播放使用 · 括号内为翻页与动作提示 · 语速约 270 字/分钟</w:t>
      </w:r>
    </w:p>
    <w:p>
      <w:r>
        <w:br w:type="page"/>
      </w:r>
    </w:p>
    <w:p>
      <w:pPr>
        <w:spacing w:after="160" w:before="360"/>
      </w:pPr>
      <w:r>
        <w:rPr>
          <w:rFonts w:ascii="Calibri" w:hAnsi="Calibri" w:eastAsia="微软雅黑"/>
          <w:b/>
          <w:color w:val="D8742B"/>
          <w:sz w:val="26"/>
        </w:rPr>
        <w:t>使用提示</w:t>
      </w:r>
    </w:p>
    <w:p>
      <w:pPr>
        <w:pStyle w:val="ListBullet"/>
        <w:spacing w:after="60" w:before="0"/>
      </w:pPr>
      <w:r>
        <w:rPr>
          <w:rFonts w:ascii="Calibri" w:hAnsi="Calibri" w:eastAsia="微软雅黑"/>
          <w:b w:val="0"/>
          <w:sz w:val="21"/>
        </w:rPr>
        <w:t>全程配合自动播放模式（空格键暂停/继续），或按 → 手动控制节奏</w:t>
      </w:r>
    </w:p>
    <w:p>
      <w:pPr>
        <w:pStyle w:val="ListBullet"/>
        <w:spacing w:after="60" w:before="0"/>
      </w:pPr>
      <w:r>
        <w:rPr>
          <w:rFonts w:ascii="Calibri" w:hAnsi="Calibri" w:eastAsia="微软雅黑"/>
          <w:b w:val="0"/>
          <w:sz w:val="21"/>
        </w:rPr>
        <w:t>P15、P20、P27、P30 四处有视频，口播时留 5–8 秒让画面呈现</w:t>
      </w:r>
    </w:p>
    <w:p>
      <w:pPr>
        <w:pStyle w:val="ListBullet"/>
        <w:spacing w:after="60" w:before="0"/>
      </w:pPr>
      <w:r>
        <w:rPr>
          <w:rFonts w:ascii="Calibri" w:hAnsi="Calibri" w:eastAsia="微软雅黑"/>
          <w:b w:val="0"/>
          <w:sz w:val="21"/>
        </w:rPr>
        <w:t>P19 数字滚动、P22/23 星空顶为视觉重点，宜放慢语速</w:t>
      </w:r>
    </w:p>
    <w:p>
      <w:pPr>
        <w:pStyle w:val="ListBullet"/>
        <w:spacing w:after="60" w:before="0"/>
      </w:pPr>
      <w:r>
        <w:rPr>
          <w:rFonts w:ascii="Calibri" w:hAnsi="Calibri" w:eastAsia="微软雅黑"/>
          <w:b w:val="0"/>
          <w:sz w:val="21"/>
        </w:rPr>
        <w:t>如需压缩至 8 分钟：方案二一节（7:30–8:20）可精简为两句概述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