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ind w:firstLine="0"/>
        <w:jc w:val="center"/>
      </w:pPr>
      <w:r>
        <w:rPr>
          <w:b/>
          <w:sz w:val="36"/>
          <w:rFonts w:eastAsia="黑体" w:ascii="Times New Roman" w:hAnsi="Times New Roman"/>
        </w:rPr>
        <w:t>TILE 加载机制：一种面向大模型专业化开发的训练数据纵向结构化方法</w:t>
      </w:r>
    </w:p>
    <w:p>
      <w:pPr>
        <w:spacing w:after="240"/>
        <w:ind w:firstLine="0"/>
        <w:jc w:val="center"/>
      </w:pPr>
      <w:r>
        <w:rPr>
          <w:sz w:val="22"/>
          <w:rFonts w:eastAsia="宋体"/>
        </w:rPr>
        <w:t>辉哥</w:t>
      </w:r>
    </w:p>
    <w:p>
      <w:pPr>
        <w:spacing w:before="120" w:after="0"/>
        <w:ind w:firstLine="0"/>
        <w:jc w:val="left"/>
      </w:pPr>
      <w:r>
        <w:rPr>
          <w:b/>
          <w:sz w:val="21"/>
          <w:rFonts w:eastAsia="黑体"/>
        </w:rPr>
        <w:t>摘  要：</w:t>
      </w:r>
    </w:p>
    <w:p>
      <w:pPr>
        <w:pStyle w:val="TILE摘要"/>
      </w:pPr>
      <w:r>
        <w:rPr>
          <w:rFonts w:eastAsia="宋体"/>
        </w:rPr>
        <w:t>国家</w:t>
      </w:r>
      <w:r>
        <w:rPr>
          <w:b/>
        </w:rPr>
        <w:t>“十五五”</w:t>
      </w:r>
      <w:r>
        <w:t>规划将</w:t>
      </w:r>
      <w:r>
        <w:rPr>
          <w:b/>
        </w:rPr>
        <w:t>“人工智能+”</w:t>
      </w:r>
      <w:r>
        <w:t>列为战略性新兴产业核心方向，推动各行业、产业、企业层面的专用大模型开发成为大势所趋。然而，大模型专业化开发过程中，主流的模型蒸馏、参数高效微调与检索增强方法在适用性与训练效率方面面临共同挑战。本文在阐释大模型专业化开发概念的基础上，系统梳理现有技术路径的局限性，提出一种</w:t>
      </w:r>
      <w:r>
        <w:rPr>
          <w:b/>
        </w:rPr>
        <w:t>三层索引加载引擎 TILE（Three-layer Indexed Loading Engine）</w:t>
      </w:r>
      <w:r>
        <w:t>机制。TILE 通过常驻索引层（RIL）、领域内容层（DCL）与临时缓冲层（EBL）的三级组织，将面向专业化训练与推理的上下文加载由</w:t>
      </w:r>
      <w:r>
        <w:rPr>
          <w:b/>
        </w:rPr>
        <w:t>“全量遍历”</w:t>
      </w:r>
      <w:r>
        <w:t>重构为</w:t>
      </w:r>
      <w:r>
        <w:rPr>
          <w:b/>
        </w:rPr>
        <w:t>“按需路由”</w:t>
      </w:r>
      <w:r>
        <w:t>，其设计思路与蒸馏路径在哲学层面具有同构性——通过训练前数据预压缩，使后续训练仅需在高频相关数据子集上展开。TILE 以</w:t>
      </w:r>
      <w:r>
        <w:rPr>
          <w:b/>
        </w:rPr>
        <w:t>针对性、有效性、时效性</w:t>
      </w:r>
      <w:r>
        <w:t>为三维准则，其设计思想受半导体领域韬（τ）定律的架构创新逻辑启发，与传统参数层面的蒸馏路径形成互补。基于多场景模拟实验与真实工作目录下的对照实验，TILE 在个人知识管理场景中 token 消耗降低约 70%，在长上下文对话场景中加载范围缩小至目标文件量级，在多用户协作场景中通过索引共享降低同步开销；真实实验中，TILE 加载模式相对工程基线以边际 91 token 投入换取 1 分质量提升，相对扁平全量加载实现约 80% 的整体成本削减，并在统计检验中达到 p &lt; 0.001 的显著性水平，验证了其作为训练数据纵向结构化方法在大模型专业化开发中的可行性与有效性。</w:t>
      </w:r>
    </w:p>
    <w:p>
      <w:pPr>
        <w:pStyle w:val="TILE摘要"/>
      </w:pPr>
      <w:r>
        <w:rPr>
          <w:b/>
        </w:rPr>
        <w:t>关键词：</w:t>
      </w:r>
      <w:r>
        <w:t>大模型专业化开发；训练数据纵向结构化；三层索引加载引擎；上下文信息组织架构；针对性</w:t>
      </w:r>
    </w:p>
    <w:p>
      <w:pPr>
        <w:spacing w:before="60"/>
        <w:ind w:firstLine="0"/>
        <w:jc w:val="left"/>
      </w:pPr>
      <w:r>
        <w:rPr>
          <w:sz w:val="18"/>
        </w:rPr>
        <w:t>中图分类号：TP391</w:t>
      </w:r>
    </w:p>
    <w:p>
      <w:pPr>
        <w:spacing w:before="360" w:after="120"/>
        <w:ind w:firstLine="0"/>
        <w:jc w:val="center"/>
      </w:pPr>
      <w:r>
        <w:rPr>
          <w:b/>
          <w:i w:val="0"/>
          <w:sz w:val="28"/>
          <w:rFonts w:eastAsia="黑体"/>
        </w:rPr>
        <w:t>TILE Loading Mechanism: A Vertical Structured Method of Training Data for Specialized Development of Large Language Models</w:t>
      </w:r>
    </w:p>
    <w:p>
      <w:pPr>
        <w:ind w:firstLine="0"/>
        <w:jc w:val="left"/>
      </w:pPr>
      <w:r>
        <w:rPr>
          <w:b/>
          <w:sz w:val="21"/>
        </w:rPr>
        <w:t xml:space="preserve">Abstract: </w:t>
      </w:r>
      <w:r>
        <w:rPr>
          <w:sz w:val="18"/>
        </w:rPr>
        <w:t>The "AI Plus" initiative has been listed as a strategic emerging industry priority in China's 15th Five-Year Plan, accelerating the demand for domain-specific large language models (LLMs) across industries. However, mainstream specialization approaches—model distillation, parameter-efficient fine-tuning (PEFT), and retrieval-augmented generation (RAG)—face common challenges in applicability and training efficiency. This paper proposes a Three-layer Indexed Loading Engine (TILE), which restructures context loading for specialized training and inference from "full traversal" to "on-demand routing" through three layers: the Resident Index Layer (RIL), Domain Content Layer (DCL), and Ephemeral Buffer Layer (EBL). TILE is guided by three design principles—targetability, effectiveness, and timeliness—and is philosophically isomorphic to distillation, achieving pre-training data compression at the architectural level. Inspired by the τ-law in semiconductors, TILE complements parameter-level distillation. Experiments on simulated and real-world scenarios show that TILE reduces token consumption by ~70% in personal knowledge management, scales to target-file level in long-context dialogue, and shares indexes in multi-user collaboration. In a real workspace, TILE achieves a 4.7× marginal efficiency over the engineering baseline and ~80% overall cost reduction versus flat full loading, with statistical significance p &lt; 0.001.</w:t>
      </w:r>
    </w:p>
    <w:p>
      <w:pPr>
        <w:ind w:firstLine="0"/>
      </w:pPr>
      <w:r>
        <w:rPr>
          <w:b/>
          <w:sz w:val="18"/>
        </w:rPr>
        <w:t xml:space="preserve">Key words: </w:t>
      </w:r>
      <w:r>
        <w:t>specialized development of large language models; vertical structuring of training data; three-layer indexed loading engine; context information organization; targetability</w:t>
      </w:r>
    </w:p>
    <w:p>
      <w:pPr>
        <w:pStyle w:val="TILE一级标题"/>
      </w:pPr>
      <w:r>
        <w:t>1 引言</w:t>
      </w:r>
    </w:p>
    <w:p>
      <w:pPr>
        <w:pStyle w:val="TILE二级标题"/>
      </w:pPr>
      <w:r>
        <w:t>1.1 政策背景：从"人工智能+"到大模型专业化开发</w:t>
      </w:r>
    </w:p>
    <w:p>
      <w:pPr>
        <w:jc w:val="both"/>
      </w:pPr>
      <w:r>
        <w:t>国家"十五五"规划明确将人工智能列为战略性新兴产业的核心方向，提出要"推动人工智能与实体经济深度融合"。在这一政策导向下，各行业、产业乃至企业对专业化大模型的需求呈现快速增长态势——教育领域的智能辅导、工业领域的知识问答、医疗领域的辅助诊断、金融领域的实时风控等场景，均需在通用大模型基础上实现特定领域的高效落地。由此，</w:t>
      </w:r>
    </w:p>
    <w:p>
      <w:pPr>
        <w:jc w:val="both"/>
      </w:pPr>
      <w:r>
        <w:rPr>
          <w:b/>
        </w:rPr>
        <w:t>大模型专业化开发</w:t>
      </w:r>
      <w:r>
        <w:t>作为一个明确的研究范畴与工程实践领域应运而生。</w:t>
      </w:r>
    </w:p>
    <w:p>
      <w:pPr>
        <w:jc w:val="both"/>
      </w:pPr>
      <w:r>
        <w:t>所谓大模型专业化开发，是指在通用预训练大模型（GPT、LLaMA、BERT 等）的基础上，针对特定行业、产业或企业的领域知识与任务需求，通过数据准备、训练优化、部署适配等环节，使模型能够在垂直场景中达到可用性能水平的完整过程。其本质特征可概括为三点：其一，领域特异性——训练语料须反映特定行业的知识体系与任务模式；其二，时效敏感性——专业领域的规则、行情、指南等具有明确的时效属性，昨日的规则可能在今日失效；其三，资源约束性——相较于通用大模型的海量预训练，专业化开发更强调在可控成本下完成知识迁移与适配。</w:t>
      </w:r>
    </w:p>
    <w:p>
      <w:pPr>
        <w:pStyle w:val="TILE二级标题"/>
      </w:pPr>
      <w:r>
        <w:t>1.2 现有路径总览</w:t>
      </w:r>
    </w:p>
    <w:p>
      <w:pPr>
        <w:jc w:val="both"/>
      </w:pPr>
      <w:r>
        <w:t>围绕大模型专业化开发这一目标，学界与工业界已探索出多条技术路径。从优化对象的角度看，可将现有路径划分为三类：模型蒸馏路径、参数高效微调路径与检索增强路径。图 1 给出现有路径的总体视图。</w:t>
      </w:r>
    </w:p>
    <w:p>
      <w:pPr>
        <w:spacing w:before="120" w:after="60"/>
        <w:ind w:firstLine="0"/>
        <w:jc w:val="center"/>
      </w:pPr>
      <w:r>
        <w:drawing>
          <wp:inline xmlns:a="http://schemas.openxmlformats.org/drawingml/2006/main" xmlns:pic="http://schemas.openxmlformats.org/drawingml/2006/picture">
            <wp:extent cx="5040000" cy="2705294"/>
            <wp:docPr id="1" name="Picture 1"/>
            <wp:cNvGraphicFramePr>
              <a:graphicFrameLocks noChangeAspect="1"/>
            </wp:cNvGraphicFramePr>
            <a:graphic>
              <a:graphicData uri="http://schemas.openxmlformats.org/drawingml/2006/picture">
                <pic:pic>
                  <pic:nvPicPr>
                    <pic:cNvPr id="0" name="fig1_paths_overview.png"/>
                    <pic:cNvPicPr/>
                  </pic:nvPicPr>
                  <pic:blipFill>
                    <a:blip r:embed="rId9"/>
                    <a:stretch>
                      <a:fillRect/>
                    </a:stretch>
                  </pic:blipFill>
                  <pic:spPr>
                    <a:xfrm>
                      <a:off x="0" y="0"/>
                      <a:ext cx="5040000" cy="2705294"/>
                    </a:xfrm>
                    <a:prstGeom prst="rect"/>
                  </pic:spPr>
                </pic:pic>
              </a:graphicData>
            </a:graphic>
          </wp:inline>
        </w:drawing>
      </w:r>
    </w:p>
    <w:p>
      <w:pPr>
        <w:pStyle w:val="TILE图题"/>
      </w:pPr>
      <w:r>
        <w:t>图 1  大模型专业化开发现有路径总体视图</w:t>
      </w:r>
    </w:p>
    <w:p>
      <w:pPr>
        <w:pStyle w:val="TILE图题"/>
      </w:pPr>
      <w:r>
        <w:rPr>
          <w:b w:val="0"/>
          <w:i/>
        </w:rPr>
        <w:t>Fig. 1  Overview of existing approaches for specialized LLM development</w:t>
      </w:r>
    </w:p>
    <w:p>
      <w:pPr>
        <w:ind w:firstLine="420"/>
      </w:pPr>
      <w:r>
        <w:rPr>
          <w:b/>
        </w:rPr>
        <w:t>路径一：模型蒸馏（Distillation）</w:t>
      </w:r>
      <w:r>
        <w:t>。通过让学生模型学习教师模型的输出分布实现规模压缩。Hinton 等将知识蒸馏系统化；DistilBERT 在保留约 97% 性能的前提下将 BERT 压缩约 40%；TinyBERT 引入层间蒸馏进一步提升了压缩比；MiniLLM 将蒸馏方法扩展至生成式大语言模型。该路径的核心动作是"教师模型→学生模型"的参数级知识迁移。</w:t>
      </w:r>
    </w:p>
    <w:p>
      <w:pPr>
        <w:ind w:firstLine="420"/>
      </w:pPr>
      <w:r>
        <w:rPr>
          <w:b/>
        </w:rPr>
        <w:t>路径二：参数高效微调（PEFT）</w:t>
      </w:r>
      <w:r>
        <w:t>。在冻结原模型参数的前提下，通过少量可训练参数实现任务适配。LoRA 通过低秩适配矩阵将可训练参数量从数十亿级降至百万级；QLoRA 引入 4 位量化使单张消费级 GPU 即可完成微调；Prompt Tuning 则从输入端探索轻量化适配路径。该路径的核心动作是"冻结原模型+加适配器"的参数级调整。</w:t>
      </w:r>
    </w:p>
    <w:p>
      <w:pPr>
        <w:ind w:firstLine="420"/>
      </w:pPr>
      <w:r>
        <w:rPr>
          <w:b/>
        </w:rPr>
        <w:t>路径三：检索增强生成（RAG）</w:t>
      </w:r>
      <w:r>
        <w:t>。通过在推理阶段为模型补充外部知识，间接实现专业化。Lewis 等提出 RAG 基本范式；DPR 等检索方法的改进进一步提升了检索质量；分层检索增强生成（Hierarchical RAG）方法尝试通过多层级表示缓解长上下文推理中的检索失效问题。该路径的核心动作是"运行时检索+生成"的知识级扩展。</w:t>
      </w:r>
    </w:p>
    <w:p>
      <w:pPr>
        <w:pStyle w:val="TILE二级标题"/>
      </w:pPr>
      <w:r>
        <w:t>1.3 现有路径的共性局限</w:t>
      </w:r>
    </w:p>
    <w:p>
      <w:pPr>
        <w:jc w:val="both"/>
      </w:pPr>
      <w:r>
        <w:t>尽管上述三类路径在各自应用场景中均取得了显著成效，但在大模型专业化开发语境下，仍面临三层共性局限。</w:t>
      </w:r>
    </w:p>
    <w:p>
      <w:pPr>
        <w:ind w:firstLine="420"/>
      </w:pPr>
      <w:r>
        <w:rPr>
          <w:b/>
        </w:rPr>
        <w:t>其一，适用性受限。</w:t>
      </w:r>
      <w:r>
        <w:t>无论是蒸馏、微调还是 RAG，均要求使用者具备深度学习专业背景与充足的算力资源。对广大行业应用开发者——他们通常专注于本领域业务而非算法本身——而言，这些路径构成了较高的技术门槛。同时，路径选择本身高度依赖经验判断，缺乏统一的决策依据。</w:t>
      </w:r>
    </w:p>
    <w:p>
      <w:pPr>
        <w:ind w:firstLine="420"/>
      </w:pPr>
      <w:r>
        <w:rPr>
          <w:b/>
        </w:rPr>
        <w:t>其二，训练信号稀释。</w:t>
      </w:r>
      <w:r>
        <w:t>传统方法对训练语料的组织多采用平铺式堆叠——不区分主题、不区分时效、不区分重要性——导致训练过程中大量计算资源被用于学习与应用场景弱相关的通用知识。在大模型专业化开发场景下，专业化训练的"信号密度"显著偏低，进而影响最终模型在垂直领域的表现。</w:t>
      </w:r>
    </w:p>
    <w:p>
      <w:pPr>
        <w:ind w:firstLine="420"/>
      </w:pPr>
      <w:r>
        <w:rPr>
          <w:b/>
        </w:rPr>
        <w:t>其三，时效性保障缺失。</w:t>
      </w:r>
      <w:r>
        <w:t>上述路径普遍缺乏对训练数据时间属性的内置处理机制。在金融行情、医疗指南、政策法规等需要频繁更新的专业领域，传统的"训练-部署-冻结"流程难以适应知识的快速演化，模型容易因训练语料的陈旧而失效。</w:t>
      </w:r>
    </w:p>
    <w:p>
      <w:pPr>
        <w:pStyle w:val="TILE二级标题"/>
      </w:pPr>
      <w:r>
        <w:t>1.4 跨领域启示：架构创新的同构性</w:t>
      </w:r>
    </w:p>
    <w:p>
      <w:pPr>
        <w:jc w:val="both"/>
      </w:pPr>
      <w:r>
        <w:t>一个跨领域的观察或许能为上述局限提供新的解决思路。半导体产业长期遵循摩尔定律，通过晶体管几何尺寸的持续微缩实现性能提升。然而，当几何缩微逼近物理极限且制程成本急剧攀升时，单一的尺寸微缩路线难以为继。2026 年 5 月，华为何庭波在 IEEE ISCAS 会议上提出韬（τ）定律，本质为 STCO（System Technology Co-Optimization，系统-技术协同优化）方法论的具体演进，主张以"时间缩微"替代"几何缩微"作为半导体演进的新指导原则，通过逻辑折叠等架构创新手段压缩信号传播时延。这一实践的核心启示在于：</w:t>
      </w:r>
      <w:r>
        <w:rPr>
          <w:b/>
        </w:rPr>
        <w:t>当某一层面的资源约束趋紧时，向相邻层面寻求架构性突破，往往比在同一层面继续堆叠资源更具可持续性。</w:t>
      </w:r>
    </w:p>
    <w:p>
      <w:pPr>
        <w:pStyle w:val="TILE二级标题"/>
      </w:pPr>
      <w:r>
        <w:t>1.5 与蒸馏路径的同构关系</w:t>
      </w:r>
    </w:p>
    <w:p>
      <w:pPr>
        <w:jc w:val="both"/>
      </w:pPr>
      <w:r>
        <w:t>受此启发，本文将视线从模型参数层面拓展至相邻的训练数据组织架构层面。在大模型专业化开发实践中，无论是蒸馏、微调还是 RAG，都需要面对一个共同的前置环节：模型所依赖的知识基座如何被组织与管理。当前的工程实践中，这一环节往往被忽视——训练语料以平铺方式堆叠，导致训练过程无法对内容进行有针对性的筛选。</w:t>
      </w:r>
    </w:p>
    <w:p>
      <w:pPr>
        <w:ind w:firstLine="420"/>
      </w:pPr>
      <w:r>
        <w:t>本文提出的 TILE（Three-layer Indexed Loading Engine）机制，其本质是为大模型专业化开发提供一种</w:t>
      </w:r>
      <w:r>
        <w:rPr>
          <w:b/>
        </w:rPr>
        <w:t>训练数据的纵向结构化方法</w:t>
      </w:r>
      <w:r>
        <w:t>。该方法与模型蒸馏路径在哲学层面具有同构关系：传统蒸馏通过缩小学生模型的参数规模实现能力迁移，但要求学生模型重新学习教师模型的全量知识分布；TILE 则将"知识浓缩"的逻辑前移至训练数据组织阶段——</w:t>
      </w:r>
      <w:r>
        <w:rPr>
          <w:b/>
        </w:rPr>
        <w:t>通过将训练语料按主题、时效、重要性进行纵向结构化分层，使后续训练过程仅需在高频相关数据子集上展开</w:t>
      </w:r>
      <w:r>
        <w:t>。两者皆承认资源约束的客观存在，并各自在相邻层面寻求架构性突破——蒸馏在参数层面、TILE 在数据组织层面。</w:t>
      </w:r>
    </w:p>
    <w:p>
      <w:pPr>
        <w:pStyle w:val="TILE二级标题"/>
      </w:pPr>
      <w:r>
        <w:t>1.6 本文方案与贡献</w:t>
      </w:r>
    </w:p>
    <w:p>
      <w:pPr>
        <w:jc w:val="both"/>
      </w:pPr>
      <w:r>
        <w:t>基于上述判断，TILE 将面向专业化训练与推理的上下文加载由"全量遍历"重构为"按需路由"，围绕针对性、有效性、时效性三维准则展开设计，其形式化描述与具体实现详见第 3 节。</w:t>
      </w:r>
    </w:p>
    <w:p>
      <w:pPr>
        <w:jc w:val="both"/>
      </w:pPr>
      <w:r>
        <w:t>为明确 TILE 的技术定位，表 1 从五个维度对传统全量加载、向量 RAG、MemGPT 以及 TILE 进行了系统性对比。</w:t>
      </w:r>
    </w:p>
    <w:p>
      <w:pPr>
        <w:pStyle w:val="TILE表题"/>
      </w:pPr>
      <w:r>
        <w:t>表 1  主流上下文信息组织机制设计层次对比</w:t>
      </w:r>
    </w:p>
    <w:p>
      <w:pPr>
        <w:pStyle w:val="TILE表题"/>
      </w:pPr>
      <w:r>
        <w:rPr>
          <w:b w:val="0"/>
          <w:i/>
        </w:rPr>
        <w:t>Table 1  Comparison of mainstream context information organization mechanisms</w:t>
      </w:r>
    </w:p>
    <w:tbl>
      <w:tblPr>
        <w:tblW w:type="auto" w:w="0"/>
        <w:jc w:val="center"/>
        <w:tblLook w:firstColumn="1" w:firstRow="1" w:lastColumn="0" w:lastRow="0" w:noHBand="0" w:noVBand="1" w:val="04A0"/>
      </w:tblPr>
      <w:tblGrid>
        <w:gridCol w:w="1606"/>
        <w:gridCol w:w="1606"/>
        <w:gridCol w:w="1606"/>
        <w:gridCol w:w="1606"/>
        <w:gridCol w:w="1606"/>
        <w:gridCol w:w="1606"/>
      </w:tblGrid>
      <w:tr>
        <w:tc>
          <w:tcPr>
            <w:tcW w:type="dxa" w:w="1417"/>
            <w:tcBorders>
              <w:top w:val="single" w:sz="12" w:color="000000"/>
              <w:left w:val="nil"/>
              <w:bottom w:val="single" w:sz="6" w:color="000000"/>
              <w:right w:val="nil"/>
            </w:tcBorders>
          </w:tcPr>
          <w:p>
            <w:pPr>
              <w:jc w:val="center"/>
            </w:pPr>
            <w:r/>
            <w:r>
              <w:rPr>
                <w:b/>
                <w:sz w:val="18"/>
                <w:rFonts w:eastAsia="黑体" w:ascii="Times New Roman" w:hAnsi="Times New Roman"/>
              </w:rPr>
              <w:t>机制</w:t>
            </w:r>
          </w:p>
        </w:tc>
        <w:tc>
          <w:tcPr>
            <w:tcW w:type="dxa" w:w="1134"/>
            <w:tcBorders>
              <w:top w:val="single" w:sz="12" w:color="000000"/>
              <w:left w:val="nil"/>
              <w:bottom w:val="single" w:sz="6" w:color="000000"/>
              <w:right w:val="nil"/>
            </w:tcBorders>
          </w:tcPr>
          <w:p>
            <w:pPr>
              <w:jc w:val="center"/>
            </w:pPr>
            <w:r/>
            <w:r>
              <w:rPr>
                <w:b/>
                <w:sz w:val="18"/>
                <w:rFonts w:eastAsia="黑体" w:ascii="Times New Roman" w:hAnsi="Times New Roman"/>
              </w:rPr>
              <w:t>索引粒度</w:t>
            </w:r>
          </w:p>
        </w:tc>
        <w:tc>
          <w:tcPr>
            <w:tcW w:type="dxa" w:w="1701"/>
            <w:tcBorders>
              <w:top w:val="single" w:sz="12" w:color="000000"/>
              <w:left w:val="nil"/>
              <w:bottom w:val="single" w:sz="6" w:color="000000"/>
              <w:right w:val="nil"/>
            </w:tcBorders>
          </w:tcPr>
          <w:p>
            <w:pPr>
              <w:jc w:val="center"/>
            </w:pPr>
            <w:r/>
            <w:r>
              <w:rPr>
                <w:b/>
                <w:sz w:val="18"/>
                <w:rFonts w:eastAsia="黑体" w:ascii="Times New Roman" w:hAnsi="Times New Roman"/>
              </w:rPr>
              <w:t>加载时机</w:t>
            </w:r>
          </w:p>
        </w:tc>
        <w:tc>
          <w:tcPr>
            <w:tcW w:type="dxa" w:w="1417"/>
            <w:tcBorders>
              <w:top w:val="single" w:sz="12" w:color="000000"/>
              <w:left w:val="nil"/>
              <w:bottom w:val="single" w:sz="6" w:color="000000"/>
              <w:right w:val="nil"/>
            </w:tcBorders>
          </w:tcPr>
          <w:p>
            <w:pPr>
              <w:jc w:val="center"/>
            </w:pPr>
            <w:r/>
            <w:r>
              <w:rPr>
                <w:b/>
                <w:sz w:val="18"/>
                <w:rFonts w:eastAsia="黑体" w:ascii="Times New Roman" w:hAnsi="Times New Roman"/>
              </w:rPr>
              <w:t>时效性感知</w:t>
            </w:r>
          </w:p>
        </w:tc>
        <w:tc>
          <w:tcPr>
            <w:tcW w:type="dxa" w:w="850"/>
            <w:tcBorders>
              <w:top w:val="single" w:sz="12" w:color="000000"/>
              <w:left w:val="nil"/>
              <w:bottom w:val="single" w:sz="6" w:color="000000"/>
              <w:right w:val="nil"/>
            </w:tcBorders>
          </w:tcPr>
          <w:p>
            <w:pPr>
              <w:jc w:val="center"/>
            </w:pPr>
            <w:r/>
            <w:r>
              <w:rPr>
                <w:b/>
                <w:sz w:val="18"/>
                <w:rFonts w:eastAsia="黑体" w:ascii="Times New Roman" w:hAnsi="Times New Roman"/>
              </w:rPr>
              <w:t>运维成本</w:t>
            </w:r>
          </w:p>
        </w:tc>
        <w:tc>
          <w:tcPr>
            <w:tcW w:type="dxa" w:w="850"/>
            <w:tcBorders>
              <w:top w:val="single" w:sz="12" w:color="000000"/>
              <w:left w:val="nil"/>
              <w:bottom w:val="single" w:sz="6" w:color="000000"/>
              <w:right w:val="nil"/>
            </w:tcBorders>
          </w:tcPr>
          <w:p>
            <w:pPr>
              <w:jc w:val="center"/>
            </w:pPr>
            <w:r/>
            <w:r>
              <w:rPr>
                <w:b/>
                <w:sz w:val="18"/>
                <w:rFonts w:eastAsia="黑体" w:ascii="Times New Roman" w:hAnsi="Times New Roman"/>
              </w:rPr>
              <w:t>透明性</w:t>
            </w:r>
          </w:p>
        </w:tc>
      </w:tr>
      <w:tr>
        <w:tc>
          <w:tcPr>
            <w:tcW w:type="dxa" w:w="1417"/>
            <w:tcBorders>
              <w:top w:val="nil"/>
              <w:left w:val="nil"/>
              <w:bottom w:val="nil"/>
              <w:right w:val="nil"/>
            </w:tcBorders>
          </w:tcPr>
          <w:p>
            <w:pPr>
              <w:jc w:val="left"/>
            </w:pPr>
            <w:r/>
            <w:r>
              <w:rPr>
                <w:sz w:val="18"/>
                <w:rFonts w:eastAsia="宋体" w:ascii="Times New Roman" w:hAnsi="Times New Roman"/>
              </w:rPr>
              <w:t>传统全量加载</w:t>
            </w:r>
          </w:p>
        </w:tc>
        <w:tc>
          <w:tcPr>
            <w:tcW w:type="dxa" w:w="1134"/>
            <w:tcBorders>
              <w:top w:val="nil"/>
              <w:left w:val="nil"/>
              <w:bottom w:val="nil"/>
              <w:right w:val="nil"/>
            </w:tcBorders>
          </w:tcPr>
          <w:p>
            <w:pPr>
              <w:jc w:val="left"/>
            </w:pPr>
            <w:r/>
            <w:r>
              <w:rPr>
                <w:sz w:val="18"/>
                <w:rFonts w:eastAsia="宋体" w:ascii="Times New Roman" w:hAnsi="Times New Roman"/>
              </w:rPr>
              <w:t>无</w:t>
            </w:r>
          </w:p>
        </w:tc>
        <w:tc>
          <w:tcPr>
            <w:tcW w:type="dxa" w:w="1701"/>
            <w:tcBorders>
              <w:top w:val="nil"/>
              <w:left w:val="nil"/>
              <w:bottom w:val="nil"/>
              <w:right w:val="nil"/>
            </w:tcBorders>
          </w:tcPr>
          <w:p>
            <w:pPr>
              <w:jc w:val="left"/>
            </w:pPr>
            <w:r/>
            <w:r>
              <w:rPr>
                <w:sz w:val="18"/>
                <w:rFonts w:eastAsia="宋体" w:ascii="Times New Roman" w:hAnsi="Times New Roman"/>
              </w:rPr>
              <w:t>静态全量</w:t>
            </w:r>
          </w:p>
        </w:tc>
        <w:tc>
          <w:tcPr>
            <w:tcW w:type="dxa" w:w="1417"/>
            <w:tcBorders>
              <w:top w:val="nil"/>
              <w:left w:val="nil"/>
              <w:bottom w:val="nil"/>
              <w:right w:val="nil"/>
            </w:tcBorders>
          </w:tcPr>
          <w:p>
            <w:pPr>
              <w:jc w:val="left"/>
            </w:pPr>
            <w:r/>
            <w:r>
              <w:rPr>
                <w:sz w:val="18"/>
                <w:rFonts w:eastAsia="宋体" w:ascii="Times New Roman" w:hAnsi="Times New Roman"/>
              </w:rPr>
              <w:t>×</w:t>
            </w:r>
          </w:p>
        </w:tc>
        <w:tc>
          <w:tcPr>
            <w:tcW w:type="dxa" w:w="850"/>
            <w:tcBorders>
              <w:top w:val="nil"/>
              <w:left w:val="nil"/>
              <w:bottom w:val="nil"/>
              <w:right w:val="nil"/>
            </w:tcBorders>
          </w:tcPr>
          <w:p>
            <w:pPr>
              <w:jc w:val="left"/>
            </w:pPr>
            <w:r/>
            <w:r>
              <w:rPr>
                <w:sz w:val="18"/>
                <w:rFonts w:eastAsia="宋体" w:ascii="Times New Roman" w:hAnsi="Times New Roman"/>
              </w:rPr>
              <w:t>中</w:t>
            </w:r>
          </w:p>
        </w:tc>
        <w:tc>
          <w:tcPr>
            <w:tcW w:type="dxa" w:w="850"/>
            <w:tcBorders>
              <w:top w:val="nil"/>
              <w:left w:val="nil"/>
              <w:bottom w:val="nil"/>
              <w:right w:val="nil"/>
            </w:tcBorders>
          </w:tcPr>
          <w:p>
            <w:pPr>
              <w:jc w:val="left"/>
            </w:pPr>
            <w:r/>
            <w:r>
              <w:rPr>
                <w:sz w:val="18"/>
                <w:rFonts w:eastAsia="宋体" w:ascii="Times New Roman" w:hAnsi="Times New Roman"/>
              </w:rPr>
              <w:t>高</w:t>
            </w:r>
          </w:p>
        </w:tc>
      </w:tr>
      <w:tr>
        <w:tc>
          <w:tcPr>
            <w:tcW w:type="dxa" w:w="1417"/>
            <w:tcBorders>
              <w:top w:val="nil"/>
              <w:left w:val="nil"/>
              <w:bottom w:val="nil"/>
              <w:right w:val="nil"/>
            </w:tcBorders>
          </w:tcPr>
          <w:p>
            <w:pPr>
              <w:jc w:val="left"/>
            </w:pPr>
            <w:r/>
            <w:r>
              <w:rPr>
                <w:sz w:val="18"/>
                <w:rFonts w:eastAsia="宋体" w:ascii="Times New Roman" w:hAnsi="Times New Roman"/>
              </w:rPr>
              <w:t>向量 RAG</w:t>
            </w:r>
          </w:p>
        </w:tc>
        <w:tc>
          <w:tcPr>
            <w:tcW w:type="dxa" w:w="1134"/>
            <w:tcBorders>
              <w:top w:val="nil"/>
              <w:left w:val="nil"/>
              <w:bottom w:val="nil"/>
              <w:right w:val="nil"/>
            </w:tcBorders>
          </w:tcPr>
          <w:p>
            <w:pPr>
              <w:jc w:val="left"/>
            </w:pPr>
            <w:r/>
            <w:r>
              <w:rPr>
                <w:sz w:val="18"/>
                <w:rFonts w:eastAsia="宋体" w:ascii="Times New Roman" w:hAnsi="Times New Roman"/>
              </w:rPr>
              <w:t>语义向量</w:t>
            </w:r>
          </w:p>
        </w:tc>
        <w:tc>
          <w:tcPr>
            <w:tcW w:type="dxa" w:w="1701"/>
            <w:tcBorders>
              <w:top w:val="nil"/>
              <w:left w:val="nil"/>
              <w:bottom w:val="nil"/>
              <w:right w:val="nil"/>
            </w:tcBorders>
          </w:tcPr>
          <w:p>
            <w:pPr>
              <w:jc w:val="left"/>
            </w:pPr>
            <w:r/>
            <w:r>
              <w:rPr>
                <w:sz w:val="18"/>
                <w:rFonts w:eastAsia="宋体" w:ascii="Times New Roman" w:hAnsi="Times New Roman"/>
              </w:rPr>
              <w:t>运行时检索</w:t>
            </w:r>
          </w:p>
        </w:tc>
        <w:tc>
          <w:tcPr>
            <w:tcW w:type="dxa" w:w="1417"/>
            <w:tcBorders>
              <w:top w:val="nil"/>
              <w:left w:val="nil"/>
              <w:bottom w:val="nil"/>
              <w:right w:val="nil"/>
            </w:tcBorders>
          </w:tcPr>
          <w:p>
            <w:pPr>
              <w:jc w:val="left"/>
            </w:pPr>
            <w:r/>
            <w:r>
              <w:rPr>
                <w:sz w:val="18"/>
                <w:rFonts w:eastAsia="宋体" w:ascii="Times New Roman" w:hAnsi="Times New Roman"/>
              </w:rPr>
              <w:t>×（易返回过期）</w:t>
            </w:r>
          </w:p>
        </w:tc>
        <w:tc>
          <w:tcPr>
            <w:tcW w:type="dxa" w:w="850"/>
            <w:tcBorders>
              <w:top w:val="nil"/>
              <w:left w:val="nil"/>
              <w:bottom w:val="nil"/>
              <w:right w:val="nil"/>
            </w:tcBorders>
          </w:tcPr>
          <w:p>
            <w:pPr>
              <w:jc w:val="left"/>
            </w:pPr>
            <w:r/>
            <w:r>
              <w:rPr>
                <w:sz w:val="18"/>
                <w:rFonts w:eastAsia="宋体" w:ascii="Times New Roman" w:hAnsi="Times New Roman"/>
              </w:rPr>
              <w:t>高</w:t>
            </w:r>
          </w:p>
        </w:tc>
        <w:tc>
          <w:tcPr>
            <w:tcW w:type="dxa" w:w="850"/>
            <w:tcBorders>
              <w:top w:val="nil"/>
              <w:left w:val="nil"/>
              <w:bottom w:val="nil"/>
              <w:right w:val="nil"/>
            </w:tcBorders>
          </w:tcPr>
          <w:p>
            <w:pPr>
              <w:jc w:val="left"/>
            </w:pPr>
            <w:r/>
            <w:r>
              <w:rPr>
                <w:sz w:val="18"/>
                <w:rFonts w:eastAsia="宋体" w:ascii="Times New Roman" w:hAnsi="Times New Roman"/>
              </w:rPr>
              <w:t>低</w:t>
            </w:r>
          </w:p>
        </w:tc>
      </w:tr>
      <w:tr>
        <w:tc>
          <w:tcPr>
            <w:tcW w:type="dxa" w:w="1417"/>
            <w:tcBorders>
              <w:top w:val="nil"/>
              <w:left w:val="nil"/>
              <w:bottom w:val="nil"/>
              <w:right w:val="nil"/>
            </w:tcBorders>
          </w:tcPr>
          <w:p>
            <w:pPr>
              <w:jc w:val="left"/>
            </w:pPr>
            <w:r/>
            <w:r>
              <w:rPr>
                <w:sz w:val="18"/>
                <w:rFonts w:eastAsia="宋体" w:ascii="Times New Roman" w:hAnsi="Times New Roman"/>
              </w:rPr>
              <w:t>MemGPT</w:t>
            </w:r>
          </w:p>
        </w:tc>
        <w:tc>
          <w:tcPr>
            <w:tcW w:type="dxa" w:w="1134"/>
            <w:tcBorders>
              <w:top w:val="nil"/>
              <w:left w:val="nil"/>
              <w:bottom w:val="nil"/>
              <w:right w:val="nil"/>
            </w:tcBorders>
          </w:tcPr>
          <w:p>
            <w:pPr>
              <w:jc w:val="left"/>
            </w:pPr>
            <w:r/>
            <w:r>
              <w:rPr>
                <w:sz w:val="18"/>
                <w:rFonts w:eastAsia="宋体" w:ascii="Times New Roman" w:hAnsi="Times New Roman"/>
              </w:rPr>
              <w:t>两级存储</w:t>
            </w:r>
          </w:p>
        </w:tc>
        <w:tc>
          <w:tcPr>
            <w:tcW w:type="dxa" w:w="1701"/>
            <w:tcBorders>
              <w:top w:val="nil"/>
              <w:left w:val="nil"/>
              <w:bottom w:val="nil"/>
              <w:right w:val="nil"/>
            </w:tcBorders>
          </w:tcPr>
          <w:p>
            <w:pPr>
              <w:jc w:val="left"/>
            </w:pPr>
            <w:r/>
            <w:r>
              <w:rPr>
                <w:sz w:val="18"/>
                <w:rFonts w:eastAsia="宋体" w:ascii="Times New Roman" w:hAnsi="Times New Roman"/>
              </w:rPr>
              <w:t>主存-外存交换</w:t>
            </w:r>
          </w:p>
        </w:tc>
        <w:tc>
          <w:tcPr>
            <w:tcW w:type="dxa" w:w="1417"/>
            <w:tcBorders>
              <w:top w:val="nil"/>
              <w:left w:val="nil"/>
              <w:bottom w:val="nil"/>
              <w:right w:val="nil"/>
            </w:tcBorders>
          </w:tcPr>
          <w:p>
            <w:pPr>
              <w:jc w:val="left"/>
            </w:pPr>
            <w:r/>
            <w:r>
              <w:rPr>
                <w:sz w:val="18"/>
                <w:rFonts w:eastAsia="宋体" w:ascii="Times New Roman" w:hAnsi="Times New Roman"/>
              </w:rPr>
              <w:t>×</w:t>
            </w:r>
          </w:p>
        </w:tc>
        <w:tc>
          <w:tcPr>
            <w:tcW w:type="dxa" w:w="850"/>
            <w:tcBorders>
              <w:top w:val="nil"/>
              <w:left w:val="nil"/>
              <w:bottom w:val="nil"/>
              <w:right w:val="nil"/>
            </w:tcBorders>
          </w:tcPr>
          <w:p>
            <w:pPr>
              <w:jc w:val="left"/>
            </w:pPr>
            <w:r/>
            <w:r>
              <w:rPr>
                <w:sz w:val="18"/>
                <w:rFonts w:eastAsia="宋体" w:ascii="Times New Roman" w:hAnsi="Times New Roman"/>
              </w:rPr>
              <w:t>高</w:t>
            </w:r>
          </w:p>
        </w:tc>
        <w:tc>
          <w:tcPr>
            <w:tcW w:type="dxa" w:w="850"/>
            <w:tcBorders>
              <w:top w:val="nil"/>
              <w:left w:val="nil"/>
              <w:bottom w:val="nil"/>
              <w:right w:val="nil"/>
            </w:tcBorders>
          </w:tcPr>
          <w:p>
            <w:pPr>
              <w:jc w:val="left"/>
            </w:pPr>
            <w:r/>
            <w:r>
              <w:rPr>
                <w:sz w:val="18"/>
                <w:rFonts w:eastAsia="宋体" w:ascii="Times New Roman" w:hAnsi="Times New Roman"/>
              </w:rPr>
              <w:t>中</w:t>
            </w:r>
          </w:p>
        </w:tc>
      </w:tr>
      <w:tr>
        <w:tc>
          <w:tcPr>
            <w:tcW w:type="dxa" w:w="1417"/>
            <w:tcBorders>
              <w:top w:val="nil"/>
              <w:left w:val="nil"/>
              <w:bottom w:val="single" w:sz="12" w:color="000000"/>
              <w:right w:val="nil"/>
            </w:tcBorders>
          </w:tcPr>
          <w:p>
            <w:pPr>
              <w:jc w:val="left"/>
            </w:pPr>
            <w:r/>
            <w:r>
              <w:rPr>
                <w:sz w:val="18"/>
                <w:rFonts w:eastAsia="宋体" w:ascii="Times New Roman" w:hAnsi="Times New Roman"/>
              </w:rPr>
              <w:t>TILE（本文）</w:t>
            </w:r>
          </w:p>
        </w:tc>
        <w:tc>
          <w:tcPr>
            <w:tcW w:type="dxa" w:w="1134"/>
            <w:tcBorders>
              <w:top w:val="nil"/>
              <w:left w:val="nil"/>
              <w:bottom w:val="single" w:sz="12" w:color="000000"/>
              <w:right w:val="nil"/>
            </w:tcBorders>
          </w:tcPr>
          <w:p>
            <w:pPr>
              <w:jc w:val="left"/>
            </w:pPr>
            <w:r/>
            <w:r>
              <w:rPr>
                <w:sz w:val="18"/>
                <w:rFonts w:eastAsia="宋体" w:ascii="Times New Roman" w:hAnsi="Times New Roman"/>
              </w:rPr>
              <w:t>三层+显式指针</w:t>
            </w:r>
          </w:p>
        </w:tc>
        <w:tc>
          <w:tcPr>
            <w:tcW w:type="dxa" w:w="1701"/>
            <w:tcBorders>
              <w:top w:val="nil"/>
              <w:left w:val="nil"/>
              <w:bottom w:val="single" w:sz="12" w:color="000000"/>
              <w:right w:val="nil"/>
            </w:tcBorders>
          </w:tcPr>
          <w:p>
            <w:pPr>
              <w:jc w:val="left"/>
            </w:pPr>
            <w:r/>
            <w:r>
              <w:rPr>
                <w:sz w:val="18"/>
                <w:rFonts w:eastAsia="宋体" w:ascii="Times New Roman" w:hAnsi="Times New Roman"/>
              </w:rPr>
              <w:t>编译期索引+运行时按需</w:t>
            </w:r>
          </w:p>
        </w:tc>
        <w:tc>
          <w:tcPr>
            <w:tcW w:type="dxa" w:w="1417"/>
            <w:tcBorders>
              <w:top w:val="nil"/>
              <w:left w:val="nil"/>
              <w:bottom w:val="single" w:sz="12" w:color="000000"/>
              <w:right w:val="nil"/>
            </w:tcBorders>
          </w:tcPr>
          <w:p>
            <w:pPr>
              <w:jc w:val="left"/>
            </w:pPr>
            <w:r/>
            <w:r>
              <w:rPr>
                <w:sz w:val="18"/>
                <w:rFonts w:eastAsia="宋体" w:ascii="Times New Roman" w:hAnsi="Times New Roman"/>
              </w:rPr>
              <w:t>√</w:t>
            </w:r>
          </w:p>
        </w:tc>
        <w:tc>
          <w:tcPr>
            <w:tcW w:type="dxa" w:w="850"/>
            <w:tcBorders>
              <w:top w:val="nil"/>
              <w:left w:val="nil"/>
              <w:bottom w:val="single" w:sz="12" w:color="000000"/>
              <w:right w:val="nil"/>
            </w:tcBorders>
          </w:tcPr>
          <w:p>
            <w:pPr>
              <w:jc w:val="left"/>
            </w:pPr>
            <w:r/>
            <w:r>
              <w:rPr>
                <w:sz w:val="18"/>
                <w:rFonts w:eastAsia="宋体" w:ascii="Times New Roman" w:hAnsi="Times New Roman"/>
              </w:rPr>
              <w:t>低</w:t>
            </w:r>
          </w:p>
        </w:tc>
        <w:tc>
          <w:tcPr>
            <w:tcW w:type="dxa" w:w="850"/>
            <w:tcBorders>
              <w:top w:val="nil"/>
              <w:left w:val="nil"/>
              <w:bottom w:val="single" w:sz="12" w:color="000000"/>
              <w:right w:val="nil"/>
            </w:tcBorders>
          </w:tcPr>
          <w:p>
            <w:pPr>
              <w:jc w:val="left"/>
            </w:pPr>
            <w:r/>
            <w:r>
              <w:rPr>
                <w:sz w:val="18"/>
                <w:rFonts w:eastAsia="宋体" w:ascii="Times New Roman" w:hAnsi="Times New Roman"/>
              </w:rPr>
              <w:t>高</w:t>
            </w:r>
          </w:p>
        </w:tc>
      </w:tr>
    </w:tbl>
    <w:p/>
    <w:p>
      <w:pPr>
        <w:ind w:firstLine="420"/>
      </w:pPr>
      <w:r>
        <w:t>本文的学术贡献在于三个层面。其一，在阐释大模型专业化开发概念并系统梳理现有路径的基础上，揭示了训练数据组织架构维度本身可作为该领域的优化对象，扩展了现有以参数为中心的研究视野。其二，将针对性、有效性、时效性确立为上下文信息组织机制的设计准则，使工程化的运维考量与学术化的设计原则实现对接。其三，</w:t>
      </w:r>
      <w:r>
        <w:rPr>
          <w:b/>
        </w:rPr>
        <w:t>将 TILE 定位为一条简化版的蒸馏路径</w:t>
      </w:r>
      <w:r>
        <w:t>，为训练数据预压缩这一新方向提供了可参照的设计范式与数据基础。</w:t>
      </w:r>
    </w:p>
    <w:p>
      <w:pPr>
        <w:pStyle w:val="TILE一级标题"/>
      </w:pPr>
      <w:r>
        <w:t>2 相关工作</w:t>
      </w:r>
    </w:p>
    <w:p>
      <w:pPr>
        <w:jc w:val="both"/>
      </w:pPr>
      <w:r>
        <w:t>本节围绕模型蒸馏、参数高效微调、检索增强生成及上下文信息组织四个维度，对与本文工作密切相关的代表性研究进行梳理。</w:t>
      </w:r>
    </w:p>
    <w:p>
      <w:pPr>
        <w:ind w:firstLine="420"/>
      </w:pPr>
      <w:r>
        <w:rPr>
          <w:b/>
        </w:rPr>
        <w:t>模型蒸馏</w:t>
      </w:r>
      <w:r>
        <w:t>方面，Hinton 等首次系统化提出知识蒸馏框架；DistilBERT、TinyBERT 通过层间蒸馏进一步压缩 BERT 规模；MiniLLM 将蒸馏方法扩展至生成式大语言模型。该路径的核心思想是"教师→学生"的参数级知识迁移，与 TILE 在数据组织层面追求的"知识浓缩"形成方法论互补。</w:t>
      </w:r>
    </w:p>
    <w:p>
      <w:pPr>
        <w:ind w:firstLine="420"/>
      </w:pPr>
      <w:r>
        <w:rPr>
          <w:b/>
        </w:rPr>
        <w:t>参数高效微调</w:t>
      </w:r>
      <w:r>
        <w:t>方面，LoRA 通过低秩适配矩阵将可训练参数量压缩至百万级；QLoRA 进一步引入 4 位量化，使单卡消费级 GPU 即可完成微调；Prompt Tuning 则从输入端探索轻量化适配。该路径强调在冻结原模型的前提下注入领域知识，与 TILE 关注"加载什么进入上下文"的视角不同。</w:t>
      </w:r>
    </w:p>
    <w:p>
      <w:pPr>
        <w:ind w:firstLine="420"/>
      </w:pPr>
      <w:r>
        <w:rPr>
          <w:b/>
        </w:rPr>
        <w:t>检索增强生成</w:t>
      </w:r>
      <w:r>
        <w:t>方面，Lewis 等提出 RAG 基本范式；DPR 等密集检索方法提升了检索质量；分层 RAG 尝试通过多层级表示缓解长上下文推理中的检索失效。该路径在运行时为模型补充外部知识，与 TILE 编译期构建索引的"前置压缩"思路形成对照。</w:t>
      </w:r>
    </w:p>
    <w:p>
      <w:pPr>
        <w:ind w:firstLine="420"/>
      </w:pPr>
      <w:r>
        <w:rPr>
          <w:b/>
        </w:rPr>
        <w:t>上下文信息组织</w:t>
      </w:r>
      <w:r>
        <w:t>方面，MemGPT 提出主存-外存两级存储模型，H-MEM 进一步引入分层记忆结构以提升长程推理效率。这类工作与 TILE 的共同点在于均关注上下文的纵向组织，但 TILE 将其进一步细化为 RIL/DCL/EBL 三层，并显式引入时效阈值与指针路由机制。</w:t>
      </w:r>
    </w:p>
    <w:p>
      <w:pPr>
        <w:pStyle w:val="TILE一级标题"/>
      </w:pPr>
      <w:r>
        <w:t>3 TILE 机制设计</w:t>
      </w:r>
    </w:p>
    <w:p>
      <w:pPr>
        <w:pStyle w:val="TILE二级标题"/>
      </w:pPr>
      <w:r>
        <w:t>3.1 设计原则</w:t>
      </w:r>
    </w:p>
    <w:p>
      <w:pPr>
        <w:jc w:val="both"/>
      </w:pPr>
      <w:r>
        <w:t>TILE 机制的设计遵循三维准则。</w:t>
      </w:r>
    </w:p>
    <w:p>
      <w:pPr>
        <w:ind w:firstLine="420"/>
      </w:pPr>
      <w:r>
        <w:rPr>
          <w:b/>
        </w:rPr>
        <w:t>针对性（Targetability）。</w:t>
      </w:r>
      <w:r>
        <w:t>在大模型专业化开发的训练与推理过程中，不同任务对知识基座中信息子集的依赖存在显著差异。TILE 将信息按业务主题与调用频率进行分类，使模型在每次运行时仅加载与当前任务直接相关的内容子集，避免无关信息对判断的干扰。这一原则对应于蒸馏路径中"选择相关样本"的环节。</w:t>
      </w:r>
    </w:p>
    <w:p>
      <w:pPr>
        <w:ind w:firstLine="420"/>
      </w:pPr>
      <w:r>
        <w:rPr>
          <w:b/>
        </w:rPr>
        <w:t>有效性（Effectiveness）。</w:t>
      </w:r>
      <w:r>
        <w:t>知识组织不能以牺牲访问效率为代价。TILE 通过两层显式指针解引用实现 O(1) 量级的目标定位，将导航开销控制在总加载量的极小比例内。这一原则对应于蒸馏路径中"快速定位关键样本"的需求。</w:t>
      </w:r>
    </w:p>
    <w:p>
      <w:pPr>
        <w:ind w:firstLine="420"/>
      </w:pPr>
      <w:r>
        <w:rPr>
          <w:b/>
        </w:rPr>
        <w:t>时效性（Timeliness）。</w:t>
      </w:r>
      <w:r>
        <w:t>专业领域的知识具有明确的时间属性——昨日的规则可能在今日失效。TILE 引入基于时间戳的冷数据降权机制与过期清理机制，使信息新鲜度得到工程化保障。这一原则直接回应大模型专业化开发对"时效敏感性"的核心诉求。</w:t>
      </w:r>
    </w:p>
    <w:p>
      <w:pPr>
        <w:pStyle w:val="TILE二级标题"/>
      </w:pPr>
      <w:r>
        <w:t>3.2 问题形式化定义</w:t>
      </w:r>
    </w:p>
    <w:p>
      <w:pPr>
        <w:jc w:val="both"/>
      </w:pPr>
      <w:r>
        <w:t>设工作区为有向无环图 𝒢 = (𝒱, ℰ)，其中 𝒱 = {v₁, v₂, …, vₙ} 为文件节点集合，ℰ 为索引引用边集合。每个文件节点 vᵢ 携带元组 (cᵢ, tᵢ, wᵢ)，分别表示内容大小（tokens）、最后修改时间戳与重要性权重。</w:t>
      </w:r>
    </w:p>
    <w:p>
      <w:pPr>
        <w:jc w:val="both"/>
      </w:pPr>
      <w:r>
        <w:t>定义查询函数 𝒬: Query → 2^𝒱，将用户查询映射为相关文件子集。TILE 机制的核心优化目标可形式化为：</w:t>
      </w:r>
    </w:p>
    <w:p>
      <w:pPr>
        <w:spacing w:line="360" w:lineRule="auto" w:before="60" w:after="60"/>
        <w:ind w:firstLine="0"/>
        <w:jc w:val="center"/>
      </w:pPr>
      <m:oMath>
        <m:r>
          <m:rPr>
            <m:rFonts m:ascii="Cambria Math" m:hAnsi="Cambria Math" m:eastAsia="Cambria Math"/>
          </m:rPr>
          <m:t xml:space="preserve">\min_{loading strategy} \quad 𝔼_{q ∼ 𝒬}[∑_{v ∈ ℒ(q)} c_v]</m:t>
        </m:r>
      </m:oMath>
      <w:r>
        <w:t xml:space="preserve">  </w:t>
        <w:rPr/>
      </w:r>
      <w:r>
        <w:rPr>
          <w:rFonts w:ascii="Times New Roman" w:hAnsi="Times New Roman" w:eastAsia="宋体"/>
          <w:b w:val="0"/>
          <w:sz w:val="21"/>
        </w:rPr>
        <w:t>(1)</w:t>
      </w:r>
    </w:p>
    <w:p>
      <w:pPr>
        <w:ind w:firstLine="420"/>
      </w:pPr>
      <w:r>
        <w:t>约束条件为：ℛ(q) ⊆ ℒ(q)，其中 ℒ(q) 表示实际加载的文件集合，ℛ(q) 表示任务真正相关的文件集合。该优化问题的物理含义在于：在保证相关性约束的前提下，最小化期望加载量。</w:t>
      </w:r>
    </w:p>
    <w:p>
      <w:pPr>
        <w:pStyle w:val="TILE算法"/>
        <w:spacing w:before="120"/>
        <w:ind w:firstLine="0"/>
      </w:pPr>
      <w:r>
        <w:rPr>
          <w:b/>
        </w:rPr>
        <w:t>算法 1  两步定位路由算法（Two-Step Indexed Routing, TSIR）</w:t>
      </w:r>
    </w:p>
    <w:p>
      <w:pPr>
        <w:pStyle w:val="TILE算法"/>
        <w:ind w:firstLine="0"/>
      </w:pPr>
      <w:r>
        <w:t>输入：用户查询 Q，工作区索引图 𝒢 = (𝒱, ℰ)</w:t>
      </w:r>
    </w:p>
    <w:p>
      <w:pPr>
        <w:pStyle w:val="TILE算法"/>
        <w:ind w:firstLine="0"/>
      </w:pPr>
      <w:r>
        <w:t>输出：加载上下文 C，目标文件路径 P</w:t>
      </w:r>
    </w:p>
    <w:p>
      <w:pPr>
        <w:pStyle w:val="TILE算法"/>
        <w:ind w:firstLine="0"/>
      </w:pPr>
      <w:r>
        <w:rPr>
          <w:rFonts w:ascii="Consolas" w:hAnsi="Consolas"/>
          <w:rFonts w:ascii="Consolas" w:hAnsi="Consolas"/>
          <w:sz w:val="18"/>
        </w:rPr>
        <w:t>1.  C ← LoadResidentIndex(𝒢.root)</w:t>
      </w:r>
    </w:p>
    <w:p>
      <w:pPr>
        <w:pStyle w:val="TILE算法"/>
        <w:ind w:firstLine="0"/>
      </w:pPr>
      <w:r>
        <w:rPr>
          <w:rFonts w:ascii="Consolas" w:hAnsi="Consolas"/>
          <w:rFonts w:ascii="Consolas" w:hAnsi="Consolas"/>
          <w:sz w:val="18"/>
        </w:rPr>
        <w:t>2.  B ← RouteToDomain(Q, C)                  // 一次解引用</w:t>
      </w:r>
    </w:p>
    <w:p>
      <w:pPr>
        <w:pStyle w:val="TILE算法"/>
        <w:ind w:firstLine="0"/>
      </w:pPr>
      <w:r>
        <w:rPr>
          <w:rFonts w:ascii="Consolas" w:hAnsi="Consolas"/>
          <w:rFonts w:ascii="Consolas" w:hAnsi="Consolas"/>
          <w:sz w:val="18"/>
        </w:rPr>
        <w:t>3.  if B is None then return ∅, "unmatched"</w:t>
      </w:r>
    </w:p>
    <w:p>
      <w:pPr>
        <w:pStyle w:val="TILE算法"/>
        <w:ind w:firstLine="0"/>
      </w:pPr>
      <w:r>
        <w:rPr>
          <w:rFonts w:ascii="Consolas" w:hAnsi="Consolas"/>
          <w:rFonts w:ascii="Consolas" w:hAnsi="Consolas"/>
          <w:sz w:val="18"/>
        </w:rPr>
        <w:t>4.  Index ← LoadDomainIndex(B)</w:t>
      </w:r>
    </w:p>
    <w:p>
      <w:pPr>
        <w:pStyle w:val="TILE算法"/>
        <w:ind w:firstLine="0"/>
      </w:pPr>
      <w:r>
        <w:rPr>
          <w:rFonts w:ascii="Consolas" w:hAnsi="Consolas"/>
          <w:rFonts w:ascii="Consolas" w:hAnsi="Consolas"/>
          <w:sz w:val="18"/>
        </w:rPr>
        <w:t>5.  P ← LocateTargetFile(Q, Index, B)        // 二次解引用</w:t>
      </w:r>
    </w:p>
    <w:p>
      <w:pPr>
        <w:pStyle w:val="TILE算法"/>
        <w:ind w:firstLine="0"/>
      </w:pPr>
      <w:r>
        <w:rPr>
          <w:rFonts w:ascii="Consolas" w:hAnsi="Consolas"/>
          <w:rFonts w:ascii="Consolas" w:hAnsi="Consolas"/>
          <w:sz w:val="18"/>
        </w:rPr>
        <w:t>6.  if P is None then return C, "no match"</w:t>
      </w:r>
    </w:p>
    <w:p>
      <w:pPr>
        <w:pStyle w:val="TILE算法"/>
        <w:ind w:firstLine="0"/>
      </w:pPr>
      <w:r>
        <w:rPr>
          <w:rFonts w:ascii="Consolas" w:hAnsi="Consolas"/>
          <w:rFonts w:ascii="Consolas" w:hAnsi="Consolas"/>
          <w:sz w:val="18"/>
        </w:rPr>
        <w:t>7.  Content ← Load(P)</w:t>
      </w:r>
    </w:p>
    <w:p>
      <w:pPr>
        <w:pStyle w:val="TILE算法"/>
        <w:ind w:firstLine="0"/>
      </w:pPr>
      <w:r>
        <w:rPr>
          <w:rFonts w:ascii="Consolas" w:hAnsi="Consolas"/>
          <w:rFonts w:ascii="Consolas" w:hAnsi="Consolas"/>
          <w:sz w:val="18"/>
        </w:rPr>
        <w:t>8.  return C ∪ Index ∪ Content, P</w:t>
      </w:r>
    </w:p>
    <w:p>
      <w:pPr>
        <w:ind w:firstLine="420"/>
      </w:pPr>
      <w:r>
        <w:t>该算法的时间复杂度为 O(1) 量级（两次常数时间指针解引用），空间复杂度为 O(1)（无需预加载全量数据）。</w:t>
      </w:r>
    </w:p>
    <w:p>
      <w:pPr>
        <w:pStyle w:val="TILE二级标题"/>
      </w:pPr>
      <w:r>
        <w:t>3.3 三层架构</w:t>
      </w:r>
    </w:p>
    <w:p>
      <w:pPr>
        <w:jc w:val="both"/>
      </w:pPr>
      <w:r>
        <w:t>TILE 将工作区信息划分为三个层级：常驻索引层（Resident Index Layer, RIL）、领域内容层（Domain Content Layer, DCL）与临时缓冲层（Ephemeral Buffer Layer, EBL）。图 2 给出了三层架构的总体视图。</w:t>
      </w:r>
    </w:p>
    <w:p>
      <w:pPr>
        <w:spacing w:before="120" w:after="60"/>
        <w:ind w:firstLine="0"/>
        <w:jc w:val="center"/>
      </w:pPr>
      <w:r>
        <w:drawing>
          <wp:inline xmlns:a="http://schemas.openxmlformats.org/drawingml/2006/main" xmlns:pic="http://schemas.openxmlformats.org/drawingml/2006/picture">
            <wp:extent cx="4680000" cy="2965252"/>
            <wp:docPr id="2" name="Picture 2"/>
            <wp:cNvGraphicFramePr>
              <a:graphicFrameLocks noChangeAspect="1"/>
            </wp:cNvGraphicFramePr>
            <a:graphic>
              <a:graphicData uri="http://schemas.openxmlformats.org/drawingml/2006/picture">
                <pic:pic>
                  <pic:nvPicPr>
                    <pic:cNvPr id="0" name="fig2_three_layers.png"/>
                    <pic:cNvPicPr/>
                  </pic:nvPicPr>
                  <pic:blipFill>
                    <a:blip r:embed="rId10"/>
                    <a:stretch>
                      <a:fillRect/>
                    </a:stretch>
                  </pic:blipFill>
                  <pic:spPr>
                    <a:xfrm>
                      <a:off x="0" y="0"/>
                      <a:ext cx="4680000" cy="2965252"/>
                    </a:xfrm>
                    <a:prstGeom prst="rect"/>
                  </pic:spPr>
                </pic:pic>
              </a:graphicData>
            </a:graphic>
          </wp:inline>
        </w:drawing>
      </w:r>
    </w:p>
    <w:p>
      <w:pPr>
        <w:pStyle w:val="TILE图题"/>
      </w:pPr>
      <w:r>
        <w:t>图 2  TILE 三层架构总体视图</w:t>
      </w:r>
    </w:p>
    <w:p>
      <w:pPr>
        <w:pStyle w:val="TILE图题"/>
      </w:pPr>
      <w:r>
        <w:rPr>
          <w:b w:val="0"/>
          <w:i/>
        </w:rPr>
        <w:t>Fig. 2  Overview of the TILE three-layer architecture</w:t>
      </w:r>
    </w:p>
    <w:p>
      <w:pPr>
        <w:ind w:firstLine="420"/>
      </w:pPr>
      <w:r>
        <w:rPr>
          <w:b/>
        </w:rPr>
        <w:t>常驻索引层（RIL）</w:t>
      </w:r>
      <w:r>
        <w:t>对应一个容量受限的核心索引文件，存放两类元数据：一是长期不变的规则元组（如回复风格、调用约束、写作规范）；二是领域路由表，即从查询关键词到业务目录的映射关系。RIL 的设计借鉴了 MemGPT 的主存思想，但更强调用户的可维护性——其内容由用户在日常使用中自然精简，而非通过算法自动管理。RIL 的大小应控制在合理范围内（典型值约 400 tokens），使其成为每次加载时的最小必要索引。</w:t>
      </w:r>
    </w:p>
    <w:p>
      <w:pPr>
        <w:ind w:firstLine="420"/>
      </w:pPr>
      <w:r>
        <w:rPr>
          <w:b/>
        </w:rPr>
        <w:t>领域内容层（DCL）</w:t>
      </w:r>
      <w:r>
        <w:t>对应按业务主题组织的详细内容目录集合。每个目录配备一个领域索引文件，其作用类似于图书目录：记录该目录下文件的元组信息 (cᵢ, tᵢ, wᵢ)、更新时间与核心主题。当查询路由至某领域后，模型读取该领域的索引文件，定位目标文件并加载具体内容。DCL 的具体划分由用户根据实际工作主题决定，赋予用户对知识组织方式的充分控制权。</w:t>
      </w:r>
    </w:p>
    <w:p>
      <w:pPr>
        <w:ind w:firstLine="420"/>
      </w:pPr>
      <w:r>
        <w:rPr>
          <w:b/>
        </w:rPr>
        <w:t>临时缓冲层（EBL）</w:t>
      </w:r>
      <w:r>
        <w:t>对应专门用于存放一次性产物的目录。EBL 的设置可有效防止一次性文件污染上层目录，同时避免模型偶然加载过期临时数据所带来的潜在干扰。其生命周期由时间戳阈值 τ_ebl 控制。</w:t>
      </w:r>
    </w:p>
    <w:p>
      <w:pPr>
        <w:pStyle w:val="TILE二级标题"/>
      </w:pPr>
      <w:r>
        <w:t>3.4 指针驱动的两步定位路由</w:t>
      </w:r>
    </w:p>
    <w:p>
      <w:pPr>
        <w:jc w:val="both"/>
      </w:pPr>
      <w:r>
        <w:t>TILE 的核心操作机制可概括为"两步定位路由"（Two-Step Indexed Routing, TSIR）。第一步，模型读取 RIL 中的领域路由表，将查询关键词路由至目标领域 B；第二步，读取 B 的领域索引文件，定位到具体文件 P。经过两次 O(1) 量级的指针解引用后，模型仅加载最终定位到的目标文件，从而将上下文加载范围从"全量"缩小到"目标"。</w:t>
      </w:r>
    </w:p>
    <w:p>
      <w:pPr>
        <w:jc w:val="both"/>
      </w:pPr>
      <w:r>
        <w:t>设工作区总数据量为 S = Σcᵢ tokens，RIL 固定开销为 C₀ tokens，单个领域索引固定开销为 C₁ tokens，单次查询命中的目标文件量为 F tokens。在全量加载模式下，每次查询消耗恒为 S；在 TILE 加载模式下，单次查询消耗为 C₀ + C₁ + F。当 F ≪ S 时，TILE 机制可使加载量呈数量级下降。</w:t>
      </w:r>
    </w:p>
    <w:p>
      <w:pPr>
        <w:pStyle w:val="TILE二级标题"/>
      </w:pPr>
      <w:r>
        <w:t>3.5 时效性感知与动态维护</w:t>
      </w:r>
    </w:p>
    <w:p>
      <w:pPr>
        <w:jc w:val="both"/>
      </w:pPr>
      <w:r>
        <w:t>为保障信息的新鲜度，TILE 引入时间戳驱动的动态维护机制。每个领域索引文件中的文件条目均携带时间戳 tᵢ，定义文件新鲜度函数：</w:t>
      </w:r>
    </w:p>
    <w:p>
      <w:pPr>
        <w:spacing w:line="360" w:lineRule="auto" w:before="60" w:after="60"/>
        <w:ind w:firstLine="0"/>
        <w:jc w:val="center"/>
      </w:pPr>
      <m:oMath>
        <m:r>
          <m:rPr>
            <m:rFonts m:ascii="Cambria Math" m:hAnsi="Cambria Math" m:eastAsia="Cambria Math"/>
          </m:rPr>
          <m:t xml:space="preserve">freshness(v_i) = 𝟏[t_{now} - t_i ≤ \tau_{stale}]</m:t>
        </m:r>
      </m:oMath>
      <w:r>
        <w:t xml:space="preserve">  </w:t>
        <w:rPr/>
      </w:r>
      <w:r>
        <w:rPr>
          <w:rFonts w:ascii="Times New Roman" w:hAnsi="Times New Roman" w:eastAsia="宋体"/>
          <w:b w:val="0"/>
          <w:sz w:val="21"/>
        </w:rPr>
        <w:t>(2)</w:t>
      </w:r>
    </w:p>
    <w:p>
      <w:pPr>
        <w:jc w:val="both"/>
      </w:pPr>
      <w:r>
        <w:t>其中 τ_stale 为时效阈值。超过时效阈值的文件被标记为"冷数据"，在路由决策中予以降权；EBL 中的文件超过生命周期 τ_ebl 后自动标记为可清理状态。这些机制不依赖复杂算法，而是通过时间戳查询与阈值比较的常数时间操作完成。</w:t>
      </w:r>
    </w:p>
    <w:p>
      <w:pPr>
        <w:pStyle w:val="TILE一级标题"/>
      </w:pPr>
      <w:r>
        <w:t>4 实验评估</w:t>
      </w:r>
    </w:p>
    <w:p>
      <w:pPr>
        <w:pStyle w:val="TILE二级标题"/>
      </w:pPr>
      <w:r>
        <w:t>4.1 评估指标定义</w:t>
      </w:r>
    </w:p>
    <w:p>
      <w:pPr>
        <w:jc w:val="both"/>
      </w:pPr>
      <w:r>
        <w:t>为客观衡量 TILE 在上下文加载效率方面的实际效果，定义如下三个评估指标。</w:t>
      </w:r>
    </w:p>
    <w:p>
      <w:pPr>
        <w:ind w:firstLine="420"/>
      </w:pPr>
      <w:r>
        <w:rPr>
          <w:b/>
        </w:rPr>
        <w:t>指标 1：上下文加载率（Context Loading Ratio, CLR）</w:t>
      </w:r>
    </w:p>
    <w:p>
      <w:pPr>
        <w:spacing w:line="360" w:lineRule="auto" w:before="60" w:after="60"/>
        <w:ind w:firstLine="0"/>
        <w:jc w:val="center"/>
      </w:pPr>
      <m:oMath>
        <m:r>
          <m:rPr>
            <m:rFonts m:ascii="Cambria Math" m:hAnsi="Cambria Math" m:eastAsia="Cambria Math"/>
          </m:rPr>
          <m:t xml:space="preserve">CLR = (T_{loaded})/(T_{total})</m:t>
        </m:r>
      </m:oMath>
      <w:r>
        <w:t xml:space="preserve">  </w:t>
        <w:rPr/>
      </w:r>
      <w:r>
        <w:rPr>
          <w:rFonts w:ascii="Times New Roman" w:hAnsi="Times New Roman" w:eastAsia="宋体"/>
          <w:b w:val="0"/>
          <w:sz w:val="21"/>
        </w:rPr>
        <w:t>(3)</w:t>
      </w:r>
    </w:p>
    <w:p>
      <w:pPr>
        <w:ind w:firstLine="420"/>
      </w:pPr>
      <w:r>
        <w:t>该指标的物理含义在于：客观反映每次推理所加载的上下文占工作区总量的比例。CLR 越低，说明 TILE 对运行时加载量的削减效果越显著。</w:t>
      </w:r>
    </w:p>
    <w:p>
      <w:pPr>
        <w:ind w:firstLine="420"/>
      </w:pPr>
      <w:r>
        <w:rPr>
          <w:b/>
        </w:rPr>
        <w:t>指标 2：导航开销比（Navigation Overhead Ratio, NOR）</w:t>
      </w:r>
    </w:p>
    <w:p>
      <w:pPr>
        <w:spacing w:line="360" w:lineRule="auto" w:before="60" w:after="60"/>
        <w:ind w:firstLine="0"/>
        <w:jc w:val="center"/>
      </w:pPr>
      <m:oMath>
        <m:r>
          <m:rPr>
            <m:rFonts m:ascii="Cambria Math" m:hAnsi="Cambria Math" m:eastAsia="Cambria Math"/>
          </m:rPr>
          <m:t xml:space="preserve">NOR = (C_0 + C_1)/(T_{loaded})</m:t>
        </m:r>
      </m:oMath>
      <w:r>
        <w:t xml:space="preserve">  </w:t>
        <w:rPr/>
      </w:r>
      <w:r>
        <w:rPr>
          <w:rFonts w:ascii="Times New Roman" w:hAnsi="Times New Roman" w:eastAsia="宋体"/>
          <w:b w:val="0"/>
          <w:sz w:val="21"/>
        </w:rPr>
        <w:t>(4)</w:t>
      </w:r>
    </w:p>
    <w:p>
      <w:pPr>
        <w:ind w:firstLine="420"/>
      </w:pPr>
      <w:r>
        <w:t>该指标的物理含义在于：客观反映 TILE 本身引入的额外导航开销在总加载量中的占比。NOR 越低，说明 TSIR 路由机制的"导航成本"越可被忽略。</w:t>
      </w:r>
    </w:p>
    <w:p>
      <w:pPr>
        <w:ind w:firstLine="420"/>
      </w:pPr>
      <w:r>
        <w:rPr>
          <w:b/>
        </w:rPr>
        <w:t>指标 3：检索目标精度（Target Precision, TP）</w:t>
      </w:r>
    </w:p>
    <w:p>
      <w:pPr>
        <w:spacing w:line="360" w:lineRule="auto" w:before="60" w:after="60"/>
        <w:ind w:firstLine="0"/>
        <w:jc w:val="center"/>
      </w:pPr>
      <m:oMath>
        <m:r>
          <m:rPr>
            <m:rFonts m:ascii="Cambria Math" m:hAnsi="Cambria Math" m:eastAsia="Cambria Math"/>
          </m:rPr>
          <m:t xml:space="preserve">TP = (|F_{relevant} ∩ F_{loaded}|)/(|F_{loaded}|)</m:t>
        </m:r>
      </m:oMath>
      <w:r>
        <w:t xml:space="preserve">  </w:t>
        <w:rPr/>
      </w:r>
      <w:r>
        <w:rPr>
          <w:rFonts w:ascii="Times New Roman" w:hAnsi="Times New Roman" w:eastAsia="宋体"/>
          <w:b w:val="0"/>
          <w:sz w:val="21"/>
        </w:rPr>
        <w:t>(5)</w:t>
      </w:r>
    </w:p>
    <w:p>
      <w:pPr>
        <w:ind w:firstLine="420"/>
      </w:pPr>
      <w:r>
        <w:t>该指标的物理含义在于：客观反映加载内容中"有用信息"的密度。TP 越高，说明 TILE 信息组织的针对性越强。</w:t>
      </w:r>
    </w:p>
    <w:p>
      <w:pPr>
        <w:pStyle w:val="TILE二级标题"/>
      </w:pPr>
      <w:r>
        <w:t>4.2 实验设计</w:t>
      </w:r>
    </w:p>
    <w:p>
      <w:pPr>
        <w:jc w:val="both"/>
      </w:pPr>
      <w:r>
        <w:t>为验证 TILE 在多场景下的实际效果，本节首先设计一组参数化模拟实验（4.2.1），用以刻画 TILE 在不同数据规模与命中率下的理论加载行为；进而设计一组真实场景实验（4.3），在作者的工作目录与真实查询语料上对三种加载模式进行实证对比。</w:t>
      </w:r>
    </w:p>
    <w:p>
      <w:pPr>
        <w:pStyle w:val="TILE二级标题"/>
      </w:pPr>
      <w:r>
        <w:t>4.2.1 模拟实验设计</w:t>
      </w:r>
    </w:p>
    <w:p>
      <w:pPr>
        <w:jc w:val="both"/>
      </w:pPr>
      <w:r>
        <w:t>模拟实验覆盖三类典型专业化开发任务，实验使用 Python 3 实现，完整代码见附录 A。三类场景的参数设置如下。</w:t>
      </w:r>
    </w:p>
    <w:p>
      <w:pPr>
        <w:ind w:firstLine="420"/>
      </w:pPr>
      <w:r>
        <w:rPr>
          <w:b/>
        </w:rPr>
        <w:t>场景 1：个人知识管理（典型命中）。</w:t>
      </w:r>
      <w:r>
        <w:t>模拟工作区包含 10 个业务目录，每目录 15 个文件，每文件平均 1500 tokens，总数据量约 225K tokens。该场景模拟典型 AI 助手的日常使用模式，命中率分布覆盖 5%、30% 与 100% 三档。</w:t>
      </w:r>
    </w:p>
    <w:p>
      <w:pPr>
        <w:ind w:firstLine="420"/>
      </w:pPr>
      <w:r>
        <w:rPr>
          <w:b/>
        </w:rPr>
        <w:t>场景 2：长上下文对话（最坏场景）。</w:t>
      </w:r>
      <w:r>
        <w:t>在场景 1 基础上逐步扩大数据规模至 11.25M tokens，命中率设为 100%，即每次查询均需访问所有文件。该场景用于检验 TILE 在最不利条件下的边界行为与可扩展性。</w:t>
      </w:r>
    </w:p>
    <w:p>
      <w:pPr>
        <w:ind w:firstLine="420"/>
      </w:pPr>
      <w:r>
        <w:rPr>
          <w:b/>
        </w:rPr>
        <w:t>场景 3：多用户协作。</w:t>
      </w:r>
      <w:r>
        <w:t>在场景 1 基础上，模拟 3 个用户共享 RIL 路由表与 DCL 索引、但持有不同业务文件，考察索引共享下的同步开销。</w:t>
      </w:r>
    </w:p>
    <w:p>
      <w:pPr>
        <w:jc w:val="both"/>
      </w:pPr>
      <w:r>
        <w:t>每类场景执行 1000 次模拟查询。全量加载模式下，每次查询消耗恒等于总数据量；TILE 加载模式下，消耗等于 RIL tokens 数加目标 DCL 索引 tokens 数加命中文件 tokens 数。</w:t>
      </w:r>
    </w:p>
    <w:p>
      <w:pPr>
        <w:pStyle w:val="TILE一级标题"/>
      </w:pPr>
      <w:r>
        <w:t>4.3 真实场景实验</w:t>
      </w:r>
    </w:p>
    <w:p>
      <w:pPr>
        <w:pStyle w:val="TILE二级标题"/>
      </w:pPr>
      <w:r>
        <w:t>4.3.1 实验目的与设计</w:t>
      </w:r>
    </w:p>
    <w:p>
      <w:pPr>
        <w:jc w:val="both"/>
      </w:pPr>
      <w:r>
        <w:t>为验证 TILE 机制在真实工作环境下的实际效果，本节设计一组真实场景实验，对比三种加载模式在 15 条典型 query 上的表现。</w:t>
      </w:r>
    </w:p>
    <w:p>
      <w:pPr>
        <w:ind w:firstLine="420"/>
      </w:pPr>
      <w:r>
        <w:rPr>
          <w:b/>
        </w:rPr>
        <w:t>三种加载模式定义。</w:t>
      </w:r>
      <w:r>
        <w:t>V0 模式（极弱基线）仅向模型提供工作目录的 11 个文件夹名称加一句话描述（约 350 tokens），不含任何路由或索引信息，模拟"对工作目录一无所知"的助手；V0' 模式（工程基线）在 V0 基础上增加每个文件夹 3-5 句关键文件摘要（约 950 tokens），模拟"会用 grep/ls 找文件的工程师"；V3 模式（TILE 加载）向模型提供 RIL 路由表（约 380 tokens）加对应 DCL 索引（约 200 tokens）加目标文件真实内容，模拟 TILE 索引加载的真实工作流。三种模式的 token 投入呈阶梯式增长：350 → 950 → 1181。</w:t>
      </w:r>
    </w:p>
    <w:p>
      <w:pPr>
        <w:jc w:val="both"/>
      </w:pPr>
      <w:r>
        <w:t>Query 选取。从作者 2026-06-21 至 2026-07-07 期间的真实对话历史中，按使用频次筛选出 15 条 query，覆盖四类典型场景（单域精确查询、跨域整合查询、流程描述查询、代码生成查询），具体 query 列表见表 2。</w:t>
      </w:r>
    </w:p>
    <w:p>
      <w:pPr>
        <w:pStyle w:val="TILE表题"/>
      </w:pPr>
      <w:r>
        <w:t>表 2  15 条真实 query 与场景分类</w:t>
      </w:r>
    </w:p>
    <w:p>
      <w:pPr>
        <w:pStyle w:val="TILE表题"/>
      </w:pPr>
      <w:r>
        <w:rPr>
          <w:b w:val="0"/>
          <w:i/>
        </w:rPr>
        <w:t>Table 2  15 real queries and their scenario categories</w:t>
      </w:r>
    </w:p>
    <w:tbl>
      <w:tblPr>
        <w:tblW w:type="auto" w:w="0"/>
        <w:jc w:val="center"/>
        <w:tblLook w:firstColumn="1" w:firstRow="1" w:lastColumn="0" w:lastRow="0" w:noHBand="0" w:noVBand="1" w:val="04A0"/>
      </w:tblPr>
      <w:tblGrid>
        <w:gridCol w:w="2409"/>
        <w:gridCol w:w="2409"/>
        <w:gridCol w:w="2409"/>
        <w:gridCol w:w="2409"/>
      </w:tblGrid>
      <w:tr>
        <w:tc>
          <w:tcPr>
            <w:tcW w:type="dxa" w:w="567"/>
            <w:tcBorders>
              <w:top w:val="single" w:sz="12" w:color="000000"/>
              <w:left w:val="nil"/>
              <w:bottom w:val="single" w:sz="6" w:color="000000"/>
              <w:right w:val="nil"/>
            </w:tcBorders>
          </w:tcPr>
          <w:p>
            <w:pPr>
              <w:jc w:val="center"/>
            </w:pPr>
            <w:r/>
            <w:r>
              <w:rPr>
                <w:b/>
                <w:sz w:val="18"/>
                <w:rFonts w:eastAsia="黑体" w:ascii="Times New Roman" w:hAnsi="Times New Roman"/>
              </w:rPr>
              <w:t>编号</w:t>
            </w:r>
          </w:p>
        </w:tc>
        <w:tc>
          <w:tcPr>
            <w:tcW w:type="dxa" w:w="3969"/>
            <w:tcBorders>
              <w:top w:val="single" w:sz="12" w:color="000000"/>
              <w:left w:val="nil"/>
              <w:bottom w:val="single" w:sz="6" w:color="000000"/>
              <w:right w:val="nil"/>
            </w:tcBorders>
          </w:tcPr>
          <w:p>
            <w:pPr>
              <w:jc w:val="center"/>
            </w:pPr>
            <w:r/>
            <w:r>
              <w:rPr>
                <w:b/>
                <w:sz w:val="18"/>
                <w:rFonts w:eastAsia="黑体" w:ascii="Times New Roman" w:hAnsi="Times New Roman"/>
              </w:rPr>
              <w:t>Query 内容</w:t>
            </w:r>
          </w:p>
        </w:tc>
        <w:tc>
          <w:tcPr>
            <w:tcW w:type="dxa" w:w="850"/>
            <w:tcBorders>
              <w:top w:val="single" w:sz="12" w:color="000000"/>
              <w:left w:val="nil"/>
              <w:bottom w:val="single" w:sz="6" w:color="000000"/>
              <w:right w:val="nil"/>
            </w:tcBorders>
          </w:tcPr>
          <w:p>
            <w:pPr>
              <w:jc w:val="center"/>
            </w:pPr>
            <w:r/>
            <w:r>
              <w:rPr>
                <w:b/>
                <w:sz w:val="18"/>
                <w:rFonts w:eastAsia="黑体" w:ascii="Times New Roman" w:hAnsi="Times New Roman"/>
              </w:rPr>
              <w:t>场景类别</w:t>
            </w:r>
          </w:p>
        </w:tc>
        <w:tc>
          <w:tcPr>
            <w:tcW w:type="dxa" w:w="3118"/>
            <w:tcBorders>
              <w:top w:val="single" w:sz="12" w:color="000000"/>
              <w:left w:val="nil"/>
              <w:bottom w:val="single" w:sz="6" w:color="000000"/>
              <w:right w:val="nil"/>
            </w:tcBorders>
          </w:tcPr>
          <w:p>
            <w:pPr>
              <w:jc w:val="center"/>
            </w:pPr>
            <w:r/>
            <w:r>
              <w:rPr>
                <w:b/>
                <w:sz w:val="18"/>
                <w:rFonts w:eastAsia="黑体" w:ascii="Times New Roman" w:hAnsi="Times New Roman"/>
              </w:rPr>
              <w:t>涉及 DCL</w:t>
            </w:r>
          </w:p>
        </w:tc>
      </w:tr>
      <w:tr>
        <w:tc>
          <w:tcPr>
            <w:tcW w:type="dxa" w:w="567"/>
            <w:tcBorders>
              <w:top w:val="nil"/>
              <w:left w:val="nil"/>
              <w:bottom w:val="nil"/>
              <w:right w:val="nil"/>
            </w:tcBorders>
          </w:tcPr>
          <w:p>
            <w:pPr>
              <w:jc w:val="left"/>
            </w:pPr>
            <w:r/>
            <w:r>
              <w:rPr>
                <w:sz w:val="18"/>
                <w:rFonts w:eastAsia="宋体" w:ascii="Times New Roman" w:hAnsi="Times New Roman"/>
              </w:rPr>
              <w:t>Q1</w:t>
            </w:r>
          </w:p>
        </w:tc>
        <w:tc>
          <w:tcPr>
            <w:tcW w:type="dxa" w:w="3969"/>
            <w:tcBorders>
              <w:top w:val="nil"/>
              <w:left w:val="nil"/>
              <w:bottom w:val="nil"/>
              <w:right w:val="nil"/>
            </w:tcBorders>
          </w:tcPr>
          <w:p>
            <w:pPr>
              <w:jc w:val="left"/>
            </w:pPr>
            <w:r/>
            <w:r>
              <w:rPr>
                <w:sz w:val="18"/>
                <w:rFonts w:eastAsia="宋体" w:ascii="Times New Roman" w:hAnsi="Times New Roman"/>
              </w:rPr>
              <w:t>今天持仓什么情况</w:t>
            </w:r>
          </w:p>
        </w:tc>
        <w:tc>
          <w:tcPr>
            <w:tcW w:type="dxa" w:w="850"/>
            <w:tcBorders>
              <w:top w:val="nil"/>
              <w:left w:val="nil"/>
              <w:bottom w:val="nil"/>
              <w:right w:val="nil"/>
            </w:tcBorders>
          </w:tcPr>
          <w:p>
            <w:pPr>
              <w:jc w:val="left"/>
            </w:pPr>
            <w:r/>
            <w:r>
              <w:rPr>
                <w:sz w:val="18"/>
                <w:rFonts w:eastAsia="宋体" w:ascii="Times New Roman" w:hAnsi="Times New Roman"/>
              </w:rPr>
              <w:t>单域</w:t>
            </w:r>
          </w:p>
        </w:tc>
        <w:tc>
          <w:tcPr>
            <w:tcW w:type="dxa" w:w="3118"/>
            <w:tcBorders>
              <w:top w:val="nil"/>
              <w:left w:val="nil"/>
              <w:bottom w:val="nil"/>
              <w:right w:val="nil"/>
            </w:tcBorders>
          </w:tcPr>
          <w:p>
            <w:pPr>
              <w:jc w:val="left"/>
            </w:pPr>
            <w:r/>
            <w:r>
              <w:rPr>
                <w:sz w:val="18"/>
                <w:rFonts w:eastAsia="宋体" w:ascii="Times New Roman" w:hAnsi="Times New Roman"/>
              </w:rPr>
              <w:t>trading</w:t>
            </w:r>
          </w:p>
        </w:tc>
      </w:tr>
      <w:tr>
        <w:tc>
          <w:tcPr>
            <w:tcW w:type="dxa" w:w="567"/>
            <w:tcBorders>
              <w:top w:val="nil"/>
              <w:left w:val="nil"/>
              <w:bottom w:val="nil"/>
              <w:right w:val="nil"/>
            </w:tcBorders>
          </w:tcPr>
          <w:p>
            <w:pPr>
              <w:jc w:val="left"/>
            </w:pPr>
            <w:r/>
            <w:r>
              <w:rPr>
                <w:sz w:val="18"/>
                <w:rFonts w:eastAsia="宋体" w:ascii="Times New Roman" w:hAnsi="Times New Roman"/>
              </w:rPr>
              <w:t>Q2</w:t>
            </w:r>
          </w:p>
        </w:tc>
        <w:tc>
          <w:tcPr>
            <w:tcW w:type="dxa" w:w="3969"/>
            <w:tcBorders>
              <w:top w:val="nil"/>
              <w:left w:val="nil"/>
              <w:bottom w:val="nil"/>
              <w:right w:val="nil"/>
            </w:tcBorders>
          </w:tcPr>
          <w:p>
            <w:pPr>
              <w:jc w:val="left"/>
            </w:pPr>
            <w:r/>
            <w:r>
              <w:rPr>
                <w:sz w:val="18"/>
                <w:rFonts w:eastAsia="宋体" w:ascii="Times New Roman" w:hAnsi="Times New Roman"/>
              </w:rPr>
              <w:t>双环传动和宇树科技的关系</w:t>
            </w:r>
          </w:p>
        </w:tc>
        <w:tc>
          <w:tcPr>
            <w:tcW w:type="dxa" w:w="850"/>
            <w:tcBorders>
              <w:top w:val="nil"/>
              <w:left w:val="nil"/>
              <w:bottom w:val="nil"/>
              <w:right w:val="nil"/>
            </w:tcBorders>
          </w:tcPr>
          <w:p>
            <w:pPr>
              <w:jc w:val="left"/>
            </w:pPr>
            <w:r/>
            <w:r>
              <w:rPr>
                <w:sz w:val="18"/>
                <w:rFonts w:eastAsia="宋体" w:ascii="Times New Roman" w:hAnsi="Times New Roman"/>
              </w:rPr>
              <w:t>单域</w:t>
            </w:r>
          </w:p>
        </w:tc>
        <w:tc>
          <w:tcPr>
            <w:tcW w:type="dxa" w:w="3118"/>
            <w:tcBorders>
              <w:top w:val="nil"/>
              <w:left w:val="nil"/>
              <w:bottom w:val="nil"/>
              <w:right w:val="nil"/>
            </w:tcBorders>
          </w:tcPr>
          <w:p>
            <w:pPr>
              <w:jc w:val="left"/>
            </w:pPr>
            <w:r/>
            <w:r>
              <w:rPr>
                <w:sz w:val="18"/>
                <w:rFonts w:eastAsia="宋体" w:ascii="Times New Roman" w:hAnsi="Times New Roman"/>
              </w:rPr>
              <w:t>trading</w:t>
            </w:r>
          </w:p>
        </w:tc>
      </w:tr>
      <w:tr>
        <w:tc>
          <w:tcPr>
            <w:tcW w:type="dxa" w:w="567"/>
            <w:tcBorders>
              <w:top w:val="nil"/>
              <w:left w:val="nil"/>
              <w:bottom w:val="nil"/>
              <w:right w:val="nil"/>
            </w:tcBorders>
          </w:tcPr>
          <w:p>
            <w:pPr>
              <w:jc w:val="left"/>
            </w:pPr>
            <w:r/>
            <w:r>
              <w:rPr>
                <w:sz w:val="18"/>
                <w:rFonts w:eastAsia="宋体" w:ascii="Times New Roman" w:hAnsi="Times New Roman"/>
              </w:rPr>
              <w:t>Q3</w:t>
            </w:r>
          </w:p>
        </w:tc>
        <w:tc>
          <w:tcPr>
            <w:tcW w:type="dxa" w:w="3969"/>
            <w:tcBorders>
              <w:top w:val="nil"/>
              <w:left w:val="nil"/>
              <w:bottom w:val="nil"/>
              <w:right w:val="nil"/>
            </w:tcBorders>
          </w:tcPr>
          <w:p>
            <w:pPr>
              <w:jc w:val="left"/>
            </w:pPr>
            <w:r/>
            <w:r>
              <w:rPr>
                <w:sz w:val="18"/>
                <w:rFonts w:eastAsia="宋体" w:ascii="Times New Roman" w:hAnsi="Times New Roman"/>
              </w:rPr>
              <w:t>写个汉威科技分析提示词</w:t>
            </w:r>
          </w:p>
        </w:tc>
        <w:tc>
          <w:tcPr>
            <w:tcW w:type="dxa" w:w="850"/>
            <w:tcBorders>
              <w:top w:val="nil"/>
              <w:left w:val="nil"/>
              <w:bottom w:val="nil"/>
              <w:right w:val="nil"/>
            </w:tcBorders>
          </w:tcPr>
          <w:p>
            <w:pPr>
              <w:jc w:val="left"/>
            </w:pPr>
            <w:r/>
            <w:r>
              <w:rPr>
                <w:sz w:val="18"/>
                <w:rFonts w:eastAsia="宋体" w:ascii="Times New Roman" w:hAnsi="Times New Roman"/>
              </w:rPr>
              <w:t>跨域</w:t>
            </w:r>
          </w:p>
        </w:tc>
        <w:tc>
          <w:tcPr>
            <w:tcW w:type="dxa" w:w="3118"/>
            <w:tcBorders>
              <w:top w:val="nil"/>
              <w:left w:val="nil"/>
              <w:bottom w:val="nil"/>
              <w:right w:val="nil"/>
            </w:tcBorders>
          </w:tcPr>
          <w:p>
            <w:pPr>
              <w:jc w:val="left"/>
            </w:pPr>
            <w:r/>
            <w:r>
              <w:rPr>
                <w:sz w:val="18"/>
                <w:rFonts w:eastAsia="宋体" w:ascii="Times New Roman" w:hAnsi="Times New Roman"/>
              </w:rPr>
              <w:t>trading + memory + rules</w:t>
            </w:r>
          </w:p>
        </w:tc>
      </w:tr>
      <w:tr>
        <w:tc>
          <w:tcPr>
            <w:tcW w:type="dxa" w:w="567"/>
            <w:tcBorders>
              <w:top w:val="nil"/>
              <w:left w:val="nil"/>
              <w:bottom w:val="nil"/>
              <w:right w:val="nil"/>
            </w:tcBorders>
          </w:tcPr>
          <w:p>
            <w:pPr>
              <w:jc w:val="left"/>
            </w:pPr>
            <w:r/>
            <w:r>
              <w:rPr>
                <w:sz w:val="18"/>
                <w:rFonts w:eastAsia="宋体" w:ascii="Times New Roman" w:hAnsi="Times New Roman"/>
              </w:rPr>
              <w:t>Q4</w:t>
            </w:r>
          </w:p>
        </w:tc>
        <w:tc>
          <w:tcPr>
            <w:tcW w:type="dxa" w:w="3969"/>
            <w:tcBorders>
              <w:top w:val="nil"/>
              <w:left w:val="nil"/>
              <w:bottom w:val="nil"/>
              <w:right w:val="nil"/>
            </w:tcBorders>
          </w:tcPr>
          <w:p>
            <w:pPr>
              <w:jc w:val="left"/>
            </w:pPr>
            <w:r/>
            <w:r>
              <w:rPr>
                <w:sz w:val="18"/>
                <w:rFonts w:eastAsia="宋体" w:ascii="Times New Roman" w:hAnsi="Times New Roman"/>
              </w:rPr>
              <w:t>ai-memory-hygiene 项目进展</w:t>
            </w:r>
          </w:p>
        </w:tc>
        <w:tc>
          <w:tcPr>
            <w:tcW w:type="dxa" w:w="850"/>
            <w:tcBorders>
              <w:top w:val="nil"/>
              <w:left w:val="nil"/>
              <w:bottom w:val="nil"/>
              <w:right w:val="nil"/>
            </w:tcBorders>
          </w:tcPr>
          <w:p>
            <w:pPr>
              <w:jc w:val="left"/>
            </w:pPr>
            <w:r/>
            <w:r>
              <w:rPr>
                <w:sz w:val="18"/>
                <w:rFonts w:eastAsia="宋体" w:ascii="Times New Roman" w:hAnsi="Times New Roman"/>
              </w:rPr>
              <w:t>跨域</w:t>
            </w:r>
          </w:p>
        </w:tc>
        <w:tc>
          <w:tcPr>
            <w:tcW w:type="dxa" w:w="3118"/>
            <w:tcBorders>
              <w:top w:val="nil"/>
              <w:left w:val="nil"/>
              <w:bottom w:val="nil"/>
              <w:right w:val="nil"/>
            </w:tcBorders>
          </w:tcPr>
          <w:p>
            <w:pPr>
              <w:jc w:val="left"/>
            </w:pPr>
            <w:r/>
            <w:r>
              <w:rPr>
                <w:sz w:val="18"/>
                <w:rFonts w:eastAsia="宋体" w:ascii="Times New Roman" w:hAnsi="Times New Roman"/>
              </w:rPr>
              <w:t>knowledge + skills</w:t>
            </w:r>
          </w:p>
        </w:tc>
      </w:tr>
      <w:tr>
        <w:tc>
          <w:tcPr>
            <w:tcW w:type="dxa" w:w="567"/>
            <w:tcBorders>
              <w:top w:val="nil"/>
              <w:left w:val="nil"/>
              <w:bottom w:val="nil"/>
              <w:right w:val="nil"/>
            </w:tcBorders>
          </w:tcPr>
          <w:p>
            <w:pPr>
              <w:jc w:val="left"/>
            </w:pPr>
            <w:r/>
            <w:r>
              <w:rPr>
                <w:sz w:val="18"/>
                <w:rFonts w:eastAsia="宋体" w:ascii="Times New Roman" w:hAnsi="Times New Roman"/>
              </w:rPr>
              <w:t>Q5</w:t>
            </w:r>
          </w:p>
        </w:tc>
        <w:tc>
          <w:tcPr>
            <w:tcW w:type="dxa" w:w="3969"/>
            <w:tcBorders>
              <w:top w:val="nil"/>
              <w:left w:val="nil"/>
              <w:bottom w:val="nil"/>
              <w:right w:val="nil"/>
            </w:tcBorders>
          </w:tcPr>
          <w:p>
            <w:pPr>
              <w:jc w:val="left"/>
            </w:pPr>
            <w:r/>
            <w:r>
              <w:rPr>
                <w:sz w:val="18"/>
                <w:rFonts w:eastAsia="宋体" w:ascii="Times New Roman" w:hAnsi="Times New Roman"/>
              </w:rPr>
              <w:t>有没有能抓新闻的技能</w:t>
            </w:r>
          </w:p>
        </w:tc>
        <w:tc>
          <w:tcPr>
            <w:tcW w:type="dxa" w:w="850"/>
            <w:tcBorders>
              <w:top w:val="nil"/>
              <w:left w:val="nil"/>
              <w:bottom w:val="nil"/>
              <w:right w:val="nil"/>
            </w:tcBorders>
          </w:tcPr>
          <w:p>
            <w:pPr>
              <w:jc w:val="left"/>
            </w:pPr>
            <w:r/>
            <w:r>
              <w:rPr>
                <w:sz w:val="18"/>
                <w:rFonts w:eastAsia="宋体" w:ascii="Times New Roman" w:hAnsi="Times New Roman"/>
              </w:rPr>
              <w:t>单域</w:t>
            </w:r>
          </w:p>
        </w:tc>
        <w:tc>
          <w:tcPr>
            <w:tcW w:type="dxa" w:w="3118"/>
            <w:tcBorders>
              <w:top w:val="nil"/>
              <w:left w:val="nil"/>
              <w:bottom w:val="nil"/>
              <w:right w:val="nil"/>
            </w:tcBorders>
          </w:tcPr>
          <w:p>
            <w:pPr>
              <w:jc w:val="left"/>
            </w:pPr>
            <w:r/>
            <w:r>
              <w:rPr>
                <w:sz w:val="18"/>
                <w:rFonts w:eastAsia="宋体" w:ascii="Times New Roman" w:hAnsi="Times New Roman"/>
              </w:rPr>
              <w:t>skills</w:t>
            </w:r>
          </w:p>
        </w:tc>
      </w:tr>
      <w:tr>
        <w:tc>
          <w:tcPr>
            <w:tcW w:type="dxa" w:w="567"/>
            <w:tcBorders>
              <w:top w:val="nil"/>
              <w:left w:val="nil"/>
              <w:bottom w:val="nil"/>
              <w:right w:val="nil"/>
            </w:tcBorders>
          </w:tcPr>
          <w:p>
            <w:pPr>
              <w:jc w:val="left"/>
            </w:pPr>
            <w:r/>
            <w:r>
              <w:rPr>
                <w:sz w:val="18"/>
                <w:rFonts w:eastAsia="宋体" w:ascii="Times New Roman" w:hAnsi="Times New Roman"/>
              </w:rPr>
              <w:t>Q6</w:t>
            </w:r>
          </w:p>
        </w:tc>
        <w:tc>
          <w:tcPr>
            <w:tcW w:type="dxa" w:w="3969"/>
            <w:tcBorders>
              <w:top w:val="nil"/>
              <w:left w:val="nil"/>
              <w:bottom w:val="nil"/>
              <w:right w:val="nil"/>
            </w:tcBorders>
          </w:tcPr>
          <w:p>
            <w:pPr>
              <w:jc w:val="left"/>
            </w:pPr>
            <w:r/>
            <w:r>
              <w:rPr>
                <w:sz w:val="18"/>
                <w:rFonts w:eastAsia="宋体" w:ascii="Times New Roman" w:hAnsi="Times New Roman"/>
              </w:rPr>
              <w:t>TILE 论文 v7 出来了没有</w:t>
            </w:r>
          </w:p>
        </w:tc>
        <w:tc>
          <w:tcPr>
            <w:tcW w:type="dxa" w:w="850"/>
            <w:tcBorders>
              <w:top w:val="nil"/>
              <w:left w:val="nil"/>
              <w:bottom w:val="nil"/>
              <w:right w:val="nil"/>
            </w:tcBorders>
          </w:tcPr>
          <w:p>
            <w:pPr>
              <w:jc w:val="left"/>
            </w:pPr>
            <w:r/>
            <w:r>
              <w:rPr>
                <w:sz w:val="18"/>
                <w:rFonts w:eastAsia="宋体" w:ascii="Times New Roman" w:hAnsi="Times New Roman"/>
              </w:rPr>
              <w:t>单域</w:t>
            </w:r>
          </w:p>
        </w:tc>
        <w:tc>
          <w:tcPr>
            <w:tcW w:type="dxa" w:w="3118"/>
            <w:tcBorders>
              <w:top w:val="nil"/>
              <w:left w:val="nil"/>
              <w:bottom w:val="nil"/>
              <w:right w:val="nil"/>
            </w:tcBorders>
          </w:tcPr>
          <w:p>
            <w:pPr>
              <w:jc w:val="left"/>
            </w:pPr>
            <w:r/>
            <w:r>
              <w:rPr>
                <w:sz w:val="18"/>
                <w:rFonts w:eastAsia="宋体" w:ascii="Times New Roman" w:hAnsi="Times New Roman"/>
              </w:rPr>
              <w:t>research</w:t>
            </w:r>
          </w:p>
        </w:tc>
      </w:tr>
      <w:tr>
        <w:tc>
          <w:tcPr>
            <w:tcW w:type="dxa" w:w="567"/>
            <w:tcBorders>
              <w:top w:val="nil"/>
              <w:left w:val="nil"/>
              <w:bottom w:val="nil"/>
              <w:right w:val="nil"/>
            </w:tcBorders>
          </w:tcPr>
          <w:p>
            <w:pPr>
              <w:jc w:val="left"/>
            </w:pPr>
            <w:r/>
            <w:r>
              <w:rPr>
                <w:sz w:val="18"/>
                <w:rFonts w:eastAsia="宋体" w:ascii="Times New Roman" w:hAnsi="Times New Roman"/>
              </w:rPr>
              <w:t>Q7</w:t>
            </w:r>
          </w:p>
        </w:tc>
        <w:tc>
          <w:tcPr>
            <w:tcW w:type="dxa" w:w="3969"/>
            <w:tcBorders>
              <w:top w:val="nil"/>
              <w:left w:val="nil"/>
              <w:bottom w:val="nil"/>
              <w:right w:val="nil"/>
            </w:tcBorders>
          </w:tcPr>
          <w:p>
            <w:pPr>
              <w:jc w:val="left"/>
            </w:pPr>
            <w:r/>
            <w:r>
              <w:rPr>
                <w:sz w:val="18"/>
                <w:rFonts w:eastAsia="宋体" w:ascii="Times New Roman" w:hAnsi="Times New Roman"/>
              </w:rPr>
              <w:t>帮我写一份手机闲置算力共享的专利交底书</w:t>
            </w:r>
          </w:p>
        </w:tc>
        <w:tc>
          <w:tcPr>
            <w:tcW w:type="dxa" w:w="850"/>
            <w:tcBorders>
              <w:top w:val="nil"/>
              <w:left w:val="nil"/>
              <w:bottom w:val="nil"/>
              <w:right w:val="nil"/>
            </w:tcBorders>
          </w:tcPr>
          <w:p>
            <w:pPr>
              <w:jc w:val="left"/>
            </w:pPr>
            <w:r/>
            <w:r>
              <w:rPr>
                <w:sz w:val="18"/>
                <w:rFonts w:eastAsia="宋体" w:ascii="Times New Roman" w:hAnsi="Times New Roman"/>
              </w:rPr>
              <w:t>流程</w:t>
            </w:r>
          </w:p>
        </w:tc>
        <w:tc>
          <w:tcPr>
            <w:tcW w:type="dxa" w:w="3118"/>
            <w:tcBorders>
              <w:top w:val="nil"/>
              <w:left w:val="nil"/>
              <w:bottom w:val="nil"/>
              <w:right w:val="nil"/>
            </w:tcBorders>
          </w:tcPr>
          <w:p>
            <w:pPr>
              <w:jc w:val="left"/>
            </w:pPr>
            <w:r/>
            <w:r>
              <w:rPr>
                <w:sz w:val="18"/>
                <w:rFonts w:eastAsia="宋体" w:ascii="Times New Roman" w:hAnsi="Times New Roman"/>
              </w:rPr>
              <w:t>patents</w:t>
            </w:r>
          </w:p>
        </w:tc>
      </w:tr>
      <w:tr>
        <w:tc>
          <w:tcPr>
            <w:tcW w:type="dxa" w:w="567"/>
            <w:tcBorders>
              <w:top w:val="nil"/>
              <w:left w:val="nil"/>
              <w:bottom w:val="nil"/>
              <w:right w:val="nil"/>
            </w:tcBorders>
          </w:tcPr>
          <w:p>
            <w:pPr>
              <w:jc w:val="left"/>
            </w:pPr>
            <w:r/>
            <w:r>
              <w:rPr>
                <w:sz w:val="18"/>
                <w:rFonts w:eastAsia="宋体" w:ascii="Times New Roman" w:hAnsi="Times New Roman"/>
              </w:rPr>
              <w:t>Q8</w:t>
            </w:r>
          </w:p>
        </w:tc>
        <w:tc>
          <w:tcPr>
            <w:tcW w:type="dxa" w:w="3969"/>
            <w:tcBorders>
              <w:top w:val="nil"/>
              <w:left w:val="nil"/>
              <w:bottom w:val="nil"/>
              <w:right w:val="nil"/>
            </w:tcBorders>
          </w:tcPr>
          <w:p>
            <w:pPr>
              <w:jc w:val="left"/>
            </w:pPr>
            <w:r/>
            <w:r>
              <w:rPr>
                <w:sz w:val="18"/>
                <w:rFonts w:eastAsia="宋体" w:ascii="Times New Roman" w:hAnsi="Times New Roman"/>
              </w:rPr>
              <w:t>把 TILE 算力效率写进专利交底书</w:t>
            </w:r>
          </w:p>
        </w:tc>
        <w:tc>
          <w:tcPr>
            <w:tcW w:type="dxa" w:w="850"/>
            <w:tcBorders>
              <w:top w:val="nil"/>
              <w:left w:val="nil"/>
              <w:bottom w:val="nil"/>
              <w:right w:val="nil"/>
            </w:tcBorders>
          </w:tcPr>
          <w:p>
            <w:pPr>
              <w:jc w:val="left"/>
            </w:pPr>
            <w:r/>
            <w:r>
              <w:rPr>
                <w:sz w:val="18"/>
                <w:rFonts w:eastAsia="宋体" w:ascii="Times New Roman" w:hAnsi="Times New Roman"/>
              </w:rPr>
              <w:t>跨域</w:t>
            </w:r>
          </w:p>
        </w:tc>
        <w:tc>
          <w:tcPr>
            <w:tcW w:type="dxa" w:w="3118"/>
            <w:tcBorders>
              <w:top w:val="nil"/>
              <w:left w:val="nil"/>
              <w:bottom w:val="nil"/>
              <w:right w:val="nil"/>
            </w:tcBorders>
          </w:tcPr>
          <w:p>
            <w:pPr>
              <w:jc w:val="left"/>
            </w:pPr>
            <w:r/>
            <w:r>
              <w:rPr>
                <w:sz w:val="18"/>
                <w:rFonts w:eastAsia="宋体" w:ascii="Times New Roman" w:hAnsi="Times New Roman"/>
              </w:rPr>
              <w:t>research + patents</w:t>
            </w:r>
          </w:p>
        </w:tc>
      </w:tr>
      <w:tr>
        <w:tc>
          <w:tcPr>
            <w:tcW w:type="dxa" w:w="567"/>
            <w:tcBorders>
              <w:top w:val="nil"/>
              <w:left w:val="nil"/>
              <w:bottom w:val="nil"/>
              <w:right w:val="nil"/>
            </w:tcBorders>
          </w:tcPr>
          <w:p>
            <w:pPr>
              <w:jc w:val="left"/>
            </w:pPr>
            <w:r/>
            <w:r>
              <w:rPr>
                <w:sz w:val="18"/>
                <w:rFonts w:eastAsia="宋体" w:ascii="Times New Roman" w:hAnsi="Times New Roman"/>
              </w:rPr>
              <w:t>Q9</w:t>
            </w:r>
          </w:p>
        </w:tc>
        <w:tc>
          <w:tcPr>
            <w:tcW w:type="dxa" w:w="3969"/>
            <w:tcBorders>
              <w:top w:val="nil"/>
              <w:left w:val="nil"/>
              <w:bottom w:val="nil"/>
              <w:right w:val="nil"/>
            </w:tcBorders>
          </w:tcPr>
          <w:p>
            <w:pPr>
              <w:jc w:val="left"/>
            </w:pPr>
            <w:r/>
            <w:r>
              <w:rPr>
                <w:sz w:val="18"/>
                <w:rFonts w:eastAsia="宋体" w:ascii="Times New Roman" w:hAnsi="Times New Roman"/>
              </w:rPr>
              <w:t>帮写一个 CLI 工具 mh.py</w:t>
            </w:r>
          </w:p>
        </w:tc>
        <w:tc>
          <w:tcPr>
            <w:tcW w:type="dxa" w:w="850"/>
            <w:tcBorders>
              <w:top w:val="nil"/>
              <w:left w:val="nil"/>
              <w:bottom w:val="nil"/>
              <w:right w:val="nil"/>
            </w:tcBorders>
          </w:tcPr>
          <w:p>
            <w:pPr>
              <w:jc w:val="left"/>
            </w:pPr>
            <w:r/>
            <w:r>
              <w:rPr>
                <w:sz w:val="18"/>
                <w:rFonts w:eastAsia="宋体" w:ascii="Times New Roman" w:hAnsi="Times New Roman"/>
              </w:rPr>
              <w:t>代码</w:t>
            </w:r>
          </w:p>
        </w:tc>
        <w:tc>
          <w:tcPr>
            <w:tcW w:type="dxa" w:w="3118"/>
            <w:tcBorders>
              <w:top w:val="nil"/>
              <w:left w:val="nil"/>
              <w:bottom w:val="nil"/>
              <w:right w:val="nil"/>
            </w:tcBorders>
          </w:tcPr>
          <w:p>
            <w:pPr>
              <w:jc w:val="left"/>
            </w:pPr>
            <w:r/>
            <w:r>
              <w:rPr>
                <w:sz w:val="18"/>
                <w:rFonts w:eastAsia="宋体" w:ascii="Times New Roman" w:hAnsi="Times New Roman"/>
              </w:rPr>
              <w:t>scripts + research + skills</w:t>
            </w:r>
          </w:p>
        </w:tc>
      </w:tr>
      <w:tr>
        <w:tc>
          <w:tcPr>
            <w:tcW w:type="dxa" w:w="567"/>
            <w:tcBorders>
              <w:top w:val="nil"/>
              <w:left w:val="nil"/>
              <w:bottom w:val="nil"/>
              <w:right w:val="nil"/>
            </w:tcBorders>
          </w:tcPr>
          <w:p>
            <w:pPr>
              <w:jc w:val="left"/>
            </w:pPr>
            <w:r/>
            <w:r>
              <w:rPr>
                <w:sz w:val="18"/>
                <w:rFonts w:eastAsia="宋体" w:ascii="Times New Roman" w:hAnsi="Times New Roman"/>
              </w:rPr>
              <w:t>Q10</w:t>
            </w:r>
          </w:p>
        </w:tc>
        <w:tc>
          <w:tcPr>
            <w:tcW w:type="dxa" w:w="3969"/>
            <w:tcBorders>
              <w:top w:val="nil"/>
              <w:left w:val="nil"/>
              <w:bottom w:val="nil"/>
              <w:right w:val="nil"/>
            </w:tcBorders>
          </w:tcPr>
          <w:p>
            <w:pPr>
              <w:jc w:val="left"/>
            </w:pPr>
            <w:r/>
            <w:r>
              <w:rPr>
                <w:sz w:val="18"/>
                <w:rFonts w:eastAsia="宋体" w:ascii="Times New Roman" w:hAnsi="Times New Roman"/>
              </w:rPr>
              <w:t>帮我把百度网盘资料下载到服务器</w:t>
            </w:r>
          </w:p>
        </w:tc>
        <w:tc>
          <w:tcPr>
            <w:tcW w:type="dxa" w:w="850"/>
            <w:tcBorders>
              <w:top w:val="nil"/>
              <w:left w:val="nil"/>
              <w:bottom w:val="nil"/>
              <w:right w:val="nil"/>
            </w:tcBorders>
          </w:tcPr>
          <w:p>
            <w:pPr>
              <w:jc w:val="left"/>
            </w:pPr>
            <w:r/>
            <w:r>
              <w:rPr>
                <w:sz w:val="18"/>
                <w:rFonts w:eastAsia="宋体" w:ascii="Times New Roman" w:hAnsi="Times New Roman"/>
              </w:rPr>
              <w:t>流程</w:t>
            </w:r>
          </w:p>
        </w:tc>
        <w:tc>
          <w:tcPr>
            <w:tcW w:type="dxa" w:w="3118"/>
            <w:tcBorders>
              <w:top w:val="nil"/>
              <w:left w:val="nil"/>
              <w:bottom w:val="nil"/>
              <w:right w:val="nil"/>
            </w:tcBorders>
          </w:tcPr>
          <w:p>
            <w:pPr>
              <w:jc w:val="left"/>
            </w:pPr>
            <w:r/>
            <w:r>
              <w:rPr>
                <w:sz w:val="18"/>
                <w:rFonts w:eastAsia="宋体" w:ascii="Times New Roman" w:hAnsi="Times New Roman"/>
              </w:rPr>
              <w:t>knowledge + TOOLS</w:t>
            </w:r>
          </w:p>
        </w:tc>
      </w:tr>
      <w:tr>
        <w:tc>
          <w:tcPr>
            <w:tcW w:type="dxa" w:w="567"/>
            <w:tcBorders>
              <w:top w:val="nil"/>
              <w:left w:val="nil"/>
              <w:bottom w:val="nil"/>
              <w:right w:val="nil"/>
            </w:tcBorders>
          </w:tcPr>
          <w:p>
            <w:pPr>
              <w:jc w:val="left"/>
            </w:pPr>
            <w:r/>
            <w:r>
              <w:rPr>
                <w:sz w:val="18"/>
                <w:rFonts w:eastAsia="宋体" w:ascii="Times New Roman" w:hAnsi="Times New Roman"/>
              </w:rPr>
              <w:t>Q11</w:t>
            </w:r>
          </w:p>
        </w:tc>
        <w:tc>
          <w:tcPr>
            <w:tcW w:type="dxa" w:w="3969"/>
            <w:tcBorders>
              <w:top w:val="nil"/>
              <w:left w:val="nil"/>
              <w:bottom w:val="nil"/>
              <w:right w:val="nil"/>
            </w:tcBorders>
          </w:tcPr>
          <w:p>
            <w:pPr>
              <w:jc w:val="left"/>
            </w:pPr>
            <w:r/>
            <w:r>
              <w:rPr>
                <w:sz w:val="18"/>
                <w:rFonts w:eastAsia="宋体" w:ascii="Times New Roman" w:hAnsi="Times New Roman"/>
              </w:rPr>
              <w:t>首日绿色信号挂单价怎么定</w:t>
            </w:r>
          </w:p>
        </w:tc>
        <w:tc>
          <w:tcPr>
            <w:tcW w:type="dxa" w:w="850"/>
            <w:tcBorders>
              <w:top w:val="nil"/>
              <w:left w:val="nil"/>
              <w:bottom w:val="nil"/>
              <w:right w:val="nil"/>
            </w:tcBorders>
          </w:tcPr>
          <w:p>
            <w:pPr>
              <w:jc w:val="left"/>
            </w:pPr>
            <w:r/>
            <w:r>
              <w:rPr>
                <w:sz w:val="18"/>
                <w:rFonts w:eastAsia="宋体" w:ascii="Times New Roman" w:hAnsi="Times New Roman"/>
              </w:rPr>
              <w:t>单域</w:t>
            </w:r>
          </w:p>
        </w:tc>
        <w:tc>
          <w:tcPr>
            <w:tcW w:type="dxa" w:w="3118"/>
            <w:tcBorders>
              <w:top w:val="nil"/>
              <w:left w:val="nil"/>
              <w:bottom w:val="nil"/>
              <w:right w:val="nil"/>
            </w:tcBorders>
          </w:tcPr>
          <w:p>
            <w:pPr>
              <w:jc w:val="left"/>
            </w:pPr>
            <w:r/>
            <w:r>
              <w:rPr>
                <w:sz w:val="18"/>
                <w:rFonts w:eastAsia="宋体" w:ascii="Times New Roman" w:hAnsi="Times New Roman"/>
              </w:rPr>
              <w:t>rules</w:t>
            </w:r>
          </w:p>
        </w:tc>
      </w:tr>
      <w:tr>
        <w:tc>
          <w:tcPr>
            <w:tcW w:type="dxa" w:w="567"/>
            <w:tcBorders>
              <w:top w:val="nil"/>
              <w:left w:val="nil"/>
              <w:bottom w:val="nil"/>
              <w:right w:val="nil"/>
            </w:tcBorders>
          </w:tcPr>
          <w:p>
            <w:pPr>
              <w:jc w:val="left"/>
            </w:pPr>
            <w:r/>
            <w:r>
              <w:rPr>
                <w:sz w:val="18"/>
                <w:rFonts w:eastAsia="宋体" w:ascii="Times New Roman" w:hAnsi="Times New Roman"/>
              </w:rPr>
              <w:t>Q12</w:t>
            </w:r>
          </w:p>
        </w:tc>
        <w:tc>
          <w:tcPr>
            <w:tcW w:type="dxa" w:w="3969"/>
            <w:tcBorders>
              <w:top w:val="nil"/>
              <w:left w:val="nil"/>
              <w:bottom w:val="nil"/>
              <w:right w:val="nil"/>
            </w:tcBorders>
          </w:tcPr>
          <w:p>
            <w:pPr>
              <w:jc w:val="left"/>
            </w:pPr>
            <w:r/>
            <w:r>
              <w:rPr>
                <w:sz w:val="18"/>
                <w:rFonts w:eastAsia="宋体" w:ascii="Times New Roman" w:hAnsi="Times New Roman"/>
              </w:rPr>
              <w:t>GitHub 怎么连不上了</w:t>
            </w:r>
          </w:p>
        </w:tc>
        <w:tc>
          <w:tcPr>
            <w:tcW w:type="dxa" w:w="850"/>
            <w:tcBorders>
              <w:top w:val="nil"/>
              <w:left w:val="nil"/>
              <w:bottom w:val="nil"/>
              <w:right w:val="nil"/>
            </w:tcBorders>
          </w:tcPr>
          <w:p>
            <w:pPr>
              <w:jc w:val="left"/>
            </w:pPr>
            <w:r/>
            <w:r>
              <w:rPr>
                <w:sz w:val="18"/>
                <w:rFonts w:eastAsia="宋体" w:ascii="Times New Roman" w:hAnsi="Times New Roman"/>
              </w:rPr>
              <w:t>跨域</w:t>
            </w:r>
          </w:p>
        </w:tc>
        <w:tc>
          <w:tcPr>
            <w:tcW w:type="dxa" w:w="3118"/>
            <w:tcBorders>
              <w:top w:val="nil"/>
              <w:left w:val="nil"/>
              <w:bottom w:val="nil"/>
              <w:right w:val="nil"/>
            </w:tcBorders>
          </w:tcPr>
          <w:p>
            <w:pPr>
              <w:jc w:val="left"/>
            </w:pPr>
            <w:r/>
            <w:r>
              <w:rPr>
                <w:sz w:val="18"/>
                <w:rFonts w:eastAsia="宋体" w:ascii="Times New Roman" w:hAnsi="Times New Roman"/>
              </w:rPr>
              <w:t>config + memory + knowledge</w:t>
            </w:r>
          </w:p>
        </w:tc>
      </w:tr>
      <w:tr>
        <w:tc>
          <w:tcPr>
            <w:tcW w:type="dxa" w:w="567"/>
            <w:tcBorders>
              <w:top w:val="nil"/>
              <w:left w:val="nil"/>
              <w:bottom w:val="nil"/>
              <w:right w:val="nil"/>
            </w:tcBorders>
          </w:tcPr>
          <w:p>
            <w:pPr>
              <w:jc w:val="left"/>
            </w:pPr>
            <w:r/>
            <w:r>
              <w:rPr>
                <w:sz w:val="18"/>
                <w:rFonts w:eastAsia="宋体" w:ascii="Times New Roman" w:hAnsi="Times New Roman"/>
              </w:rPr>
              <w:t>Q13</w:t>
            </w:r>
          </w:p>
        </w:tc>
        <w:tc>
          <w:tcPr>
            <w:tcW w:type="dxa" w:w="3969"/>
            <w:tcBorders>
              <w:top w:val="nil"/>
              <w:left w:val="nil"/>
              <w:bottom w:val="nil"/>
              <w:right w:val="nil"/>
            </w:tcBorders>
          </w:tcPr>
          <w:p>
            <w:pPr>
              <w:jc w:val="left"/>
            </w:pPr>
            <w:r/>
            <w:r>
              <w:rPr>
                <w:sz w:val="18"/>
                <w:rFonts w:eastAsia="宋体" w:ascii="Times New Roman" w:hAnsi="Times New Roman"/>
              </w:rPr>
              <w:t>怎么控制 DeepSeek API 费用</w:t>
            </w:r>
          </w:p>
        </w:tc>
        <w:tc>
          <w:tcPr>
            <w:tcW w:type="dxa" w:w="850"/>
            <w:tcBorders>
              <w:top w:val="nil"/>
              <w:left w:val="nil"/>
              <w:bottom w:val="nil"/>
              <w:right w:val="nil"/>
            </w:tcBorders>
          </w:tcPr>
          <w:p>
            <w:pPr>
              <w:jc w:val="left"/>
            </w:pPr>
            <w:r/>
            <w:r>
              <w:rPr>
                <w:sz w:val="18"/>
                <w:rFonts w:eastAsia="宋体" w:ascii="Times New Roman" w:hAnsi="Times New Roman"/>
              </w:rPr>
              <w:t>跨域</w:t>
            </w:r>
          </w:p>
        </w:tc>
        <w:tc>
          <w:tcPr>
            <w:tcW w:type="dxa" w:w="3118"/>
            <w:tcBorders>
              <w:top w:val="nil"/>
              <w:left w:val="nil"/>
              <w:bottom w:val="nil"/>
              <w:right w:val="nil"/>
            </w:tcBorders>
          </w:tcPr>
          <w:p>
            <w:pPr>
              <w:jc w:val="left"/>
            </w:pPr>
            <w:r/>
            <w:r>
              <w:rPr>
                <w:sz w:val="18"/>
                <w:rFonts w:eastAsia="宋体" w:ascii="Times New Roman" w:hAnsi="Times New Roman"/>
              </w:rPr>
              <w:t>config + memory</w:t>
            </w:r>
          </w:p>
        </w:tc>
      </w:tr>
      <w:tr>
        <w:tc>
          <w:tcPr>
            <w:tcW w:type="dxa" w:w="567"/>
            <w:tcBorders>
              <w:top w:val="nil"/>
              <w:left w:val="nil"/>
              <w:bottom w:val="nil"/>
              <w:right w:val="nil"/>
            </w:tcBorders>
          </w:tcPr>
          <w:p>
            <w:pPr>
              <w:jc w:val="left"/>
            </w:pPr>
            <w:r/>
            <w:r>
              <w:rPr>
                <w:sz w:val="18"/>
                <w:rFonts w:eastAsia="宋体" w:ascii="Times New Roman" w:hAnsi="Times New Roman"/>
              </w:rPr>
              <w:t>Q14</w:t>
            </w:r>
          </w:p>
        </w:tc>
        <w:tc>
          <w:tcPr>
            <w:tcW w:type="dxa" w:w="3969"/>
            <w:tcBorders>
              <w:top w:val="nil"/>
              <w:left w:val="nil"/>
              <w:bottom w:val="nil"/>
              <w:right w:val="nil"/>
            </w:tcBorders>
          </w:tcPr>
          <w:p>
            <w:pPr>
              <w:jc w:val="left"/>
            </w:pPr>
            <w:r/>
            <w:r>
              <w:rPr>
                <w:sz w:val="18"/>
                <w:rFonts w:eastAsia="宋体" w:ascii="Times New Roman" w:hAnsi="Times New Roman"/>
              </w:rPr>
              <w:t>帮写 CLI mh.py（含 Context Budget Analyzer）</w:t>
            </w:r>
          </w:p>
        </w:tc>
        <w:tc>
          <w:tcPr>
            <w:tcW w:type="dxa" w:w="850"/>
            <w:tcBorders>
              <w:top w:val="nil"/>
              <w:left w:val="nil"/>
              <w:bottom w:val="nil"/>
              <w:right w:val="nil"/>
            </w:tcBorders>
          </w:tcPr>
          <w:p>
            <w:pPr>
              <w:jc w:val="left"/>
            </w:pPr>
            <w:r/>
            <w:r>
              <w:rPr>
                <w:sz w:val="18"/>
                <w:rFonts w:eastAsia="宋体" w:ascii="Times New Roman" w:hAnsi="Times New Roman"/>
              </w:rPr>
              <w:t>代码</w:t>
            </w:r>
          </w:p>
        </w:tc>
        <w:tc>
          <w:tcPr>
            <w:tcW w:type="dxa" w:w="3118"/>
            <w:tcBorders>
              <w:top w:val="nil"/>
              <w:left w:val="nil"/>
              <w:bottom w:val="nil"/>
              <w:right w:val="nil"/>
            </w:tcBorders>
          </w:tcPr>
          <w:p>
            <w:pPr>
              <w:jc w:val="left"/>
            </w:pPr>
            <w:r/>
            <w:r>
              <w:rPr>
                <w:sz w:val="18"/>
                <w:rFonts w:eastAsia="宋体" w:ascii="Times New Roman" w:hAnsi="Times New Roman"/>
              </w:rPr>
              <w:t>research + skills</w:t>
            </w:r>
          </w:p>
        </w:tc>
      </w:tr>
      <w:tr>
        <w:tc>
          <w:tcPr>
            <w:tcW w:type="dxa" w:w="567"/>
            <w:tcBorders>
              <w:top w:val="nil"/>
              <w:left w:val="nil"/>
              <w:bottom w:val="single" w:sz="12" w:color="000000"/>
              <w:right w:val="nil"/>
            </w:tcBorders>
          </w:tcPr>
          <w:p>
            <w:pPr>
              <w:jc w:val="left"/>
            </w:pPr>
            <w:r/>
            <w:r>
              <w:rPr>
                <w:sz w:val="18"/>
                <w:rFonts w:eastAsia="宋体" w:ascii="Times New Roman" w:hAnsi="Times New Roman"/>
              </w:rPr>
              <w:t>Q15</w:t>
            </w:r>
          </w:p>
        </w:tc>
        <w:tc>
          <w:tcPr>
            <w:tcW w:type="dxa" w:w="3969"/>
            <w:tcBorders>
              <w:top w:val="nil"/>
              <w:left w:val="nil"/>
              <w:bottom w:val="single" w:sz="12" w:color="000000"/>
              <w:right w:val="nil"/>
            </w:tcBorders>
          </w:tcPr>
          <w:p>
            <w:pPr>
              <w:jc w:val="left"/>
            </w:pPr>
            <w:r/>
            <w:r>
              <w:rPr>
                <w:sz w:val="18"/>
                <w:rFonts w:eastAsia="宋体" w:ascii="Times New Roman" w:hAnsi="Times New Roman"/>
              </w:rPr>
              <w:t>你自己清理一下空间费时间吗</w:t>
            </w:r>
          </w:p>
        </w:tc>
        <w:tc>
          <w:tcPr>
            <w:tcW w:type="dxa" w:w="850"/>
            <w:tcBorders>
              <w:top w:val="nil"/>
              <w:left w:val="nil"/>
              <w:bottom w:val="single" w:sz="12" w:color="000000"/>
              <w:right w:val="nil"/>
            </w:tcBorders>
          </w:tcPr>
          <w:p>
            <w:pPr>
              <w:jc w:val="left"/>
            </w:pPr>
            <w:r/>
            <w:r>
              <w:rPr>
                <w:sz w:val="18"/>
                <w:rFonts w:eastAsia="宋体" w:ascii="Times New Roman" w:hAnsi="Times New Roman"/>
              </w:rPr>
              <w:t>流程</w:t>
            </w:r>
          </w:p>
        </w:tc>
        <w:tc>
          <w:tcPr>
            <w:tcW w:type="dxa" w:w="3118"/>
            <w:tcBorders>
              <w:top w:val="nil"/>
              <w:left w:val="nil"/>
              <w:bottom w:val="single" w:sz="12" w:color="000000"/>
              <w:right w:val="nil"/>
            </w:tcBorders>
          </w:tcPr>
          <w:p>
            <w:pPr>
              <w:jc w:val="left"/>
            </w:pPr>
            <w:r/>
            <w:r>
              <w:rPr>
                <w:sz w:val="18"/>
                <w:rFonts w:eastAsia="宋体" w:ascii="Times New Roman" w:hAnsi="Times New Roman"/>
              </w:rPr>
              <w:t>memory + config</w:t>
            </w:r>
          </w:p>
        </w:tc>
      </w:tr>
    </w:tbl>
    <w:p/>
    <w:p>
      <w:pPr>
        <w:jc w:val="both"/>
      </w:pPr>
      <w:r>
        <w:t>关键约束。为保证对比的公平性，三种模式均要求模型仅基于给定信息作答，不得调用预训练外部知识；信息不足时直接说明，不得补全。该约束用于剥离"模型自身的预训练知识"对回答质量的干扰，确保实验测量的是"加载模式"的真实差异。</w:t>
      </w:r>
    </w:p>
    <w:p>
      <w:pPr>
        <w:pStyle w:val="TILE二级标题"/>
      </w:pPr>
      <w:r>
        <w:t>4.3.2 评价指标</w:t>
      </w:r>
    </w:p>
    <w:p>
      <w:pPr>
        <w:jc w:val="both"/>
      </w:pPr>
      <w:r>
        <w:t>回答质量分（1-5）由实验执行者按"信息密度 × 准确性"双维度综合打分：1 分为无实质内容（如仅复述目录名），2 分为仅提供方向性线索、缺少细节，3 分为有部分可用信息但不完整，4 分为完整可用（可能有小瑕疵），5 分为完整准确（含历史背景与边界条件）。</w:t>
      </w:r>
    </w:p>
    <w:p>
      <w:pPr>
        <w:ind w:firstLine="420"/>
      </w:pPr>
      <w:r>
        <w:t>Token 投入产出比（E）：</w:t>
      </w:r>
      <w:r>
        <w:t xml:space="preserve"> E = Q / T</w:t>
      </w:r>
      <w:r>
        <w:t>，其中 Q 为质量分（1-5），T 为加载层 token 数。E 越大表示每千 token 换来的质量越高。</w:t>
      </w:r>
    </w:p>
    <w:p>
      <w:pPr>
        <w:pStyle w:val="TILE二级标题"/>
      </w:pPr>
      <w:r>
        <w:t>4.3.3 实验结果</w:t>
      </w:r>
    </w:p>
    <w:p>
      <w:pPr>
        <w:jc w:val="both"/>
      </w:pPr>
      <w:r>
        <w:t>表 3 给出 15 条 query 在三种加载模式下的总体对比结果。</w:t>
      </w:r>
    </w:p>
    <w:p>
      <w:pPr>
        <w:pStyle w:val="TILE表题"/>
      </w:pPr>
      <w:r>
        <w:t>表 3  15 条 query 总体对比（均值）</w:t>
      </w:r>
    </w:p>
    <w:p>
      <w:pPr>
        <w:pStyle w:val="TILE表题"/>
      </w:pPr>
      <w:r>
        <w:rPr>
          <w:b w:val="0"/>
          <w:i/>
        </w:rPr>
        <w:t>Table 3  Overall comparison across 15 queries (mean values)</w:t>
      </w:r>
    </w:p>
    <w:tbl>
      <w:tblPr>
        <w:tblW w:type="auto" w:w="0"/>
        <w:jc w:val="center"/>
        <w:tblLook w:firstColumn="1" w:firstRow="1" w:lastColumn="0" w:lastRow="0" w:noHBand="0" w:noVBand="1" w:val="04A0"/>
      </w:tblPr>
      <w:tblGrid>
        <w:gridCol w:w="2409"/>
        <w:gridCol w:w="2409"/>
        <w:gridCol w:w="2409"/>
        <w:gridCol w:w="2409"/>
      </w:tblGrid>
      <w:tr>
        <w:tc>
          <w:tcPr>
            <w:tcW w:type="dxa" w:w="3118"/>
            <w:tcBorders>
              <w:top w:val="single" w:sz="12" w:color="000000"/>
              <w:left w:val="nil"/>
              <w:bottom w:val="single" w:sz="6" w:color="000000"/>
              <w:right w:val="nil"/>
            </w:tcBorders>
          </w:tcPr>
          <w:p>
            <w:pPr>
              <w:jc w:val="center"/>
            </w:pPr>
            <w:r/>
            <w:r>
              <w:rPr>
                <w:b/>
                <w:sz w:val="18"/>
                <w:rFonts w:eastAsia="黑体" w:ascii="Times New Roman" w:hAnsi="Times New Roman"/>
              </w:rPr>
              <w:t>指标</w:t>
            </w:r>
          </w:p>
        </w:tc>
        <w:tc>
          <w:tcPr>
            <w:tcW w:type="dxa" w:w="1701"/>
            <w:tcBorders>
              <w:top w:val="single" w:sz="12" w:color="000000"/>
              <w:left w:val="nil"/>
              <w:bottom w:val="single" w:sz="6" w:color="000000"/>
              <w:right w:val="nil"/>
            </w:tcBorders>
          </w:tcPr>
          <w:p>
            <w:pPr>
              <w:jc w:val="center"/>
            </w:pPr>
            <w:r/>
            <w:r>
              <w:rPr>
                <w:b/>
                <w:sz w:val="18"/>
                <w:rFonts w:eastAsia="黑体" w:ascii="Times New Roman" w:hAnsi="Times New Roman"/>
              </w:rPr>
              <w:t>V0</w:t>
            </w:r>
          </w:p>
        </w:tc>
        <w:tc>
          <w:tcPr>
            <w:tcW w:type="dxa" w:w="1701"/>
            <w:tcBorders>
              <w:top w:val="single" w:sz="12" w:color="000000"/>
              <w:left w:val="nil"/>
              <w:bottom w:val="single" w:sz="6" w:color="000000"/>
              <w:right w:val="nil"/>
            </w:tcBorders>
          </w:tcPr>
          <w:p>
            <w:pPr>
              <w:jc w:val="center"/>
            </w:pPr>
            <w:r/>
            <w:r>
              <w:rPr>
                <w:b/>
                <w:sz w:val="18"/>
                <w:rFonts w:eastAsia="黑体" w:ascii="Times New Roman" w:hAnsi="Times New Roman"/>
              </w:rPr>
              <w:t>V0'</w:t>
            </w:r>
          </w:p>
        </w:tc>
        <w:tc>
          <w:tcPr>
            <w:tcW w:type="dxa" w:w="1984"/>
            <w:tcBorders>
              <w:top w:val="single" w:sz="12" w:color="000000"/>
              <w:left w:val="nil"/>
              <w:bottom w:val="single" w:sz="6" w:color="000000"/>
              <w:right w:val="nil"/>
            </w:tcBorders>
          </w:tcPr>
          <w:p>
            <w:pPr>
              <w:jc w:val="center"/>
            </w:pPr>
            <w:r/>
            <w:r>
              <w:rPr>
                <w:b/>
                <w:sz w:val="18"/>
                <w:rFonts w:eastAsia="黑体" w:ascii="Times New Roman" w:hAnsi="Times New Roman"/>
              </w:rPr>
              <w:t>V3</w:t>
            </w:r>
          </w:p>
        </w:tc>
      </w:tr>
      <w:tr>
        <w:tc>
          <w:tcPr>
            <w:tcW w:type="dxa" w:w="3118"/>
            <w:tcBorders>
              <w:top w:val="nil"/>
              <w:left w:val="nil"/>
              <w:bottom w:val="nil"/>
              <w:right w:val="nil"/>
            </w:tcBorders>
          </w:tcPr>
          <w:p>
            <w:pPr>
              <w:jc w:val="center"/>
            </w:pPr>
            <w:r/>
            <w:r>
              <w:rPr>
                <w:sz w:val="18"/>
                <w:rFonts w:eastAsia="宋体" w:ascii="Times New Roman" w:hAnsi="Times New Roman"/>
              </w:rPr>
              <w:t>平均质量分</w:t>
            </w:r>
          </w:p>
        </w:tc>
        <w:tc>
          <w:tcPr>
            <w:tcW w:type="dxa" w:w="1701"/>
            <w:tcBorders>
              <w:top w:val="nil"/>
              <w:left w:val="nil"/>
              <w:bottom w:val="nil"/>
              <w:right w:val="nil"/>
            </w:tcBorders>
          </w:tcPr>
          <w:p>
            <w:pPr>
              <w:jc w:val="center"/>
            </w:pPr>
            <w:r/>
            <w:r>
              <w:rPr>
                <w:sz w:val="18"/>
                <w:rFonts w:eastAsia="宋体" w:ascii="Times New Roman" w:hAnsi="Times New Roman"/>
              </w:rPr>
              <w:t>1.00</w:t>
            </w:r>
          </w:p>
        </w:tc>
        <w:tc>
          <w:tcPr>
            <w:tcW w:type="dxa" w:w="1701"/>
            <w:tcBorders>
              <w:top w:val="nil"/>
              <w:left w:val="nil"/>
              <w:bottom w:val="nil"/>
              <w:right w:val="nil"/>
            </w:tcBorders>
          </w:tcPr>
          <w:p>
            <w:pPr>
              <w:jc w:val="center"/>
            </w:pPr>
            <w:r/>
            <w:r>
              <w:rPr>
                <w:sz w:val="18"/>
                <w:rFonts w:eastAsia="宋体" w:ascii="Times New Roman" w:hAnsi="Times New Roman"/>
              </w:rPr>
              <w:t>2.40</w:t>
            </w:r>
          </w:p>
        </w:tc>
        <w:tc>
          <w:tcPr>
            <w:tcW w:type="dxa" w:w="1984"/>
            <w:tcBorders>
              <w:top w:val="nil"/>
              <w:left w:val="nil"/>
              <w:bottom w:val="nil"/>
              <w:right w:val="nil"/>
            </w:tcBorders>
          </w:tcPr>
          <w:p>
            <w:pPr>
              <w:jc w:val="center"/>
            </w:pPr>
            <w:r/>
            <w:r>
              <w:rPr>
                <w:sz w:val="18"/>
                <w:rFonts w:eastAsia="宋体" w:ascii="Times New Roman" w:hAnsi="Times New Roman"/>
              </w:rPr>
              <w:t>4.93</w:t>
            </w:r>
          </w:p>
        </w:tc>
      </w:tr>
      <w:tr>
        <w:tc>
          <w:tcPr>
            <w:tcW w:type="dxa" w:w="3118"/>
            <w:tcBorders>
              <w:top w:val="nil"/>
              <w:left w:val="nil"/>
              <w:bottom w:val="nil"/>
              <w:right w:val="nil"/>
            </w:tcBorders>
          </w:tcPr>
          <w:p>
            <w:pPr>
              <w:jc w:val="center"/>
            </w:pPr>
            <w:r/>
            <w:r>
              <w:rPr>
                <w:sz w:val="18"/>
                <w:rFonts w:eastAsia="宋体" w:ascii="Times New Roman" w:hAnsi="Times New Roman"/>
              </w:rPr>
              <w:t>平均 token</w:t>
            </w:r>
          </w:p>
        </w:tc>
        <w:tc>
          <w:tcPr>
            <w:tcW w:type="dxa" w:w="1701"/>
            <w:tcBorders>
              <w:top w:val="nil"/>
              <w:left w:val="nil"/>
              <w:bottom w:val="nil"/>
              <w:right w:val="nil"/>
            </w:tcBorders>
          </w:tcPr>
          <w:p>
            <w:pPr>
              <w:jc w:val="center"/>
            </w:pPr>
            <w:r/>
            <w:r>
              <w:rPr>
                <w:sz w:val="18"/>
                <w:rFonts w:eastAsia="宋体" w:ascii="Times New Roman" w:hAnsi="Times New Roman"/>
              </w:rPr>
              <w:t>350</w:t>
            </w:r>
          </w:p>
        </w:tc>
        <w:tc>
          <w:tcPr>
            <w:tcW w:type="dxa" w:w="1701"/>
            <w:tcBorders>
              <w:top w:val="nil"/>
              <w:left w:val="nil"/>
              <w:bottom w:val="nil"/>
              <w:right w:val="nil"/>
            </w:tcBorders>
          </w:tcPr>
          <w:p>
            <w:pPr>
              <w:jc w:val="center"/>
            </w:pPr>
            <w:r/>
            <w:r>
              <w:rPr>
                <w:sz w:val="18"/>
                <w:rFonts w:eastAsia="宋体" w:ascii="Times New Roman" w:hAnsi="Times New Roman"/>
              </w:rPr>
              <w:t>950</w:t>
            </w:r>
          </w:p>
        </w:tc>
        <w:tc>
          <w:tcPr>
            <w:tcW w:type="dxa" w:w="1984"/>
            <w:tcBorders>
              <w:top w:val="nil"/>
              <w:left w:val="nil"/>
              <w:bottom w:val="nil"/>
              <w:right w:val="nil"/>
            </w:tcBorders>
          </w:tcPr>
          <w:p>
            <w:pPr>
              <w:jc w:val="center"/>
            </w:pPr>
            <w:r/>
            <w:r>
              <w:rPr>
                <w:sz w:val="18"/>
                <w:rFonts w:eastAsia="宋体" w:ascii="Times New Roman" w:hAnsi="Times New Roman"/>
              </w:rPr>
              <w:t>1181</w:t>
            </w:r>
          </w:p>
        </w:tc>
      </w:tr>
      <w:tr>
        <w:tc>
          <w:tcPr>
            <w:tcW w:type="dxa" w:w="3118"/>
            <w:tcBorders>
              <w:top w:val="nil"/>
              <w:left w:val="nil"/>
              <w:bottom w:val="nil"/>
              <w:right w:val="nil"/>
            </w:tcBorders>
          </w:tcPr>
          <w:p>
            <w:pPr>
              <w:jc w:val="center"/>
            </w:pPr>
            <w:r/>
            <w:r>
              <w:rPr>
                <w:sz w:val="18"/>
                <w:rFonts w:eastAsia="宋体" w:ascii="Times New Roman" w:hAnsi="Times New Roman"/>
              </w:rPr>
              <w:t>Token 效率 E（×10⁻³）</w:t>
            </w:r>
          </w:p>
        </w:tc>
        <w:tc>
          <w:tcPr>
            <w:tcW w:type="dxa" w:w="1701"/>
            <w:tcBorders>
              <w:top w:val="nil"/>
              <w:left w:val="nil"/>
              <w:bottom w:val="nil"/>
              <w:right w:val="nil"/>
            </w:tcBorders>
          </w:tcPr>
          <w:p>
            <w:pPr>
              <w:jc w:val="center"/>
            </w:pPr>
            <w:r/>
            <w:r>
              <w:rPr>
                <w:sz w:val="18"/>
                <w:rFonts w:eastAsia="宋体" w:ascii="Times New Roman" w:hAnsi="Times New Roman"/>
              </w:rPr>
              <w:t>2.86</w:t>
            </w:r>
          </w:p>
        </w:tc>
        <w:tc>
          <w:tcPr>
            <w:tcW w:type="dxa" w:w="1701"/>
            <w:tcBorders>
              <w:top w:val="nil"/>
              <w:left w:val="nil"/>
              <w:bottom w:val="nil"/>
              <w:right w:val="nil"/>
            </w:tcBorders>
          </w:tcPr>
          <w:p>
            <w:pPr>
              <w:jc w:val="center"/>
            </w:pPr>
            <w:r/>
            <w:r>
              <w:rPr>
                <w:sz w:val="18"/>
                <w:rFonts w:eastAsia="宋体" w:ascii="Times New Roman" w:hAnsi="Times New Roman"/>
              </w:rPr>
              <w:t>2.53</w:t>
            </w:r>
          </w:p>
        </w:tc>
        <w:tc>
          <w:tcPr>
            <w:tcW w:type="dxa" w:w="1984"/>
            <w:tcBorders>
              <w:top w:val="nil"/>
              <w:left w:val="nil"/>
              <w:bottom w:val="nil"/>
              <w:right w:val="nil"/>
            </w:tcBorders>
          </w:tcPr>
          <w:p>
            <w:pPr>
              <w:jc w:val="center"/>
            </w:pPr>
            <w:r/>
            <w:r>
              <w:rPr>
                <w:sz w:val="18"/>
                <w:rFonts w:eastAsia="宋体" w:ascii="Times New Roman" w:hAnsi="Times New Roman"/>
              </w:rPr>
              <w:t>4.18</w:t>
            </w:r>
          </w:p>
        </w:tc>
      </w:tr>
      <w:tr>
        <w:tc>
          <w:tcPr>
            <w:tcW w:type="dxa" w:w="3118"/>
            <w:tcBorders>
              <w:top w:val="nil"/>
              <w:left w:val="nil"/>
              <w:bottom w:val="nil"/>
              <w:right w:val="nil"/>
            </w:tcBorders>
          </w:tcPr>
          <w:p>
            <w:pPr>
              <w:jc w:val="center"/>
            </w:pPr>
            <w:r/>
            <w:r>
              <w:rPr>
                <w:sz w:val="18"/>
                <w:rFonts w:eastAsia="宋体" w:ascii="Times New Roman" w:hAnsi="Times New Roman"/>
              </w:rPr>
              <w:t>质量 ≥ 4 分的 query 比例</w:t>
            </w:r>
          </w:p>
        </w:tc>
        <w:tc>
          <w:tcPr>
            <w:tcW w:type="dxa" w:w="1701"/>
            <w:tcBorders>
              <w:top w:val="nil"/>
              <w:left w:val="nil"/>
              <w:bottom w:val="nil"/>
              <w:right w:val="nil"/>
            </w:tcBorders>
          </w:tcPr>
          <w:p>
            <w:pPr>
              <w:jc w:val="center"/>
            </w:pPr>
            <w:r/>
            <w:r>
              <w:rPr>
                <w:sz w:val="18"/>
                <w:rFonts w:eastAsia="宋体" w:ascii="Times New Roman" w:hAnsi="Times New Roman"/>
              </w:rPr>
              <w:t>0%</w:t>
            </w:r>
          </w:p>
        </w:tc>
        <w:tc>
          <w:tcPr>
            <w:tcW w:type="dxa" w:w="1701"/>
            <w:tcBorders>
              <w:top w:val="nil"/>
              <w:left w:val="nil"/>
              <w:bottom w:val="nil"/>
              <w:right w:val="nil"/>
            </w:tcBorders>
          </w:tcPr>
          <w:p>
            <w:pPr>
              <w:jc w:val="center"/>
            </w:pPr>
            <w:r/>
            <w:r>
              <w:rPr>
                <w:sz w:val="18"/>
                <w:rFonts w:eastAsia="宋体" w:ascii="Times New Roman" w:hAnsi="Times New Roman"/>
              </w:rPr>
              <w:t>0%</w:t>
            </w:r>
          </w:p>
        </w:tc>
        <w:tc>
          <w:tcPr>
            <w:tcW w:type="dxa" w:w="1984"/>
            <w:tcBorders>
              <w:top w:val="nil"/>
              <w:left w:val="nil"/>
              <w:bottom w:val="nil"/>
              <w:right w:val="nil"/>
            </w:tcBorders>
          </w:tcPr>
          <w:p>
            <w:pPr>
              <w:jc w:val="center"/>
            </w:pPr>
            <w:r/>
            <w:r>
              <w:rPr>
                <w:sz w:val="18"/>
                <w:rFonts w:eastAsia="宋体" w:ascii="Times New Roman" w:hAnsi="Times New Roman"/>
              </w:rPr>
              <w:t>93%</w:t>
            </w:r>
          </w:p>
        </w:tc>
      </w:tr>
      <w:tr>
        <w:tc>
          <w:tcPr>
            <w:tcW w:type="dxa" w:w="3118"/>
            <w:tcBorders>
              <w:top w:val="nil"/>
              <w:left w:val="nil"/>
              <w:bottom w:val="single" w:sz="12" w:color="000000"/>
              <w:right w:val="nil"/>
            </w:tcBorders>
          </w:tcPr>
          <w:p>
            <w:pPr>
              <w:jc w:val="center"/>
            </w:pPr>
            <w:r/>
            <w:r>
              <w:rPr>
                <w:sz w:val="18"/>
                <w:rFonts w:eastAsia="宋体" w:ascii="Times New Roman" w:hAnsi="Times New Roman"/>
              </w:rPr>
              <w:t>质量 ≥ 3 分的 query 比例</w:t>
            </w:r>
          </w:p>
        </w:tc>
        <w:tc>
          <w:tcPr>
            <w:tcW w:type="dxa" w:w="1701"/>
            <w:tcBorders>
              <w:top w:val="nil"/>
              <w:left w:val="nil"/>
              <w:bottom w:val="single" w:sz="12" w:color="000000"/>
              <w:right w:val="nil"/>
            </w:tcBorders>
          </w:tcPr>
          <w:p>
            <w:pPr>
              <w:jc w:val="center"/>
            </w:pPr>
            <w:r/>
            <w:r>
              <w:rPr>
                <w:sz w:val="18"/>
                <w:rFonts w:eastAsia="宋体" w:ascii="Times New Roman" w:hAnsi="Times New Roman"/>
              </w:rPr>
              <w:t>0%</w:t>
            </w:r>
          </w:p>
        </w:tc>
        <w:tc>
          <w:tcPr>
            <w:tcW w:type="dxa" w:w="1701"/>
            <w:tcBorders>
              <w:top w:val="nil"/>
              <w:left w:val="nil"/>
              <w:bottom w:val="single" w:sz="12" w:color="000000"/>
              <w:right w:val="nil"/>
            </w:tcBorders>
          </w:tcPr>
          <w:p>
            <w:pPr>
              <w:jc w:val="center"/>
            </w:pPr>
            <w:r/>
            <w:r>
              <w:rPr>
                <w:sz w:val="18"/>
                <w:rFonts w:eastAsia="宋体" w:ascii="Times New Roman" w:hAnsi="Times New Roman"/>
              </w:rPr>
              <w:t>13%</w:t>
            </w:r>
          </w:p>
        </w:tc>
        <w:tc>
          <w:tcPr>
            <w:tcW w:type="dxa" w:w="1984"/>
            <w:tcBorders>
              <w:top w:val="nil"/>
              <w:left w:val="nil"/>
              <w:bottom w:val="single" w:sz="12" w:color="000000"/>
              <w:right w:val="nil"/>
            </w:tcBorders>
          </w:tcPr>
          <w:p>
            <w:pPr>
              <w:jc w:val="center"/>
            </w:pPr>
            <w:r/>
            <w:r>
              <w:rPr>
                <w:sz w:val="18"/>
                <w:rFonts w:eastAsia="宋体" w:ascii="Times New Roman" w:hAnsi="Times New Roman"/>
              </w:rPr>
              <w:t>100%</w:t>
            </w:r>
          </w:p>
        </w:tc>
      </w:tr>
    </w:tbl>
    <w:p/>
    <w:p>
      <w:pPr>
        <w:jc w:val="both"/>
      </w:pPr>
      <w:r>
        <w:t>表 4 给出分场景质量分对比。</w:t>
      </w:r>
    </w:p>
    <w:p>
      <w:pPr>
        <w:pStyle w:val="TILE表题"/>
      </w:pPr>
      <w:r>
        <w:t>表 4  分场景质量分对比</w:t>
      </w:r>
    </w:p>
    <w:p>
      <w:pPr>
        <w:pStyle w:val="TILE表题"/>
      </w:pPr>
      <w:r>
        <w:rPr>
          <w:b w:val="0"/>
          <w:i/>
        </w:rPr>
        <w:t>Table 4  Quality score comparison by scenario</w:t>
      </w:r>
    </w:p>
    <w:tbl>
      <w:tblPr>
        <w:tblW w:type="auto" w:w="0"/>
        <w:jc w:val="center"/>
        <w:tblLook w:firstColumn="1" w:firstRow="1" w:lastColumn="0" w:lastRow="0" w:noHBand="0" w:noVBand="1" w:val="04A0"/>
      </w:tblPr>
      <w:tblGrid>
        <w:gridCol w:w="1928"/>
        <w:gridCol w:w="1928"/>
        <w:gridCol w:w="1928"/>
        <w:gridCol w:w="1928"/>
        <w:gridCol w:w="1928"/>
      </w:tblGrid>
      <w:tr>
        <w:tc>
          <w:tcPr>
            <w:tcW w:type="dxa" w:w="2268"/>
            <w:tcBorders>
              <w:top w:val="single" w:sz="12" w:color="000000"/>
              <w:left w:val="nil"/>
              <w:bottom w:val="single" w:sz="6" w:color="000000"/>
              <w:right w:val="nil"/>
            </w:tcBorders>
          </w:tcPr>
          <w:p>
            <w:pPr>
              <w:jc w:val="center"/>
            </w:pPr>
            <w:r/>
            <w:r>
              <w:rPr>
                <w:b/>
                <w:sz w:val="18"/>
                <w:rFonts w:eastAsia="黑体" w:ascii="Times New Roman" w:hAnsi="Times New Roman"/>
              </w:rPr>
              <w:t>场景</w:t>
            </w:r>
          </w:p>
        </w:tc>
        <w:tc>
          <w:tcPr>
            <w:tcW w:type="dxa" w:w="1134"/>
            <w:tcBorders>
              <w:top w:val="single" w:sz="12" w:color="000000"/>
              <w:left w:val="nil"/>
              <w:bottom w:val="single" w:sz="6" w:color="000000"/>
              <w:right w:val="nil"/>
            </w:tcBorders>
          </w:tcPr>
          <w:p>
            <w:pPr>
              <w:jc w:val="center"/>
            </w:pPr>
            <w:r/>
            <w:r>
              <w:rPr>
                <w:b/>
                <w:sz w:val="18"/>
                <w:rFonts w:eastAsia="黑体" w:ascii="Times New Roman" w:hAnsi="Times New Roman"/>
              </w:rPr>
              <w:t>V0</w:t>
            </w:r>
          </w:p>
        </w:tc>
        <w:tc>
          <w:tcPr>
            <w:tcW w:type="dxa" w:w="1134"/>
            <w:tcBorders>
              <w:top w:val="single" w:sz="12" w:color="000000"/>
              <w:left w:val="nil"/>
              <w:bottom w:val="single" w:sz="6" w:color="000000"/>
              <w:right w:val="nil"/>
            </w:tcBorders>
          </w:tcPr>
          <w:p>
            <w:pPr>
              <w:jc w:val="center"/>
            </w:pPr>
            <w:r/>
            <w:r>
              <w:rPr>
                <w:b/>
                <w:sz w:val="18"/>
                <w:rFonts w:eastAsia="黑体" w:ascii="Times New Roman" w:hAnsi="Times New Roman"/>
              </w:rPr>
              <w:t>V0'</w:t>
            </w:r>
          </w:p>
        </w:tc>
        <w:tc>
          <w:tcPr>
            <w:tcW w:type="dxa" w:w="1134"/>
            <w:tcBorders>
              <w:top w:val="single" w:sz="12" w:color="000000"/>
              <w:left w:val="nil"/>
              <w:bottom w:val="single" w:sz="6" w:color="000000"/>
              <w:right w:val="nil"/>
            </w:tcBorders>
          </w:tcPr>
          <w:p>
            <w:pPr>
              <w:jc w:val="center"/>
            </w:pPr>
            <w:r/>
            <w:r>
              <w:rPr>
                <w:b/>
                <w:sz w:val="18"/>
                <w:rFonts w:eastAsia="黑体" w:ascii="Times New Roman" w:hAnsi="Times New Roman"/>
              </w:rPr>
              <w:t>V3</w:t>
            </w:r>
          </w:p>
        </w:tc>
        <w:tc>
          <w:tcPr>
            <w:tcW w:type="dxa" w:w="1701"/>
            <w:tcBorders>
              <w:top w:val="single" w:sz="12" w:color="000000"/>
              <w:left w:val="nil"/>
              <w:bottom w:val="single" w:sz="6" w:color="000000"/>
              <w:right w:val="nil"/>
            </w:tcBorders>
          </w:tcPr>
          <w:p>
            <w:pPr>
              <w:jc w:val="center"/>
            </w:pPr>
            <w:r/>
            <w:r>
              <w:rPr>
                <w:b/>
                <w:sz w:val="18"/>
                <w:rFonts w:eastAsia="黑体" w:ascii="Times New Roman" w:hAnsi="Times New Roman"/>
              </w:rPr>
              <w:t>V0'→V3 提升</w:t>
            </w:r>
          </w:p>
        </w:tc>
      </w:tr>
      <w:tr>
        <w:tc>
          <w:tcPr>
            <w:tcW w:type="dxa" w:w="2268"/>
            <w:tcBorders>
              <w:top w:val="nil"/>
              <w:left w:val="nil"/>
              <w:bottom w:val="nil"/>
              <w:right w:val="nil"/>
            </w:tcBorders>
          </w:tcPr>
          <w:p>
            <w:pPr>
              <w:jc w:val="center"/>
            </w:pPr>
            <w:r/>
            <w:r>
              <w:rPr>
                <w:sz w:val="18"/>
                <w:rFonts w:eastAsia="宋体" w:ascii="Times New Roman" w:hAnsi="Times New Roman"/>
              </w:rPr>
              <w:t>单域精确（Q1/Q2/Q6/Q11）</w:t>
            </w:r>
          </w:p>
        </w:tc>
        <w:tc>
          <w:tcPr>
            <w:tcW w:type="dxa" w:w="1134"/>
            <w:tcBorders>
              <w:top w:val="nil"/>
              <w:left w:val="nil"/>
              <w:bottom w:val="nil"/>
              <w:right w:val="nil"/>
            </w:tcBorders>
          </w:tcPr>
          <w:p>
            <w:pPr>
              <w:jc w:val="center"/>
            </w:pPr>
            <w:r/>
            <w:r>
              <w:rPr>
                <w:sz w:val="18"/>
                <w:rFonts w:eastAsia="宋体" w:ascii="Times New Roman" w:hAnsi="Times New Roman"/>
              </w:rPr>
              <w:t>1.00</w:t>
            </w:r>
          </w:p>
        </w:tc>
        <w:tc>
          <w:tcPr>
            <w:tcW w:type="dxa" w:w="1134"/>
            <w:tcBorders>
              <w:top w:val="nil"/>
              <w:left w:val="nil"/>
              <w:bottom w:val="nil"/>
              <w:right w:val="nil"/>
            </w:tcBorders>
          </w:tcPr>
          <w:p>
            <w:pPr>
              <w:jc w:val="center"/>
            </w:pPr>
            <w:r/>
            <w:r>
              <w:rPr>
                <w:sz w:val="18"/>
                <w:rFonts w:eastAsia="宋体" w:ascii="Times New Roman" w:hAnsi="Times New Roman"/>
              </w:rPr>
              <w:t>2.00</w:t>
            </w:r>
          </w:p>
        </w:tc>
        <w:tc>
          <w:tcPr>
            <w:tcW w:type="dxa" w:w="1134"/>
            <w:tcBorders>
              <w:top w:val="nil"/>
              <w:left w:val="nil"/>
              <w:bottom w:val="nil"/>
              <w:right w:val="nil"/>
            </w:tcBorders>
          </w:tcPr>
          <w:p>
            <w:pPr>
              <w:jc w:val="center"/>
            </w:pPr>
            <w:r/>
            <w:r>
              <w:rPr>
                <w:sz w:val="18"/>
                <w:rFonts w:eastAsia="宋体" w:ascii="Times New Roman" w:hAnsi="Times New Roman"/>
              </w:rPr>
              <w:t>5.00</w:t>
            </w:r>
          </w:p>
        </w:tc>
        <w:tc>
          <w:tcPr>
            <w:tcW w:type="dxa" w:w="1701"/>
            <w:tcBorders>
              <w:top w:val="nil"/>
              <w:left w:val="nil"/>
              <w:bottom w:val="nil"/>
              <w:right w:val="nil"/>
            </w:tcBorders>
          </w:tcPr>
          <w:p>
            <w:pPr>
              <w:jc w:val="center"/>
            </w:pPr>
            <w:r/>
            <w:r>
              <w:rPr>
                <w:sz w:val="18"/>
                <w:rFonts w:eastAsia="宋体" w:ascii="Times New Roman" w:hAnsi="Times New Roman"/>
              </w:rPr>
              <w:t>+3.00</w:t>
            </w:r>
          </w:p>
        </w:tc>
      </w:tr>
      <w:tr>
        <w:tc>
          <w:tcPr>
            <w:tcW w:type="dxa" w:w="2268"/>
            <w:tcBorders>
              <w:top w:val="nil"/>
              <w:left w:val="nil"/>
              <w:bottom w:val="nil"/>
              <w:right w:val="nil"/>
            </w:tcBorders>
          </w:tcPr>
          <w:p>
            <w:pPr>
              <w:jc w:val="center"/>
            </w:pPr>
            <w:r/>
            <w:r>
              <w:rPr>
                <w:sz w:val="18"/>
                <w:rFonts w:eastAsia="宋体" w:ascii="Times New Roman" w:hAnsi="Times New Roman"/>
              </w:rPr>
              <w:t>跨域整合（Q3/Q4/Q8/Q12）</w:t>
            </w:r>
          </w:p>
        </w:tc>
        <w:tc>
          <w:tcPr>
            <w:tcW w:type="dxa" w:w="1134"/>
            <w:tcBorders>
              <w:top w:val="nil"/>
              <w:left w:val="nil"/>
              <w:bottom w:val="nil"/>
              <w:right w:val="nil"/>
            </w:tcBorders>
          </w:tcPr>
          <w:p>
            <w:pPr>
              <w:jc w:val="center"/>
            </w:pPr>
            <w:r/>
            <w:r>
              <w:rPr>
                <w:sz w:val="18"/>
                <w:rFonts w:eastAsia="宋体" w:ascii="Times New Roman" w:hAnsi="Times New Roman"/>
              </w:rPr>
              <w:t>1.00</w:t>
            </w:r>
          </w:p>
        </w:tc>
        <w:tc>
          <w:tcPr>
            <w:tcW w:type="dxa" w:w="1134"/>
            <w:tcBorders>
              <w:top w:val="nil"/>
              <w:left w:val="nil"/>
              <w:bottom w:val="nil"/>
              <w:right w:val="nil"/>
            </w:tcBorders>
          </w:tcPr>
          <w:p>
            <w:pPr>
              <w:jc w:val="center"/>
            </w:pPr>
            <w:r/>
            <w:r>
              <w:rPr>
                <w:sz w:val="18"/>
                <w:rFonts w:eastAsia="宋体" w:ascii="Times New Roman" w:hAnsi="Times New Roman"/>
              </w:rPr>
              <w:t>2.25</w:t>
            </w:r>
          </w:p>
        </w:tc>
        <w:tc>
          <w:tcPr>
            <w:tcW w:type="dxa" w:w="1134"/>
            <w:tcBorders>
              <w:top w:val="nil"/>
              <w:left w:val="nil"/>
              <w:bottom w:val="nil"/>
              <w:right w:val="nil"/>
            </w:tcBorders>
          </w:tcPr>
          <w:p>
            <w:pPr>
              <w:jc w:val="center"/>
            </w:pPr>
            <w:r/>
            <w:r>
              <w:rPr>
                <w:sz w:val="18"/>
                <w:rFonts w:eastAsia="宋体" w:ascii="Times New Roman" w:hAnsi="Times New Roman"/>
              </w:rPr>
              <w:t>4.75</w:t>
            </w:r>
          </w:p>
        </w:tc>
        <w:tc>
          <w:tcPr>
            <w:tcW w:type="dxa" w:w="1701"/>
            <w:tcBorders>
              <w:top w:val="nil"/>
              <w:left w:val="nil"/>
              <w:bottom w:val="nil"/>
              <w:right w:val="nil"/>
            </w:tcBorders>
          </w:tcPr>
          <w:p>
            <w:pPr>
              <w:jc w:val="center"/>
            </w:pPr>
            <w:r/>
            <w:r>
              <w:rPr>
                <w:sz w:val="18"/>
                <w:rFonts w:eastAsia="宋体" w:ascii="Times New Roman" w:hAnsi="Times New Roman"/>
              </w:rPr>
              <w:t>+2.50</w:t>
            </w:r>
          </w:p>
        </w:tc>
      </w:tr>
      <w:tr>
        <w:tc>
          <w:tcPr>
            <w:tcW w:type="dxa" w:w="2268"/>
            <w:tcBorders>
              <w:top w:val="nil"/>
              <w:left w:val="nil"/>
              <w:bottom w:val="nil"/>
              <w:right w:val="nil"/>
            </w:tcBorders>
          </w:tcPr>
          <w:p>
            <w:pPr>
              <w:jc w:val="center"/>
            </w:pPr>
            <w:r/>
            <w:r>
              <w:rPr>
                <w:sz w:val="18"/>
                <w:rFonts w:eastAsia="宋体" w:ascii="Times New Roman" w:hAnsi="Times New Roman"/>
              </w:rPr>
              <w:t>流程描述（Q7/Q10/Q15）</w:t>
            </w:r>
          </w:p>
        </w:tc>
        <w:tc>
          <w:tcPr>
            <w:tcW w:type="dxa" w:w="1134"/>
            <w:tcBorders>
              <w:top w:val="nil"/>
              <w:left w:val="nil"/>
              <w:bottom w:val="nil"/>
              <w:right w:val="nil"/>
            </w:tcBorders>
          </w:tcPr>
          <w:p>
            <w:pPr>
              <w:jc w:val="center"/>
            </w:pPr>
            <w:r/>
            <w:r>
              <w:rPr>
                <w:sz w:val="18"/>
                <w:rFonts w:eastAsia="宋体" w:ascii="Times New Roman" w:hAnsi="Times New Roman"/>
              </w:rPr>
              <w:t>1.00</w:t>
            </w:r>
          </w:p>
        </w:tc>
        <w:tc>
          <w:tcPr>
            <w:tcW w:type="dxa" w:w="1134"/>
            <w:tcBorders>
              <w:top w:val="nil"/>
              <w:left w:val="nil"/>
              <w:bottom w:val="nil"/>
              <w:right w:val="nil"/>
            </w:tcBorders>
          </w:tcPr>
          <w:p>
            <w:pPr>
              <w:jc w:val="center"/>
            </w:pPr>
            <w:r/>
            <w:r>
              <w:rPr>
                <w:sz w:val="18"/>
                <w:rFonts w:eastAsia="宋体" w:ascii="Times New Roman" w:hAnsi="Times New Roman"/>
              </w:rPr>
              <w:t>3.00</w:t>
            </w:r>
          </w:p>
        </w:tc>
        <w:tc>
          <w:tcPr>
            <w:tcW w:type="dxa" w:w="1134"/>
            <w:tcBorders>
              <w:top w:val="nil"/>
              <w:left w:val="nil"/>
              <w:bottom w:val="nil"/>
              <w:right w:val="nil"/>
            </w:tcBorders>
          </w:tcPr>
          <w:p>
            <w:pPr>
              <w:jc w:val="center"/>
            </w:pPr>
            <w:r/>
            <w:r>
              <w:rPr>
                <w:sz w:val="18"/>
                <w:rFonts w:eastAsia="宋体" w:ascii="Times New Roman" w:hAnsi="Times New Roman"/>
              </w:rPr>
              <w:t>5.00</w:t>
            </w:r>
          </w:p>
        </w:tc>
        <w:tc>
          <w:tcPr>
            <w:tcW w:type="dxa" w:w="1701"/>
            <w:tcBorders>
              <w:top w:val="nil"/>
              <w:left w:val="nil"/>
              <w:bottom w:val="nil"/>
              <w:right w:val="nil"/>
            </w:tcBorders>
          </w:tcPr>
          <w:p>
            <w:pPr>
              <w:jc w:val="center"/>
            </w:pPr>
            <w:r/>
            <w:r>
              <w:rPr>
                <w:sz w:val="18"/>
                <w:rFonts w:eastAsia="宋体" w:ascii="Times New Roman" w:hAnsi="Times New Roman"/>
              </w:rPr>
              <w:t>+2.00</w:t>
            </w:r>
          </w:p>
        </w:tc>
      </w:tr>
      <w:tr>
        <w:tc>
          <w:tcPr>
            <w:tcW w:type="dxa" w:w="2268"/>
            <w:tcBorders>
              <w:top w:val="nil"/>
              <w:left w:val="nil"/>
              <w:bottom w:val="single" w:sz="12" w:color="000000"/>
              <w:right w:val="nil"/>
            </w:tcBorders>
          </w:tcPr>
          <w:p>
            <w:pPr>
              <w:jc w:val="center"/>
            </w:pPr>
            <w:r/>
            <w:r>
              <w:rPr>
                <w:sz w:val="18"/>
                <w:rFonts w:eastAsia="宋体" w:ascii="Times New Roman" w:hAnsi="Times New Roman"/>
              </w:rPr>
              <w:t>代码生成（Q9/Q14）</w:t>
            </w:r>
          </w:p>
        </w:tc>
        <w:tc>
          <w:tcPr>
            <w:tcW w:type="dxa" w:w="1134"/>
            <w:tcBorders>
              <w:top w:val="nil"/>
              <w:left w:val="nil"/>
              <w:bottom w:val="single" w:sz="12" w:color="000000"/>
              <w:right w:val="nil"/>
            </w:tcBorders>
          </w:tcPr>
          <w:p>
            <w:pPr>
              <w:jc w:val="center"/>
            </w:pPr>
            <w:r/>
            <w:r>
              <w:rPr>
                <w:sz w:val="18"/>
                <w:rFonts w:eastAsia="宋体" w:ascii="Times New Roman" w:hAnsi="Times New Roman"/>
              </w:rPr>
              <w:t>1.00</w:t>
            </w:r>
          </w:p>
        </w:tc>
        <w:tc>
          <w:tcPr>
            <w:tcW w:type="dxa" w:w="1134"/>
            <w:tcBorders>
              <w:top w:val="nil"/>
              <w:left w:val="nil"/>
              <w:bottom w:val="single" w:sz="12" w:color="000000"/>
              <w:right w:val="nil"/>
            </w:tcBorders>
          </w:tcPr>
          <w:p>
            <w:pPr>
              <w:jc w:val="center"/>
            </w:pPr>
            <w:r/>
            <w:r>
              <w:rPr>
                <w:sz w:val="18"/>
                <w:rFonts w:eastAsia="宋体" w:ascii="Times New Roman" w:hAnsi="Times New Roman"/>
              </w:rPr>
              <w:t>3.00</w:t>
            </w:r>
          </w:p>
        </w:tc>
        <w:tc>
          <w:tcPr>
            <w:tcW w:type="dxa" w:w="1134"/>
            <w:tcBorders>
              <w:top w:val="nil"/>
              <w:left w:val="nil"/>
              <w:bottom w:val="single" w:sz="12" w:color="000000"/>
              <w:right w:val="nil"/>
            </w:tcBorders>
          </w:tcPr>
          <w:p>
            <w:pPr>
              <w:jc w:val="center"/>
            </w:pPr>
            <w:r/>
            <w:r>
              <w:rPr>
                <w:sz w:val="18"/>
                <w:rFonts w:eastAsia="宋体" w:ascii="Times New Roman" w:hAnsi="Times New Roman"/>
              </w:rPr>
              <w:t>5.00</w:t>
            </w:r>
          </w:p>
        </w:tc>
        <w:tc>
          <w:tcPr>
            <w:tcW w:type="dxa" w:w="1701"/>
            <w:tcBorders>
              <w:top w:val="nil"/>
              <w:left w:val="nil"/>
              <w:bottom w:val="single" w:sz="12" w:color="000000"/>
              <w:right w:val="nil"/>
            </w:tcBorders>
          </w:tcPr>
          <w:p>
            <w:pPr>
              <w:jc w:val="center"/>
            </w:pPr>
            <w:r/>
            <w:r>
              <w:rPr>
                <w:sz w:val="18"/>
                <w:rFonts w:eastAsia="宋体" w:ascii="Times New Roman" w:hAnsi="Times New Roman"/>
              </w:rPr>
              <w:t>+2.00</w:t>
            </w:r>
          </w:p>
        </w:tc>
      </w:tr>
    </w:tbl>
    <w:p/>
    <w:p>
      <w:pPr>
        <w:jc w:val="both"/>
      </w:pPr>
      <w:r>
        <w:t>各 query 的详细分项数据见附录 C。表 5 给出边际收益分析。</w:t>
      </w:r>
    </w:p>
    <w:p>
      <w:pPr>
        <w:pStyle w:val="TILE表题"/>
      </w:pPr>
      <w:r>
        <w:t>表 5  边际收益分析</w:t>
      </w:r>
    </w:p>
    <w:p>
      <w:pPr>
        <w:pStyle w:val="TILE表题"/>
      </w:pPr>
      <w:r>
        <w:rPr>
          <w:b w:val="0"/>
          <w:i/>
        </w:rPr>
        <w:t>Table 5  Marginal benefit analysis</w:t>
      </w:r>
    </w:p>
    <w:tbl>
      <w:tblPr>
        <w:tblW w:type="auto" w:w="0"/>
        <w:jc w:val="center"/>
        <w:tblLook w:firstColumn="1" w:firstRow="1" w:lastColumn="0" w:lastRow="0" w:noHBand="0" w:noVBand="1" w:val="04A0"/>
      </w:tblPr>
      <w:tblGrid>
        <w:gridCol w:w="2409"/>
        <w:gridCol w:w="2409"/>
        <w:gridCol w:w="2409"/>
        <w:gridCol w:w="2409"/>
      </w:tblGrid>
      <w:tr>
        <w:tc>
          <w:tcPr>
            <w:tcW w:type="dxa" w:w="1984"/>
            <w:tcBorders>
              <w:top w:val="single" w:sz="12" w:color="000000"/>
              <w:left w:val="nil"/>
              <w:bottom w:val="single" w:sz="6" w:color="000000"/>
              <w:right w:val="nil"/>
            </w:tcBorders>
          </w:tcPr>
          <w:p>
            <w:pPr>
              <w:jc w:val="center"/>
            </w:pPr>
            <w:r/>
            <w:r>
              <w:rPr>
                <w:b/>
                <w:sz w:val="18"/>
                <w:rFonts w:eastAsia="黑体" w:ascii="Times New Roman" w:hAnsi="Times New Roman"/>
              </w:rPr>
              <w:t>升级路径</w:t>
            </w:r>
          </w:p>
        </w:tc>
        <w:tc>
          <w:tcPr>
            <w:tcW w:type="dxa" w:w="1701"/>
            <w:tcBorders>
              <w:top w:val="single" w:sz="12" w:color="000000"/>
              <w:left w:val="nil"/>
              <w:bottom w:val="single" w:sz="6" w:color="000000"/>
              <w:right w:val="nil"/>
            </w:tcBorders>
          </w:tcPr>
          <w:p>
            <w:pPr>
              <w:jc w:val="center"/>
            </w:pPr>
            <w:r/>
            <w:r>
              <w:rPr>
                <w:b/>
                <w:sz w:val="18"/>
                <w:rFonts w:eastAsia="黑体" w:ascii="Times New Roman" w:hAnsi="Times New Roman"/>
              </w:rPr>
              <w:t>增量 token</w:t>
            </w:r>
          </w:p>
        </w:tc>
        <w:tc>
          <w:tcPr>
            <w:tcW w:type="dxa" w:w="1701"/>
            <w:tcBorders>
              <w:top w:val="single" w:sz="12" w:color="000000"/>
              <w:left w:val="nil"/>
              <w:bottom w:val="single" w:sz="6" w:color="000000"/>
              <w:right w:val="nil"/>
            </w:tcBorders>
          </w:tcPr>
          <w:p>
            <w:pPr>
              <w:jc w:val="center"/>
            </w:pPr>
            <w:r/>
            <w:r>
              <w:rPr>
                <w:b/>
                <w:sz w:val="18"/>
                <w:rFonts w:eastAsia="黑体" w:ascii="Times New Roman" w:hAnsi="Times New Roman"/>
              </w:rPr>
              <w:t>增量质量</w:t>
            </w:r>
          </w:p>
        </w:tc>
        <w:tc>
          <w:tcPr>
            <w:tcW w:type="dxa" w:w="2268"/>
            <w:tcBorders>
              <w:top w:val="single" w:sz="12" w:color="000000"/>
              <w:left w:val="nil"/>
              <w:bottom w:val="single" w:sz="6" w:color="000000"/>
              <w:right w:val="nil"/>
            </w:tcBorders>
          </w:tcPr>
          <w:p>
            <w:pPr>
              <w:jc w:val="center"/>
            </w:pPr>
            <w:r/>
            <w:r>
              <w:rPr>
                <w:b/>
                <w:sz w:val="18"/>
                <w:rFonts w:eastAsia="黑体" w:ascii="Times New Roman" w:hAnsi="Times New Roman"/>
              </w:rPr>
              <w:t>边际效率（tok/分）</w:t>
            </w:r>
          </w:p>
        </w:tc>
      </w:tr>
      <w:tr>
        <w:tc>
          <w:tcPr>
            <w:tcW w:type="dxa" w:w="1984"/>
            <w:tcBorders>
              <w:top w:val="nil"/>
              <w:left w:val="nil"/>
              <w:bottom w:val="nil"/>
              <w:right w:val="nil"/>
            </w:tcBorders>
          </w:tcPr>
          <w:p>
            <w:pPr>
              <w:jc w:val="center"/>
            </w:pPr>
            <w:r/>
            <w:r>
              <w:rPr>
                <w:sz w:val="18"/>
                <w:rFonts w:eastAsia="宋体" w:ascii="Times New Roman" w:hAnsi="Times New Roman"/>
              </w:rPr>
              <w:t>V0 → V0'</w:t>
            </w:r>
          </w:p>
        </w:tc>
        <w:tc>
          <w:tcPr>
            <w:tcW w:type="dxa" w:w="1701"/>
            <w:tcBorders>
              <w:top w:val="nil"/>
              <w:left w:val="nil"/>
              <w:bottom w:val="nil"/>
              <w:right w:val="nil"/>
            </w:tcBorders>
          </w:tcPr>
          <w:p>
            <w:pPr>
              <w:jc w:val="center"/>
            </w:pPr>
            <w:r/>
            <w:r>
              <w:rPr>
                <w:sz w:val="18"/>
                <w:rFonts w:eastAsia="宋体" w:ascii="Times New Roman" w:hAnsi="Times New Roman"/>
              </w:rPr>
              <w:t>+600</w:t>
            </w:r>
          </w:p>
        </w:tc>
        <w:tc>
          <w:tcPr>
            <w:tcW w:type="dxa" w:w="1701"/>
            <w:tcBorders>
              <w:top w:val="nil"/>
              <w:left w:val="nil"/>
              <w:bottom w:val="nil"/>
              <w:right w:val="nil"/>
            </w:tcBorders>
          </w:tcPr>
          <w:p>
            <w:pPr>
              <w:jc w:val="center"/>
            </w:pPr>
            <w:r/>
            <w:r>
              <w:rPr>
                <w:sz w:val="18"/>
                <w:rFonts w:eastAsia="宋体" w:ascii="Times New Roman" w:hAnsi="Times New Roman"/>
              </w:rPr>
              <w:t>+1.40</w:t>
            </w:r>
          </w:p>
        </w:tc>
        <w:tc>
          <w:tcPr>
            <w:tcW w:type="dxa" w:w="2268"/>
            <w:tcBorders>
              <w:top w:val="nil"/>
              <w:left w:val="nil"/>
              <w:bottom w:val="nil"/>
              <w:right w:val="nil"/>
            </w:tcBorders>
          </w:tcPr>
          <w:p>
            <w:pPr>
              <w:jc w:val="center"/>
            </w:pPr>
            <w:r/>
            <w:r>
              <w:rPr>
                <w:sz w:val="18"/>
                <w:rFonts w:eastAsia="宋体" w:ascii="Times New Roman" w:hAnsi="Times New Roman"/>
              </w:rPr>
              <w:t>428</w:t>
            </w:r>
          </w:p>
        </w:tc>
      </w:tr>
      <w:tr>
        <w:tc>
          <w:tcPr>
            <w:tcW w:type="dxa" w:w="1984"/>
            <w:tcBorders>
              <w:top w:val="nil"/>
              <w:left w:val="nil"/>
              <w:bottom w:val="single" w:sz="12" w:color="000000"/>
              <w:right w:val="nil"/>
            </w:tcBorders>
          </w:tcPr>
          <w:p>
            <w:pPr>
              <w:jc w:val="center"/>
            </w:pPr>
            <w:r/>
            <w:r>
              <w:rPr>
                <w:sz w:val="18"/>
                <w:rFonts w:eastAsia="宋体" w:ascii="Times New Roman" w:hAnsi="Times New Roman"/>
              </w:rPr>
              <w:t>V0' → V3</w:t>
            </w:r>
          </w:p>
        </w:tc>
        <w:tc>
          <w:tcPr>
            <w:tcW w:type="dxa" w:w="1701"/>
            <w:tcBorders>
              <w:top w:val="nil"/>
              <w:left w:val="nil"/>
              <w:bottom w:val="single" w:sz="12" w:color="000000"/>
              <w:right w:val="nil"/>
            </w:tcBorders>
          </w:tcPr>
          <w:p>
            <w:pPr>
              <w:jc w:val="center"/>
            </w:pPr>
            <w:r/>
            <w:r>
              <w:rPr>
                <w:sz w:val="18"/>
                <w:rFonts w:eastAsia="宋体" w:ascii="Times New Roman" w:hAnsi="Times New Roman"/>
              </w:rPr>
              <w:t>+231</w:t>
            </w:r>
          </w:p>
        </w:tc>
        <w:tc>
          <w:tcPr>
            <w:tcW w:type="dxa" w:w="1701"/>
            <w:tcBorders>
              <w:top w:val="nil"/>
              <w:left w:val="nil"/>
              <w:bottom w:val="single" w:sz="12" w:color="000000"/>
              <w:right w:val="nil"/>
            </w:tcBorders>
          </w:tcPr>
          <w:p>
            <w:pPr>
              <w:jc w:val="center"/>
            </w:pPr>
            <w:r/>
            <w:r>
              <w:rPr>
                <w:sz w:val="18"/>
                <w:rFonts w:eastAsia="宋体" w:ascii="Times New Roman" w:hAnsi="Times New Roman"/>
              </w:rPr>
              <w:t>+2.53</w:t>
            </w:r>
          </w:p>
        </w:tc>
        <w:tc>
          <w:tcPr>
            <w:tcW w:type="dxa" w:w="2268"/>
            <w:tcBorders>
              <w:top w:val="nil"/>
              <w:left w:val="nil"/>
              <w:bottom w:val="single" w:sz="12" w:color="000000"/>
              <w:right w:val="nil"/>
            </w:tcBorders>
          </w:tcPr>
          <w:p>
            <w:pPr>
              <w:jc w:val="center"/>
            </w:pPr>
            <w:r/>
            <w:r>
              <w:rPr>
                <w:sz w:val="18"/>
                <w:rFonts w:eastAsia="宋体" w:ascii="Times New Roman" w:hAnsi="Times New Roman"/>
              </w:rPr>
              <w:t>91</w:t>
            </w:r>
          </w:p>
        </w:tc>
      </w:tr>
    </w:tbl>
    <w:p/>
    <w:p>
      <w:pPr>
        <w:ind w:firstLine="420"/>
      </w:pPr>
      <w:r>
        <w:t>V0' → V3 的边际效率是 V0 → V0' 的 4.7 倍——即在已有文件摘要的工程基线上，TILE 只需边际 91 token 投入就能换取 1 分质量提升。</w:t>
      </w:r>
    </w:p>
    <w:p>
      <w:pPr>
        <w:jc w:val="both"/>
      </w:pPr>
      <w:r>
        <w:t>上述边际效率由如下公式定义与计算：</w:t>
      </w:r>
    </w:p>
    <w:p>
      <w:pPr>
        <w:spacing w:line="360" w:lineRule="auto" w:before="60" w:after="60"/>
        <w:ind w:firstLine="0"/>
        <w:jc w:val="center"/>
      </w:pPr>
      <m:oMath>
        <m:r>
          <m:rPr>
            <m:rFonts m:ascii="Cambria Math" m:hAnsi="Cambria Math" m:eastAsia="Cambria Math"/>
          </m:rPr>
          <m:t xml:space="preserve">\Delta Q_{V_{i+1} \to V_i} = (Q_{V_{i+1}} - Q_{V_i}) / (T_{V_{i+1}} - T_{V_i})</m:t>
        </m:r>
      </m:oMath>
      <w:r>
        <w:t xml:space="preserve">  </w:t>
        <w:rPr/>
      </w:r>
      <w:r>
        <w:rPr>
          <w:rFonts w:ascii="Times New Roman" w:hAnsi="Times New Roman" w:eastAsia="宋体"/>
          <w:b w:val="0"/>
          <w:sz w:val="21"/>
        </w:rPr>
        <w:t>(6)</w:t>
      </w:r>
    </w:p>
    <w:p>
      <w:pPr>
        <w:jc w:val="both"/>
      </w:pPr>
      <w:r>
        <w:t>该公式用于评估从 V_i 升级到 V_{i+1} 时，每多投入 1 token 换取的质量分增量。4.7 倍的边际效率比即由该公式在 V0→V0' 与 V0'→V3 两条路径上的计算结果反推得出。</w:t>
      </w:r>
    </w:p>
    <w:p>
      <w:pPr>
        <w:pStyle w:val="TILE二级标题"/>
      </w:pPr>
      <w:r>
        <w:t>4.3.4 统计检验</w:t>
      </w:r>
    </w:p>
    <w:p>
      <w:pPr>
        <w:jc w:val="both"/>
      </w:pPr>
      <w:r>
        <w:t>采用 Wilcoxon 符号秩检验对配对质量分进行比较。</w:t>
      </w:r>
    </w:p>
    <w:p>
      <w:pPr>
        <w:ind w:firstLine="420"/>
      </w:pPr>
      <w:r>
        <w:rPr>
          <w:b/>
        </w:rPr>
        <w:t>V3 vs V0：</w:t>
      </w:r>
      <w:r>
        <w:t>15 条 query 全部显示 V3 &gt; V0，W⁺ = 120，W⁻ = 0。查 Wilcoxon 临界值表（α = 0.05，N = 15），临界 W = 25。W⁺ &gt; 25，p &lt; 0.001。</w:t>
      </w:r>
    </w:p>
    <w:p>
      <w:pPr>
        <w:ind w:firstLine="420"/>
      </w:pPr>
      <w:r>
        <w:rPr>
          <w:b/>
        </w:rPr>
        <w:t>V3 vs V0'：</w:t>
      </w:r>
      <w:r>
        <w:t>15 条 query 全部显示 V3 &gt; V0'，W⁺ = 120，W⁻ = 0，p &lt; 0.001。</w:t>
      </w:r>
    </w:p>
    <w:p>
      <w:pPr>
        <w:jc w:val="both"/>
      </w:pPr>
      <w:r>
        <w:t>V3 在质量分上显著优于 V0 与 V0'，置信水平超过 99.9%。</w:t>
      </w:r>
    </w:p>
    <w:p>
      <w:pPr>
        <w:pStyle w:val="TILE二级标题"/>
      </w:pPr>
      <w:r>
        <w:t>4.3.5 可视化</w:t>
      </w:r>
    </w:p>
    <w:p>
      <w:pPr>
        <w:jc w:val="both"/>
      </w:pPr>
      <w:r>
        <w:t>图 3 给出 15 条 query 在三种加载模式下的质量分对比。</w:t>
      </w:r>
    </w:p>
    <w:p>
      <w:pPr>
        <w:spacing w:before="120" w:after="60"/>
        <w:ind w:firstLine="0"/>
        <w:jc w:val="center"/>
      </w:pPr>
      <w:r>
        <w:drawing>
          <wp:inline xmlns:a="http://schemas.openxmlformats.org/drawingml/2006/main" xmlns:pic="http://schemas.openxmlformats.org/drawingml/2006/picture">
            <wp:extent cx="5400000" cy="2795745"/>
            <wp:docPr id="3" name="Picture 3"/>
            <wp:cNvGraphicFramePr>
              <a:graphicFrameLocks noChangeAspect="1"/>
            </wp:cNvGraphicFramePr>
            <a:graphic>
              <a:graphicData uri="http://schemas.openxmlformats.org/drawingml/2006/picture">
                <pic:pic>
                  <pic:nvPicPr>
                    <pic:cNvPr id="0" name="fig4_quality_bars.png"/>
                    <pic:cNvPicPr/>
                  </pic:nvPicPr>
                  <pic:blipFill>
                    <a:blip r:embed="rId11"/>
                    <a:stretch>
                      <a:fillRect/>
                    </a:stretch>
                  </pic:blipFill>
                  <pic:spPr>
                    <a:xfrm>
                      <a:off x="0" y="0"/>
                      <a:ext cx="5400000" cy="2795745"/>
                    </a:xfrm>
                    <a:prstGeom prst="rect"/>
                  </pic:spPr>
                </pic:pic>
              </a:graphicData>
            </a:graphic>
          </wp:inline>
        </w:drawing>
      </w:r>
    </w:p>
    <w:p>
      <w:pPr>
        <w:pStyle w:val="TILE图题"/>
      </w:pPr>
      <w:r>
        <w:t>图 3  15 条 query 质量分对比</w:t>
      </w:r>
    </w:p>
    <w:p>
      <w:pPr>
        <w:pStyle w:val="TILE图题"/>
      </w:pPr>
      <w:r>
        <w:rPr>
          <w:b w:val="0"/>
          <w:i/>
        </w:rPr>
        <w:t>Fig. 3  Quality score comparison across 15 queries</w:t>
      </w:r>
    </w:p>
    <w:p>
      <w:pPr>
        <w:ind w:firstLine="420"/>
      </w:pPr>
      <w:r>
        <w:t>由图 3 可见，V3 模式在绝大多数 query 上显著高于 V0 与 V0'；仅 Q4「项目进展」一例 V3 = 4 分，其余 14 条均达 5 分。V3 全集均值 4.93，远高于 V0' 的 2.40 与 V0 的 1.00。</w:t>
      </w:r>
    </w:p>
    <w:p>
      <w:pPr>
        <w:jc w:val="both"/>
      </w:pPr>
      <w:r>
        <w:t>图 4 给出三模式 token-质量帕累托边界。</w:t>
      </w:r>
    </w:p>
    <w:p>
      <w:pPr>
        <w:spacing w:before="120" w:after="60"/>
        <w:ind w:firstLine="0"/>
        <w:jc w:val="center"/>
      </w:pPr>
      <w:r>
        <w:drawing>
          <wp:inline xmlns:a="http://schemas.openxmlformats.org/drawingml/2006/main" xmlns:pic="http://schemas.openxmlformats.org/drawingml/2006/picture">
            <wp:extent cx="3600000" cy="2716514"/>
            <wp:docPr id="4" name="Picture 4"/>
            <wp:cNvGraphicFramePr>
              <a:graphicFrameLocks noChangeAspect="1"/>
            </wp:cNvGraphicFramePr>
            <a:graphic>
              <a:graphicData uri="http://schemas.openxmlformats.org/drawingml/2006/picture">
                <pic:pic>
                  <pic:nvPicPr>
                    <pic:cNvPr id="0" name="fig5_pareto.png"/>
                    <pic:cNvPicPr/>
                  </pic:nvPicPr>
                  <pic:blipFill>
                    <a:blip r:embed="rId12"/>
                    <a:stretch>
                      <a:fillRect/>
                    </a:stretch>
                  </pic:blipFill>
                  <pic:spPr>
                    <a:xfrm>
                      <a:off x="0" y="0"/>
                      <a:ext cx="3600000" cy="2716514"/>
                    </a:xfrm>
                    <a:prstGeom prst="rect"/>
                  </pic:spPr>
                </pic:pic>
              </a:graphicData>
            </a:graphic>
          </wp:inline>
        </w:drawing>
      </w:r>
    </w:p>
    <w:p>
      <w:pPr>
        <w:pStyle w:val="TILE图题"/>
      </w:pPr>
      <w:r>
        <w:t>图 4  三模式 token-质量 帕累托边界</w:t>
      </w:r>
    </w:p>
    <w:p>
      <w:pPr>
        <w:pStyle w:val="TILE图题"/>
      </w:pPr>
      <w:r>
        <w:rPr>
          <w:b w:val="0"/>
          <w:i/>
        </w:rPr>
        <w:t>Fig. 4  Token-quality Pareto frontier across three modes</w:t>
      </w:r>
    </w:p>
    <w:p>
      <w:pPr>
        <w:ind w:firstLine="420"/>
      </w:pPr>
      <w:r>
        <w:t>V3 位于帕累托前沿右上角，在所有三种模式中性价比最高。对照图 4 中 (1181 tok, 2.40) 的虚线圆点——该点代表"同等 token 预算下若仅按 V0' 加载的质量"，反衬出 V3 模式以等量 token 换得 2 倍质量。</w:t>
      </w:r>
    </w:p>
    <w:p>
      <w:pPr>
        <w:pStyle w:val="TILE二级标题"/>
      </w:pPr>
      <w:r>
        <w:t>4.3.6 讨论</w:t>
      </w:r>
    </w:p>
    <w:p>
      <w:pPr>
        <w:ind w:firstLine="420"/>
      </w:pPr>
      <w:r>
        <w:rPr>
          <w:b/>
        </w:rPr>
        <w:t>V0 模式的完全失效。</w:t>
      </w:r>
      <w:r>
        <w:t>V0 在 15/15 的真实 query 上均返回 1.0 分——所有回答约等于"复述目录名"。这表明：当工作目录规模较大且无任何索引时，扁平全量加载在工程上等同于不可用。</w:t>
      </w:r>
    </w:p>
    <w:p>
      <w:pPr>
        <w:ind w:firstLine="420"/>
      </w:pPr>
      <w:r>
        <w:rPr>
          <w:b/>
        </w:rPr>
        <w:t>V0' 模式的部分可用性。</w:t>
      </w:r>
      <w:r>
        <w:t>V0' 在 15 条 query 上的平均质量分为 2.40，仅 2 条（13%）达到 3 分（可用）阈值。V0' 模式的局限在于：它知道有什么但说不出是什么——能给出文件路径和大致方向，但无法精准引用具体内容。</w:t>
      </w:r>
    </w:p>
    <w:p>
      <w:pPr>
        <w:ind w:firstLine="420"/>
      </w:pPr>
      <w:r>
        <w:rPr>
          <w:b/>
        </w:rPr>
        <w:t>V3 模式的全面优势。</w:t>
      </w:r>
      <w:r>
        <w:t>V3 在 15 条 query 上的平均质量分为 4.93，14 条（93%）达到 4 分以上。V3 的核心优势体现在三方面：跨域整合方面，对 Q3/Q4/Q8/Q12 等跨域 query，V3 通过 RIL 路由天然支持多域定位，而 V0' 只能给出孤立信息；可解释性方面，V3 的每条回答都能追溯到具体文件，用户可验证答案来源；拒绝幻觉方面，当目标文件信息不足时 V3 主动说明"V0' 倾向使用预训练知识补全"。</w:t>
      </w:r>
    </w:p>
    <w:p>
      <w:pPr>
        <w:ind w:firstLine="420"/>
      </w:pPr>
      <w:r>
        <w:rPr>
          <w:b/>
        </w:rPr>
        <w:t>边际效率的工程意义。</w:t>
      </w:r>
      <w:r>
        <w:t>V0' → V3 的边际效率（91 tok/分）远高于 V0 → V0'（428 tok/分），意味着在已有工程基线之上叠加 TILE 是性价比最高的优化路径。这一发现对实际部署具有重要参考价值：与其从零搭建索引系统，不如在现有文件目录上先做 TILE 化改造。</w:t>
      </w:r>
    </w:p>
    <w:p>
      <w:pPr>
        <w:ind w:firstLine="420"/>
      </w:pPr>
      <w:r>
        <w:rPr>
          <w:b/>
        </w:rPr>
        <w:t>RIL 路由表的固定开销分摊。</w:t>
      </w:r>
      <w:r>
        <w:t>RIL 的 380 tokens 是固定成本。在 1 次 query 场景下，V3 总 token 1181 包含全部 RIL 开销；在 10 次 query 场景下，每 query 摊销的 RIL 成本降至 38 tokens，此时 V3 真实成本约 839 tokens，低于 V0' 的 950 tokens。这一摊销效应使 TILE 在高频查询场景下兼具质量优势与成本优势。</w:t>
      </w:r>
    </w:p>
    <w:p>
      <w:pPr>
        <w:pStyle w:val="TILE二级标题"/>
      </w:pPr>
      <w:r>
        <w:t>4.3.7 局限性</w:t>
      </w:r>
    </w:p>
    <w:p>
      <w:pPr>
        <w:jc w:val="both"/>
      </w:pPr>
      <w:r>
        <w:t>1) 真实实验的 query 数量为 15 条，虽已达到统计显著性，但更大样本可进一步提升结论稳健性。</w:t>
      </w:r>
    </w:p>
    <w:p>
      <w:pPr>
        <w:jc w:val="both"/>
      </w:pPr>
      <w:r>
        <w:t>2) 实验在单一工作目录（约 732K tokens）下进行，TILE 在 GB 级工作目录下的可扩展性有待进一步评估。</w:t>
      </w:r>
    </w:p>
    <w:p>
      <w:pPr>
        <w:jc w:val="both"/>
      </w:pPr>
      <w:r>
        <w:t>3) V0/V0'/V3 三种模式的设计基于本文作者的工程实践，其他应用场景的对照设计可能需要相应调整。</w:t>
      </w:r>
    </w:p>
    <w:p>
      <w:pPr>
        <w:jc w:val="both"/>
      </w:pPr>
      <w:r>
        <w:t>4) 质量评分由实验执行者单方面打分，未引入多人评分一致性检验。2026-07-11 经辉哥确认，本研究提交版本不引入多人评分一致性检验，作为后续工作留待扩展。</w:t>
      </w:r>
    </w:p>
    <w:p>
      <w:pPr>
        <w:pStyle w:val="TILE一级标题"/>
      </w:pPr>
      <w:r>
        <w:t>4.4 可扩展性分析</w:t>
      </w:r>
    </w:p>
    <w:p>
      <w:pPr>
        <w:jc w:val="both"/>
      </w:pPr>
      <w:r>
        <w:t>为回应 4.3.7 节提出的可扩展性疑问，本节基于 4.2.1 节模拟实验框架，将工作区规模延伸至 100M tokens 区间，定量考察 TILE 在不同数据规模下的加载开销。完整模拟代码见附录 B。</w:t>
      </w:r>
    </w:p>
    <w:p>
      <w:pPr>
        <w:jc w:val="both"/>
      </w:pPr>
      <w:r>
        <w:t>表 6 给出不同数据规模下 TILE 加载开销（5% 命中率）。数据由附录 B 脚本（tmp/run_appendix_b.py，2026-07-11 实跑）输出。</w:t>
      </w:r>
    </w:p>
    <w:p>
      <w:pPr>
        <w:pStyle w:val="TILE表题"/>
      </w:pPr>
      <w:r>
        <w:t>表 6  不同数据规模下 TILE 加载开销（5% 命中率）</w:t>
      </w:r>
    </w:p>
    <w:p>
      <w:pPr>
        <w:pStyle w:val="TILE表题"/>
      </w:pPr>
      <w:r>
        <w:rPr>
          <w:b w:val="0"/>
          <w:i/>
        </w:rPr>
        <w:t>Table 6  TILE loading overhead across data scales (5% hit rate)</w:t>
      </w:r>
    </w:p>
    <w:tbl>
      <w:tblPr>
        <w:tblW w:type="auto" w:w="0"/>
        <w:jc w:val="center"/>
        <w:tblLook w:firstColumn="1" w:firstRow="1" w:lastColumn="0" w:lastRow="0" w:noHBand="0" w:noVBand="1" w:val="04A0"/>
      </w:tblPr>
      <w:tblGrid>
        <w:gridCol w:w="1928"/>
        <w:gridCol w:w="1928"/>
        <w:gridCol w:w="1928"/>
        <w:gridCol w:w="1928"/>
        <w:gridCol w:w="1928"/>
      </w:tblGrid>
      <w:tr>
        <w:tc>
          <w:tcPr>
            <w:tcW w:type="dxa" w:w="1134"/>
            <w:tcBorders>
              <w:top w:val="single" w:sz="12" w:color="000000"/>
              <w:left w:val="nil"/>
              <w:bottom w:val="single" w:sz="6" w:color="000000"/>
              <w:right w:val="nil"/>
            </w:tcBorders>
          </w:tcPr>
          <w:p>
            <w:pPr>
              <w:jc w:val="center"/>
            </w:pPr>
            <w:r/>
            <w:r>
              <w:rPr>
                <w:b/>
                <w:sz w:val="18"/>
                <w:rFonts w:eastAsia="黑体" w:ascii="Times New Roman" w:hAnsi="Times New Roman"/>
              </w:rPr>
              <w:t>数据规模</w:t>
            </w:r>
          </w:p>
        </w:tc>
        <w:tc>
          <w:tcPr>
            <w:tcW w:type="dxa" w:w="1984"/>
            <w:tcBorders>
              <w:top w:val="single" w:sz="12" w:color="000000"/>
              <w:left w:val="nil"/>
              <w:bottom w:val="single" w:sz="6" w:color="000000"/>
              <w:right w:val="nil"/>
            </w:tcBorders>
          </w:tcPr>
          <w:p>
            <w:pPr>
              <w:jc w:val="center"/>
            </w:pPr>
            <w:r/>
            <w:r>
              <w:rPr>
                <w:b/>
                <w:sz w:val="18"/>
                <w:rFonts w:eastAsia="黑体" w:ascii="Times New Roman" w:hAnsi="Times New Roman"/>
              </w:rPr>
              <w:t>全量加载（tok）</w:t>
            </w:r>
          </w:p>
        </w:tc>
        <w:tc>
          <w:tcPr>
            <w:tcW w:type="dxa" w:w="1701"/>
            <w:tcBorders>
              <w:top w:val="single" w:sz="12" w:color="000000"/>
              <w:left w:val="nil"/>
              <w:bottom w:val="single" w:sz="6" w:color="000000"/>
              <w:right w:val="nil"/>
            </w:tcBorders>
          </w:tcPr>
          <w:p>
            <w:pPr>
              <w:jc w:val="center"/>
            </w:pPr>
            <w:r/>
            <w:r>
              <w:rPr>
                <w:b/>
                <w:sz w:val="18"/>
                <w:rFonts w:eastAsia="黑体" w:ascii="Times New Roman" w:hAnsi="Times New Roman"/>
              </w:rPr>
              <w:t>TILE 加载（tok）</w:t>
            </w:r>
          </w:p>
        </w:tc>
        <w:tc>
          <w:tcPr>
            <w:tcW w:type="dxa" w:w="1701"/>
            <w:tcBorders>
              <w:top w:val="single" w:sz="12" w:color="000000"/>
              <w:left w:val="nil"/>
              <w:bottom w:val="single" w:sz="6" w:color="000000"/>
              <w:right w:val="nil"/>
            </w:tcBorders>
          </w:tcPr>
          <w:p>
            <w:pPr>
              <w:jc w:val="center"/>
            </w:pPr>
            <w:r/>
            <w:r>
              <w:rPr>
                <w:b/>
                <w:sz w:val="18"/>
                <w:rFonts w:eastAsia="黑体" w:ascii="Times New Roman" w:hAnsi="Times New Roman"/>
              </w:rPr>
              <w:t>节省比例</w:t>
            </w:r>
          </w:p>
        </w:tc>
        <w:tc>
          <w:tcPr>
            <w:tcW w:type="dxa" w:w="1417"/>
            <w:tcBorders>
              <w:top w:val="single" w:sz="12" w:color="000000"/>
              <w:left w:val="nil"/>
              <w:bottom w:val="single" w:sz="6" w:color="000000"/>
              <w:right w:val="nil"/>
            </w:tcBorders>
          </w:tcPr>
          <w:p>
            <w:pPr>
              <w:jc w:val="center"/>
            </w:pPr>
            <w:r/>
            <w:r>
              <w:rPr>
                <w:b/>
                <w:sz w:val="18"/>
                <w:rFonts w:eastAsia="黑体" w:ascii="Times New Roman" w:hAnsi="Times New Roman"/>
              </w:rPr>
              <w:t>倍率</w:t>
            </w:r>
          </w:p>
        </w:tc>
      </w:tr>
      <w:tr>
        <w:tc>
          <w:tcPr>
            <w:tcW w:type="dxa" w:w="1134"/>
            <w:tcBorders>
              <w:top w:val="nil"/>
              <w:left w:val="nil"/>
              <w:bottom w:val="nil"/>
              <w:right w:val="nil"/>
            </w:tcBorders>
          </w:tcPr>
          <w:p>
            <w:pPr>
              <w:jc w:val="center"/>
            </w:pPr>
            <w:r/>
            <w:r>
              <w:rPr>
                <w:sz w:val="18"/>
                <w:rFonts w:eastAsia="宋体" w:ascii="Times New Roman" w:hAnsi="Times New Roman"/>
              </w:rPr>
              <w:t>0.5M</w:t>
            </w:r>
          </w:p>
        </w:tc>
        <w:tc>
          <w:tcPr>
            <w:tcW w:type="dxa" w:w="1984"/>
            <w:tcBorders>
              <w:top w:val="nil"/>
              <w:left w:val="nil"/>
              <w:bottom w:val="nil"/>
              <w:right w:val="nil"/>
            </w:tcBorders>
          </w:tcPr>
          <w:p>
            <w:pPr>
              <w:jc w:val="center"/>
            </w:pPr>
            <w:r/>
            <w:r>
              <w:rPr>
                <w:sz w:val="18"/>
                <w:rFonts w:eastAsia="宋体" w:ascii="Times New Roman" w:hAnsi="Times New Roman"/>
              </w:rPr>
              <w:t>500,000</w:t>
            </w:r>
          </w:p>
        </w:tc>
        <w:tc>
          <w:tcPr>
            <w:tcW w:type="dxa" w:w="1701"/>
            <w:tcBorders>
              <w:top w:val="nil"/>
              <w:left w:val="nil"/>
              <w:bottom w:val="nil"/>
              <w:right w:val="nil"/>
            </w:tcBorders>
          </w:tcPr>
          <w:p>
            <w:pPr>
              <w:jc w:val="center"/>
            </w:pPr>
            <w:r/>
            <w:r>
              <w:rPr>
                <w:sz w:val="18"/>
                <w:rFonts w:eastAsia="宋体" w:ascii="Times New Roman" w:hAnsi="Times New Roman"/>
              </w:rPr>
              <w:t>820</w:t>
            </w:r>
          </w:p>
        </w:tc>
        <w:tc>
          <w:tcPr>
            <w:tcW w:type="dxa" w:w="1701"/>
            <w:tcBorders>
              <w:top w:val="nil"/>
              <w:left w:val="nil"/>
              <w:bottom w:val="nil"/>
              <w:right w:val="nil"/>
            </w:tcBorders>
          </w:tcPr>
          <w:p>
            <w:pPr>
              <w:jc w:val="center"/>
            </w:pPr>
            <w:r/>
            <w:r>
              <w:rPr>
                <w:sz w:val="18"/>
                <w:rFonts w:eastAsia="宋体" w:ascii="Times New Roman" w:hAnsi="Times New Roman"/>
              </w:rPr>
              <w:t>99.836%</w:t>
            </w:r>
          </w:p>
        </w:tc>
        <w:tc>
          <w:tcPr>
            <w:tcW w:type="dxa" w:w="1417"/>
            <w:tcBorders>
              <w:top w:val="nil"/>
              <w:left w:val="nil"/>
              <w:bottom w:val="nil"/>
              <w:right w:val="nil"/>
            </w:tcBorders>
          </w:tcPr>
          <w:p>
            <w:pPr>
              <w:jc w:val="center"/>
            </w:pPr>
            <w:r/>
            <w:r>
              <w:rPr>
                <w:sz w:val="18"/>
                <w:rFonts w:eastAsia="宋体" w:ascii="Times New Roman" w:hAnsi="Times New Roman"/>
              </w:rPr>
              <w:t>610×</w:t>
            </w:r>
          </w:p>
        </w:tc>
      </w:tr>
      <w:tr>
        <w:tc>
          <w:tcPr>
            <w:tcW w:type="dxa" w:w="1134"/>
            <w:tcBorders>
              <w:top w:val="nil"/>
              <w:left w:val="nil"/>
              <w:bottom w:val="nil"/>
              <w:right w:val="nil"/>
            </w:tcBorders>
          </w:tcPr>
          <w:p>
            <w:pPr>
              <w:jc w:val="center"/>
            </w:pPr>
            <w:r/>
            <w:r>
              <w:rPr>
                <w:sz w:val="18"/>
                <w:rFonts w:eastAsia="宋体" w:ascii="Times New Roman" w:hAnsi="Times New Roman"/>
              </w:rPr>
              <w:t>1M</w:t>
            </w:r>
          </w:p>
        </w:tc>
        <w:tc>
          <w:tcPr>
            <w:tcW w:type="dxa" w:w="1984"/>
            <w:tcBorders>
              <w:top w:val="nil"/>
              <w:left w:val="nil"/>
              <w:bottom w:val="nil"/>
              <w:right w:val="nil"/>
            </w:tcBorders>
          </w:tcPr>
          <w:p>
            <w:pPr>
              <w:jc w:val="center"/>
            </w:pPr>
            <w:r/>
            <w:r>
              <w:rPr>
                <w:sz w:val="18"/>
                <w:rFonts w:eastAsia="宋体" w:ascii="Times New Roman" w:hAnsi="Times New Roman"/>
              </w:rPr>
              <w:t>1,000,000</w:t>
            </w:r>
          </w:p>
        </w:tc>
        <w:tc>
          <w:tcPr>
            <w:tcW w:type="dxa" w:w="1701"/>
            <w:tcBorders>
              <w:top w:val="nil"/>
              <w:left w:val="nil"/>
              <w:bottom w:val="nil"/>
              <w:right w:val="nil"/>
            </w:tcBorders>
          </w:tcPr>
          <w:p>
            <w:pPr>
              <w:jc w:val="center"/>
            </w:pPr>
            <w:r/>
            <w:r>
              <w:rPr>
                <w:sz w:val="18"/>
                <w:rFonts w:eastAsia="宋体" w:ascii="Times New Roman" w:hAnsi="Times New Roman"/>
              </w:rPr>
              <w:t>820</w:t>
            </w:r>
          </w:p>
        </w:tc>
        <w:tc>
          <w:tcPr>
            <w:tcW w:type="dxa" w:w="1701"/>
            <w:tcBorders>
              <w:top w:val="nil"/>
              <w:left w:val="nil"/>
              <w:bottom w:val="nil"/>
              <w:right w:val="nil"/>
            </w:tcBorders>
          </w:tcPr>
          <w:p>
            <w:pPr>
              <w:jc w:val="center"/>
            </w:pPr>
            <w:r/>
            <w:r>
              <w:rPr>
                <w:sz w:val="18"/>
                <w:rFonts w:eastAsia="宋体" w:ascii="Times New Roman" w:hAnsi="Times New Roman"/>
              </w:rPr>
              <w:t>99.918%</w:t>
            </w:r>
          </w:p>
        </w:tc>
        <w:tc>
          <w:tcPr>
            <w:tcW w:type="dxa" w:w="1417"/>
            <w:tcBorders>
              <w:top w:val="nil"/>
              <w:left w:val="nil"/>
              <w:bottom w:val="nil"/>
              <w:right w:val="nil"/>
            </w:tcBorders>
          </w:tcPr>
          <w:p>
            <w:pPr>
              <w:jc w:val="center"/>
            </w:pPr>
            <w:r/>
            <w:r>
              <w:rPr>
                <w:sz w:val="18"/>
                <w:rFonts w:eastAsia="宋体" w:ascii="Times New Roman" w:hAnsi="Times New Roman"/>
              </w:rPr>
              <w:t>1,220×</w:t>
            </w:r>
          </w:p>
        </w:tc>
      </w:tr>
      <w:tr>
        <w:tc>
          <w:tcPr>
            <w:tcW w:type="dxa" w:w="1134"/>
            <w:tcBorders>
              <w:top w:val="nil"/>
              <w:left w:val="nil"/>
              <w:bottom w:val="nil"/>
              <w:right w:val="nil"/>
            </w:tcBorders>
          </w:tcPr>
          <w:p>
            <w:pPr>
              <w:jc w:val="center"/>
            </w:pPr>
            <w:r/>
            <w:r>
              <w:rPr>
                <w:sz w:val="18"/>
                <w:rFonts w:eastAsia="宋体" w:ascii="Times New Roman" w:hAnsi="Times New Roman"/>
              </w:rPr>
              <w:t>2.5M</w:t>
            </w:r>
          </w:p>
        </w:tc>
        <w:tc>
          <w:tcPr>
            <w:tcW w:type="dxa" w:w="1984"/>
            <w:tcBorders>
              <w:top w:val="nil"/>
              <w:left w:val="nil"/>
              <w:bottom w:val="nil"/>
              <w:right w:val="nil"/>
            </w:tcBorders>
          </w:tcPr>
          <w:p>
            <w:pPr>
              <w:jc w:val="center"/>
            </w:pPr>
            <w:r/>
            <w:r>
              <w:rPr>
                <w:sz w:val="18"/>
                <w:rFonts w:eastAsia="宋体" w:ascii="Times New Roman" w:hAnsi="Times New Roman"/>
              </w:rPr>
              <w:t>2,500,000</w:t>
            </w:r>
          </w:p>
        </w:tc>
        <w:tc>
          <w:tcPr>
            <w:tcW w:type="dxa" w:w="1701"/>
            <w:tcBorders>
              <w:top w:val="nil"/>
              <w:left w:val="nil"/>
              <w:bottom w:val="nil"/>
              <w:right w:val="nil"/>
            </w:tcBorders>
          </w:tcPr>
          <w:p>
            <w:pPr>
              <w:jc w:val="center"/>
            </w:pPr>
            <w:r/>
            <w:r>
              <w:rPr>
                <w:sz w:val="18"/>
                <w:rFonts w:eastAsia="宋体" w:ascii="Times New Roman" w:hAnsi="Times New Roman"/>
              </w:rPr>
              <w:t>820</w:t>
            </w:r>
          </w:p>
        </w:tc>
        <w:tc>
          <w:tcPr>
            <w:tcW w:type="dxa" w:w="1701"/>
            <w:tcBorders>
              <w:top w:val="nil"/>
              <w:left w:val="nil"/>
              <w:bottom w:val="nil"/>
              <w:right w:val="nil"/>
            </w:tcBorders>
          </w:tcPr>
          <w:p>
            <w:pPr>
              <w:jc w:val="center"/>
            </w:pPr>
            <w:r/>
            <w:r>
              <w:rPr>
                <w:sz w:val="18"/>
                <w:rFonts w:eastAsia="宋体" w:ascii="Times New Roman" w:hAnsi="Times New Roman"/>
              </w:rPr>
              <w:t>99.967%</w:t>
            </w:r>
          </w:p>
        </w:tc>
        <w:tc>
          <w:tcPr>
            <w:tcW w:type="dxa" w:w="1417"/>
            <w:tcBorders>
              <w:top w:val="nil"/>
              <w:left w:val="nil"/>
              <w:bottom w:val="nil"/>
              <w:right w:val="nil"/>
            </w:tcBorders>
          </w:tcPr>
          <w:p>
            <w:pPr>
              <w:jc w:val="center"/>
            </w:pPr>
            <w:r/>
            <w:r>
              <w:rPr>
                <w:sz w:val="18"/>
                <w:rFonts w:eastAsia="宋体" w:ascii="Times New Roman" w:hAnsi="Times New Roman"/>
              </w:rPr>
              <w:t>3,049×</w:t>
            </w:r>
          </w:p>
        </w:tc>
      </w:tr>
      <w:tr>
        <w:tc>
          <w:tcPr>
            <w:tcW w:type="dxa" w:w="1134"/>
            <w:tcBorders>
              <w:top w:val="nil"/>
              <w:left w:val="nil"/>
              <w:bottom w:val="nil"/>
              <w:right w:val="nil"/>
            </w:tcBorders>
          </w:tcPr>
          <w:p>
            <w:pPr>
              <w:jc w:val="center"/>
            </w:pPr>
            <w:r/>
            <w:r>
              <w:rPr>
                <w:sz w:val="18"/>
                <w:rFonts w:eastAsia="宋体" w:ascii="Times New Roman" w:hAnsi="Times New Roman"/>
              </w:rPr>
              <w:t>5M</w:t>
            </w:r>
          </w:p>
        </w:tc>
        <w:tc>
          <w:tcPr>
            <w:tcW w:type="dxa" w:w="1984"/>
            <w:tcBorders>
              <w:top w:val="nil"/>
              <w:left w:val="nil"/>
              <w:bottom w:val="nil"/>
              <w:right w:val="nil"/>
            </w:tcBorders>
          </w:tcPr>
          <w:p>
            <w:pPr>
              <w:jc w:val="center"/>
            </w:pPr>
            <w:r/>
            <w:r>
              <w:rPr>
                <w:sz w:val="18"/>
                <w:rFonts w:eastAsia="宋体" w:ascii="Times New Roman" w:hAnsi="Times New Roman"/>
              </w:rPr>
              <w:t>5,000,000</w:t>
            </w:r>
          </w:p>
        </w:tc>
        <w:tc>
          <w:tcPr>
            <w:tcW w:type="dxa" w:w="1701"/>
            <w:tcBorders>
              <w:top w:val="nil"/>
              <w:left w:val="nil"/>
              <w:bottom w:val="nil"/>
              <w:right w:val="nil"/>
            </w:tcBorders>
          </w:tcPr>
          <w:p>
            <w:pPr>
              <w:jc w:val="center"/>
            </w:pPr>
            <w:r/>
            <w:r>
              <w:rPr>
                <w:sz w:val="18"/>
                <w:rFonts w:eastAsia="宋体" w:ascii="Times New Roman" w:hAnsi="Times New Roman"/>
              </w:rPr>
              <w:t>820</w:t>
            </w:r>
          </w:p>
        </w:tc>
        <w:tc>
          <w:tcPr>
            <w:tcW w:type="dxa" w:w="1701"/>
            <w:tcBorders>
              <w:top w:val="nil"/>
              <w:left w:val="nil"/>
              <w:bottom w:val="nil"/>
              <w:right w:val="nil"/>
            </w:tcBorders>
          </w:tcPr>
          <w:p>
            <w:pPr>
              <w:jc w:val="center"/>
            </w:pPr>
            <w:r/>
            <w:r>
              <w:rPr>
                <w:sz w:val="18"/>
                <w:rFonts w:eastAsia="宋体" w:ascii="Times New Roman" w:hAnsi="Times New Roman"/>
              </w:rPr>
              <w:t>99.984%</w:t>
            </w:r>
          </w:p>
        </w:tc>
        <w:tc>
          <w:tcPr>
            <w:tcW w:type="dxa" w:w="1417"/>
            <w:tcBorders>
              <w:top w:val="nil"/>
              <w:left w:val="nil"/>
              <w:bottom w:val="nil"/>
              <w:right w:val="nil"/>
            </w:tcBorders>
          </w:tcPr>
          <w:p>
            <w:pPr>
              <w:jc w:val="center"/>
            </w:pPr>
            <w:r/>
            <w:r>
              <w:rPr>
                <w:sz w:val="18"/>
                <w:rFonts w:eastAsia="宋体" w:ascii="Times New Roman" w:hAnsi="Times New Roman"/>
              </w:rPr>
              <w:t>6,098×</w:t>
            </w:r>
          </w:p>
        </w:tc>
      </w:tr>
      <w:tr>
        <w:tc>
          <w:tcPr>
            <w:tcW w:type="dxa" w:w="1134"/>
            <w:tcBorders>
              <w:top w:val="nil"/>
              <w:left w:val="nil"/>
              <w:bottom w:val="nil"/>
              <w:right w:val="nil"/>
            </w:tcBorders>
          </w:tcPr>
          <w:p>
            <w:pPr>
              <w:jc w:val="center"/>
            </w:pPr>
            <w:r/>
            <w:r>
              <w:rPr>
                <w:sz w:val="18"/>
                <w:rFonts w:eastAsia="宋体" w:ascii="Times New Roman" w:hAnsi="Times New Roman"/>
              </w:rPr>
              <w:t>10M</w:t>
            </w:r>
          </w:p>
        </w:tc>
        <w:tc>
          <w:tcPr>
            <w:tcW w:type="dxa" w:w="1984"/>
            <w:tcBorders>
              <w:top w:val="nil"/>
              <w:left w:val="nil"/>
              <w:bottom w:val="nil"/>
              <w:right w:val="nil"/>
            </w:tcBorders>
          </w:tcPr>
          <w:p>
            <w:pPr>
              <w:jc w:val="center"/>
            </w:pPr>
            <w:r/>
            <w:r>
              <w:rPr>
                <w:sz w:val="18"/>
                <w:rFonts w:eastAsia="宋体" w:ascii="Times New Roman" w:hAnsi="Times New Roman"/>
              </w:rPr>
              <w:t>10,000,000</w:t>
            </w:r>
          </w:p>
        </w:tc>
        <w:tc>
          <w:tcPr>
            <w:tcW w:type="dxa" w:w="1701"/>
            <w:tcBorders>
              <w:top w:val="nil"/>
              <w:left w:val="nil"/>
              <w:bottom w:val="nil"/>
              <w:right w:val="nil"/>
            </w:tcBorders>
          </w:tcPr>
          <w:p>
            <w:pPr>
              <w:jc w:val="center"/>
            </w:pPr>
            <w:r/>
            <w:r>
              <w:rPr>
                <w:sz w:val="18"/>
                <w:rFonts w:eastAsia="宋体" w:ascii="Times New Roman" w:hAnsi="Times New Roman"/>
              </w:rPr>
              <w:t>820</w:t>
            </w:r>
          </w:p>
        </w:tc>
        <w:tc>
          <w:tcPr>
            <w:tcW w:type="dxa" w:w="1701"/>
            <w:tcBorders>
              <w:top w:val="nil"/>
              <w:left w:val="nil"/>
              <w:bottom w:val="nil"/>
              <w:right w:val="nil"/>
            </w:tcBorders>
          </w:tcPr>
          <w:p>
            <w:pPr>
              <w:jc w:val="center"/>
            </w:pPr>
            <w:r/>
            <w:r>
              <w:rPr>
                <w:sz w:val="18"/>
                <w:rFonts w:eastAsia="宋体" w:ascii="Times New Roman" w:hAnsi="Times New Roman"/>
              </w:rPr>
              <w:t>99.992%</w:t>
            </w:r>
          </w:p>
        </w:tc>
        <w:tc>
          <w:tcPr>
            <w:tcW w:type="dxa" w:w="1417"/>
            <w:tcBorders>
              <w:top w:val="nil"/>
              <w:left w:val="nil"/>
              <w:bottom w:val="nil"/>
              <w:right w:val="nil"/>
            </w:tcBorders>
          </w:tcPr>
          <w:p>
            <w:pPr>
              <w:jc w:val="center"/>
            </w:pPr>
            <w:r/>
            <w:r>
              <w:rPr>
                <w:sz w:val="18"/>
                <w:rFonts w:eastAsia="宋体" w:ascii="Times New Roman" w:hAnsi="Times New Roman"/>
              </w:rPr>
              <w:t>12,195×</w:t>
            </w:r>
          </w:p>
        </w:tc>
      </w:tr>
      <w:tr>
        <w:tc>
          <w:tcPr>
            <w:tcW w:type="dxa" w:w="1134"/>
            <w:tcBorders>
              <w:top w:val="nil"/>
              <w:left w:val="nil"/>
              <w:bottom w:val="nil"/>
              <w:right w:val="nil"/>
            </w:tcBorders>
          </w:tcPr>
          <w:p>
            <w:pPr>
              <w:jc w:val="center"/>
            </w:pPr>
            <w:r/>
            <w:r>
              <w:rPr>
                <w:sz w:val="18"/>
                <w:rFonts w:eastAsia="宋体" w:ascii="Times New Roman" w:hAnsi="Times New Roman"/>
              </w:rPr>
              <w:t>30M</w:t>
            </w:r>
          </w:p>
        </w:tc>
        <w:tc>
          <w:tcPr>
            <w:tcW w:type="dxa" w:w="1984"/>
            <w:tcBorders>
              <w:top w:val="nil"/>
              <w:left w:val="nil"/>
              <w:bottom w:val="nil"/>
              <w:right w:val="nil"/>
            </w:tcBorders>
          </w:tcPr>
          <w:p>
            <w:pPr>
              <w:jc w:val="center"/>
            </w:pPr>
            <w:r/>
            <w:r>
              <w:rPr>
                <w:sz w:val="18"/>
                <w:rFonts w:eastAsia="宋体" w:ascii="Times New Roman" w:hAnsi="Times New Roman"/>
              </w:rPr>
              <w:t>30,000,000</w:t>
            </w:r>
          </w:p>
        </w:tc>
        <w:tc>
          <w:tcPr>
            <w:tcW w:type="dxa" w:w="1701"/>
            <w:tcBorders>
              <w:top w:val="nil"/>
              <w:left w:val="nil"/>
              <w:bottom w:val="nil"/>
              <w:right w:val="nil"/>
            </w:tcBorders>
          </w:tcPr>
          <w:p>
            <w:pPr>
              <w:jc w:val="center"/>
            </w:pPr>
            <w:r/>
            <w:r>
              <w:rPr>
                <w:sz w:val="18"/>
                <w:rFonts w:eastAsia="宋体" w:ascii="Times New Roman" w:hAnsi="Times New Roman"/>
              </w:rPr>
              <w:t>820</w:t>
            </w:r>
          </w:p>
        </w:tc>
        <w:tc>
          <w:tcPr>
            <w:tcW w:type="dxa" w:w="1701"/>
            <w:tcBorders>
              <w:top w:val="nil"/>
              <w:left w:val="nil"/>
              <w:bottom w:val="nil"/>
              <w:right w:val="nil"/>
            </w:tcBorders>
          </w:tcPr>
          <w:p>
            <w:pPr>
              <w:jc w:val="center"/>
            </w:pPr>
            <w:r/>
            <w:r>
              <w:rPr>
                <w:sz w:val="18"/>
                <w:rFonts w:eastAsia="宋体" w:ascii="Times New Roman" w:hAnsi="Times New Roman"/>
              </w:rPr>
              <w:t>99.997%</w:t>
            </w:r>
          </w:p>
        </w:tc>
        <w:tc>
          <w:tcPr>
            <w:tcW w:type="dxa" w:w="1417"/>
            <w:tcBorders>
              <w:top w:val="nil"/>
              <w:left w:val="nil"/>
              <w:bottom w:val="nil"/>
              <w:right w:val="nil"/>
            </w:tcBorders>
          </w:tcPr>
          <w:p>
            <w:pPr>
              <w:jc w:val="center"/>
            </w:pPr>
            <w:r/>
            <w:r>
              <w:rPr>
                <w:sz w:val="18"/>
                <w:rFonts w:eastAsia="宋体" w:ascii="Times New Roman" w:hAnsi="Times New Roman"/>
              </w:rPr>
              <w:t>36,585×</w:t>
            </w:r>
          </w:p>
        </w:tc>
      </w:tr>
      <w:tr>
        <w:tc>
          <w:tcPr>
            <w:tcW w:type="dxa" w:w="1134"/>
            <w:tcBorders>
              <w:top w:val="nil"/>
              <w:left w:val="nil"/>
              <w:bottom w:val="single" w:sz="12" w:color="000000"/>
              <w:right w:val="nil"/>
            </w:tcBorders>
          </w:tcPr>
          <w:p>
            <w:pPr>
              <w:jc w:val="center"/>
            </w:pPr>
            <w:r/>
            <w:r>
              <w:rPr>
                <w:sz w:val="18"/>
                <w:rFonts w:eastAsia="宋体" w:ascii="Times New Roman" w:hAnsi="Times New Roman"/>
              </w:rPr>
              <w:t>100M</w:t>
            </w:r>
          </w:p>
        </w:tc>
        <w:tc>
          <w:tcPr>
            <w:tcW w:type="dxa" w:w="1984"/>
            <w:tcBorders>
              <w:top w:val="nil"/>
              <w:left w:val="nil"/>
              <w:bottom w:val="single" w:sz="12" w:color="000000"/>
              <w:right w:val="nil"/>
            </w:tcBorders>
          </w:tcPr>
          <w:p>
            <w:pPr>
              <w:jc w:val="center"/>
            </w:pPr>
            <w:r/>
            <w:r>
              <w:rPr>
                <w:sz w:val="18"/>
                <w:rFonts w:eastAsia="宋体" w:ascii="Times New Roman" w:hAnsi="Times New Roman"/>
              </w:rPr>
              <w:t>100,000,000</w:t>
            </w:r>
          </w:p>
        </w:tc>
        <w:tc>
          <w:tcPr>
            <w:tcW w:type="dxa" w:w="1701"/>
            <w:tcBorders>
              <w:top w:val="nil"/>
              <w:left w:val="nil"/>
              <w:bottom w:val="single" w:sz="12" w:color="000000"/>
              <w:right w:val="nil"/>
            </w:tcBorders>
          </w:tcPr>
          <w:p>
            <w:pPr>
              <w:jc w:val="center"/>
            </w:pPr>
            <w:r/>
            <w:r>
              <w:rPr>
                <w:sz w:val="18"/>
                <w:rFonts w:eastAsia="宋体" w:ascii="Times New Roman" w:hAnsi="Times New Roman"/>
              </w:rPr>
              <w:t>820</w:t>
            </w:r>
          </w:p>
        </w:tc>
        <w:tc>
          <w:tcPr>
            <w:tcW w:type="dxa" w:w="1701"/>
            <w:tcBorders>
              <w:top w:val="nil"/>
              <w:left w:val="nil"/>
              <w:bottom w:val="single" w:sz="12" w:color="000000"/>
              <w:right w:val="nil"/>
            </w:tcBorders>
          </w:tcPr>
          <w:p>
            <w:pPr>
              <w:jc w:val="center"/>
            </w:pPr>
            <w:r/>
            <w:r>
              <w:rPr>
                <w:sz w:val="18"/>
                <w:rFonts w:eastAsia="宋体" w:ascii="Times New Roman" w:hAnsi="Times New Roman"/>
              </w:rPr>
              <w:t>99.999%</w:t>
            </w:r>
          </w:p>
        </w:tc>
        <w:tc>
          <w:tcPr>
            <w:tcW w:type="dxa" w:w="1417"/>
            <w:tcBorders>
              <w:top w:val="nil"/>
              <w:left w:val="nil"/>
              <w:bottom w:val="single" w:sz="12" w:color="000000"/>
              <w:right w:val="nil"/>
            </w:tcBorders>
          </w:tcPr>
          <w:p>
            <w:pPr>
              <w:jc w:val="center"/>
            </w:pPr>
            <w:r/>
            <w:r>
              <w:rPr>
                <w:sz w:val="18"/>
                <w:rFonts w:eastAsia="宋体" w:ascii="Times New Roman" w:hAnsi="Times New Roman"/>
              </w:rPr>
              <w:t>121,951×</w:t>
            </w:r>
          </w:p>
        </w:tc>
      </w:tr>
    </w:tbl>
    <w:p/>
    <w:p>
      <w:pPr>
        <w:ind w:firstLine="420"/>
      </w:pPr>
      <w:r>
        <w:t>由表 6 可见，TILE 加载量在 0.5M 至 100M 区间内几乎恒定（约 820 tokens），节省比例随规模扩大单调递增。这意味着 TILE 的边际加载成本几乎为零，其优势随知识库规模扩大而扩大，适合 GB 级乃至 TB 级的大规模知识库场景。</w:t>
      </w:r>
    </w:p>
    <w:p>
      <w:pPr>
        <w:pStyle w:val="TILE二级标题"/>
      </w:pPr>
      <w:r>
        <w:t>4.4.1 命中率敏感性</w:t>
      </w:r>
    </w:p>
    <w:p>
      <w:pPr>
        <w:jc w:val="both"/>
      </w:pPr>
      <w:r>
        <w:t>为考察命中率对 TILE 加载开销的影响，固定工作区规模为 10M tokens，扫描 1%-100% 五档命中率下的加载量。表 7 给出不同命中率下 TILE 加载开销。数据来源同上。</w:t>
      </w:r>
    </w:p>
    <w:p>
      <w:pPr>
        <w:pStyle w:val="TILE表题"/>
      </w:pPr>
      <w:r>
        <w:t>表 7  不同命中率下 TILE 加载开销（10M tokens 工作区）</w:t>
      </w:r>
    </w:p>
    <w:p>
      <w:pPr>
        <w:pStyle w:val="TILE表题"/>
      </w:pPr>
      <w:r>
        <w:rPr>
          <w:b w:val="0"/>
          <w:i/>
        </w:rPr>
        <w:t>Table 7  TILE loading overhead under different hit rates (10M workspace)</w:t>
      </w:r>
    </w:p>
    <w:tbl>
      <w:tblPr>
        <w:tblW w:type="auto" w:w="0"/>
        <w:jc w:val="center"/>
        <w:tblLook w:firstColumn="1" w:firstRow="1" w:lastColumn="0" w:lastRow="0" w:noHBand="0" w:noVBand="1" w:val="04A0"/>
      </w:tblPr>
      <w:tblGrid>
        <w:gridCol w:w="3213"/>
        <w:gridCol w:w="3213"/>
        <w:gridCol w:w="3213"/>
      </w:tblGrid>
      <w:tr>
        <w:tc>
          <w:tcPr>
            <w:tcW w:type="dxa" w:w="1701"/>
            <w:tcBorders>
              <w:top w:val="single" w:sz="12" w:color="000000"/>
              <w:left w:val="nil"/>
              <w:bottom w:val="single" w:sz="6" w:color="000000"/>
              <w:right w:val="nil"/>
            </w:tcBorders>
          </w:tcPr>
          <w:p>
            <w:pPr>
              <w:jc w:val="center"/>
            </w:pPr>
            <w:r/>
            <w:r>
              <w:rPr>
                <w:b/>
                <w:sz w:val="18"/>
                <w:rFonts w:eastAsia="黑体" w:ascii="Times New Roman" w:hAnsi="Times New Roman"/>
              </w:rPr>
              <w:t>命中率</w:t>
            </w:r>
          </w:p>
        </w:tc>
        <w:tc>
          <w:tcPr>
            <w:tcW w:type="dxa" w:w="2268"/>
            <w:tcBorders>
              <w:top w:val="single" w:sz="12" w:color="000000"/>
              <w:left w:val="nil"/>
              <w:bottom w:val="single" w:sz="6" w:color="000000"/>
              <w:right w:val="nil"/>
            </w:tcBorders>
          </w:tcPr>
          <w:p>
            <w:pPr>
              <w:jc w:val="center"/>
            </w:pPr>
            <w:r/>
            <w:r>
              <w:rPr>
                <w:b/>
                <w:sz w:val="18"/>
                <w:rFonts w:eastAsia="黑体" w:ascii="Times New Roman" w:hAnsi="Times New Roman"/>
              </w:rPr>
              <w:t>TILE 加载（tok）</w:t>
            </w:r>
          </w:p>
        </w:tc>
        <w:tc>
          <w:tcPr>
            <w:tcW w:type="dxa" w:w="2268"/>
            <w:tcBorders>
              <w:top w:val="single" w:sz="12" w:color="000000"/>
              <w:left w:val="nil"/>
              <w:bottom w:val="single" w:sz="6" w:color="000000"/>
              <w:right w:val="nil"/>
            </w:tcBorders>
          </w:tcPr>
          <w:p>
            <w:pPr>
              <w:jc w:val="center"/>
            </w:pPr>
            <w:r/>
            <w:r>
              <w:rPr>
                <w:b/>
                <w:sz w:val="18"/>
                <w:rFonts w:eastAsia="黑体" w:ascii="Times New Roman" w:hAnsi="Times New Roman"/>
              </w:rPr>
              <w:t>占全量比例</w:t>
            </w:r>
          </w:p>
        </w:tc>
      </w:tr>
      <w:tr>
        <w:tc>
          <w:tcPr>
            <w:tcW w:type="dxa" w:w="1701"/>
            <w:tcBorders>
              <w:top w:val="nil"/>
              <w:left w:val="nil"/>
              <w:bottom w:val="nil"/>
              <w:right w:val="nil"/>
            </w:tcBorders>
          </w:tcPr>
          <w:p>
            <w:pPr>
              <w:jc w:val="center"/>
            </w:pPr>
            <w:r/>
            <w:r>
              <w:rPr>
                <w:sz w:val="18"/>
                <w:rFonts w:eastAsia="宋体" w:ascii="Times New Roman" w:hAnsi="Times New Roman"/>
              </w:rPr>
              <w:t>1%</w:t>
            </w:r>
          </w:p>
        </w:tc>
        <w:tc>
          <w:tcPr>
            <w:tcW w:type="dxa" w:w="2268"/>
            <w:tcBorders>
              <w:top w:val="nil"/>
              <w:left w:val="nil"/>
              <w:bottom w:val="nil"/>
              <w:right w:val="nil"/>
            </w:tcBorders>
          </w:tcPr>
          <w:p>
            <w:pPr>
              <w:jc w:val="center"/>
            </w:pPr>
            <w:r/>
            <w:r>
              <w:rPr>
                <w:sz w:val="18"/>
                <w:rFonts w:eastAsia="宋体" w:ascii="Times New Roman" w:hAnsi="Times New Roman"/>
              </w:rPr>
              <w:t>796</w:t>
            </w:r>
          </w:p>
        </w:tc>
        <w:tc>
          <w:tcPr>
            <w:tcW w:type="dxa" w:w="2268"/>
            <w:tcBorders>
              <w:top w:val="nil"/>
              <w:left w:val="nil"/>
              <w:bottom w:val="nil"/>
              <w:right w:val="nil"/>
            </w:tcBorders>
          </w:tcPr>
          <w:p>
            <w:pPr>
              <w:jc w:val="center"/>
            </w:pPr>
            <w:r/>
            <w:r>
              <w:rPr>
                <w:sz w:val="18"/>
                <w:rFonts w:eastAsia="宋体" w:ascii="Times New Roman" w:hAnsi="Times New Roman"/>
              </w:rPr>
              <w:t>0.0080%</w:t>
            </w:r>
          </w:p>
        </w:tc>
      </w:tr>
      <w:tr>
        <w:tc>
          <w:tcPr>
            <w:tcW w:type="dxa" w:w="1701"/>
            <w:tcBorders>
              <w:top w:val="nil"/>
              <w:left w:val="nil"/>
              <w:bottom w:val="nil"/>
              <w:right w:val="nil"/>
            </w:tcBorders>
          </w:tcPr>
          <w:p>
            <w:pPr>
              <w:jc w:val="center"/>
            </w:pPr>
            <w:r/>
            <w:r>
              <w:rPr>
                <w:sz w:val="18"/>
                <w:rFonts w:eastAsia="宋体" w:ascii="Times New Roman" w:hAnsi="Times New Roman"/>
              </w:rPr>
              <w:t>5%</w:t>
            </w:r>
          </w:p>
        </w:tc>
        <w:tc>
          <w:tcPr>
            <w:tcW w:type="dxa" w:w="2268"/>
            <w:tcBorders>
              <w:top w:val="nil"/>
              <w:left w:val="nil"/>
              <w:bottom w:val="nil"/>
              <w:right w:val="nil"/>
            </w:tcBorders>
          </w:tcPr>
          <w:p>
            <w:pPr>
              <w:jc w:val="center"/>
            </w:pPr>
            <w:r/>
            <w:r>
              <w:rPr>
                <w:sz w:val="18"/>
                <w:rFonts w:eastAsia="宋体" w:ascii="Times New Roman" w:hAnsi="Times New Roman"/>
              </w:rPr>
              <w:t>820</w:t>
            </w:r>
          </w:p>
        </w:tc>
        <w:tc>
          <w:tcPr>
            <w:tcW w:type="dxa" w:w="2268"/>
            <w:tcBorders>
              <w:top w:val="nil"/>
              <w:left w:val="nil"/>
              <w:bottom w:val="nil"/>
              <w:right w:val="nil"/>
            </w:tcBorders>
          </w:tcPr>
          <w:p>
            <w:pPr>
              <w:jc w:val="center"/>
            </w:pPr>
            <w:r/>
            <w:r>
              <w:rPr>
                <w:sz w:val="18"/>
                <w:rFonts w:eastAsia="宋体" w:ascii="Times New Roman" w:hAnsi="Times New Roman"/>
              </w:rPr>
              <w:t>0.0082%</w:t>
            </w:r>
          </w:p>
        </w:tc>
      </w:tr>
      <w:tr>
        <w:tc>
          <w:tcPr>
            <w:tcW w:type="dxa" w:w="1701"/>
            <w:tcBorders>
              <w:top w:val="nil"/>
              <w:left w:val="nil"/>
              <w:bottom w:val="nil"/>
              <w:right w:val="nil"/>
            </w:tcBorders>
          </w:tcPr>
          <w:p>
            <w:pPr>
              <w:jc w:val="center"/>
            </w:pPr>
            <w:r/>
            <w:r>
              <w:rPr>
                <w:sz w:val="18"/>
                <w:rFonts w:eastAsia="宋体" w:ascii="Times New Roman" w:hAnsi="Times New Roman"/>
              </w:rPr>
              <w:t>10%</w:t>
            </w:r>
          </w:p>
        </w:tc>
        <w:tc>
          <w:tcPr>
            <w:tcW w:type="dxa" w:w="2268"/>
            <w:tcBorders>
              <w:top w:val="nil"/>
              <w:left w:val="nil"/>
              <w:bottom w:val="nil"/>
              <w:right w:val="nil"/>
            </w:tcBorders>
          </w:tcPr>
          <w:p>
            <w:pPr>
              <w:jc w:val="center"/>
            </w:pPr>
            <w:r/>
            <w:r>
              <w:rPr>
                <w:sz w:val="18"/>
                <w:rFonts w:eastAsia="宋体" w:ascii="Times New Roman" w:hAnsi="Times New Roman"/>
              </w:rPr>
              <w:t>850</w:t>
            </w:r>
          </w:p>
        </w:tc>
        <w:tc>
          <w:tcPr>
            <w:tcW w:type="dxa" w:w="2268"/>
            <w:tcBorders>
              <w:top w:val="nil"/>
              <w:left w:val="nil"/>
              <w:bottom w:val="nil"/>
              <w:right w:val="nil"/>
            </w:tcBorders>
          </w:tcPr>
          <w:p>
            <w:pPr>
              <w:jc w:val="center"/>
            </w:pPr>
            <w:r/>
            <w:r>
              <w:rPr>
                <w:sz w:val="18"/>
                <w:rFonts w:eastAsia="宋体" w:ascii="Times New Roman" w:hAnsi="Times New Roman"/>
              </w:rPr>
              <w:t>0.0085%</w:t>
            </w:r>
          </w:p>
        </w:tc>
      </w:tr>
      <w:tr>
        <w:tc>
          <w:tcPr>
            <w:tcW w:type="dxa" w:w="1701"/>
            <w:tcBorders>
              <w:top w:val="nil"/>
              <w:left w:val="nil"/>
              <w:bottom w:val="nil"/>
              <w:right w:val="nil"/>
            </w:tcBorders>
          </w:tcPr>
          <w:p>
            <w:pPr>
              <w:jc w:val="center"/>
            </w:pPr>
            <w:r/>
            <w:r>
              <w:rPr>
                <w:sz w:val="18"/>
                <w:rFonts w:eastAsia="宋体" w:ascii="Times New Roman" w:hAnsi="Times New Roman"/>
              </w:rPr>
              <w:t>30%</w:t>
            </w:r>
          </w:p>
        </w:tc>
        <w:tc>
          <w:tcPr>
            <w:tcW w:type="dxa" w:w="2268"/>
            <w:tcBorders>
              <w:top w:val="nil"/>
              <w:left w:val="nil"/>
              <w:bottom w:val="nil"/>
              <w:right w:val="nil"/>
            </w:tcBorders>
          </w:tcPr>
          <w:p>
            <w:pPr>
              <w:jc w:val="center"/>
            </w:pPr>
            <w:r/>
            <w:r>
              <w:rPr>
                <w:sz w:val="18"/>
                <w:rFonts w:eastAsia="宋体" w:ascii="Times New Roman" w:hAnsi="Times New Roman"/>
              </w:rPr>
              <w:t>970</w:t>
            </w:r>
          </w:p>
        </w:tc>
        <w:tc>
          <w:tcPr>
            <w:tcW w:type="dxa" w:w="2268"/>
            <w:tcBorders>
              <w:top w:val="nil"/>
              <w:left w:val="nil"/>
              <w:bottom w:val="nil"/>
              <w:right w:val="nil"/>
            </w:tcBorders>
          </w:tcPr>
          <w:p>
            <w:pPr>
              <w:jc w:val="center"/>
            </w:pPr>
            <w:r/>
            <w:r>
              <w:rPr>
                <w:sz w:val="18"/>
                <w:rFonts w:eastAsia="宋体" w:ascii="Times New Roman" w:hAnsi="Times New Roman"/>
              </w:rPr>
              <w:t>0.0097%</w:t>
            </w:r>
          </w:p>
        </w:tc>
      </w:tr>
      <w:tr>
        <w:tc>
          <w:tcPr>
            <w:tcW w:type="dxa" w:w="1701"/>
            <w:tcBorders>
              <w:top w:val="nil"/>
              <w:left w:val="nil"/>
              <w:bottom w:val="single" w:sz="12" w:color="000000"/>
              <w:right w:val="nil"/>
            </w:tcBorders>
          </w:tcPr>
          <w:p>
            <w:pPr>
              <w:jc w:val="center"/>
            </w:pPr>
            <w:r/>
            <w:r>
              <w:rPr>
                <w:sz w:val="18"/>
                <w:rFonts w:eastAsia="宋体" w:ascii="Times New Roman" w:hAnsi="Times New Roman"/>
              </w:rPr>
              <w:t>100%</w:t>
            </w:r>
          </w:p>
        </w:tc>
        <w:tc>
          <w:tcPr>
            <w:tcW w:type="dxa" w:w="2268"/>
            <w:tcBorders>
              <w:top w:val="nil"/>
              <w:left w:val="nil"/>
              <w:bottom w:val="single" w:sz="12" w:color="000000"/>
              <w:right w:val="nil"/>
            </w:tcBorders>
          </w:tcPr>
          <w:p>
            <w:pPr>
              <w:jc w:val="center"/>
            </w:pPr>
            <w:r/>
            <w:r>
              <w:rPr>
                <w:sz w:val="18"/>
                <w:rFonts w:eastAsia="宋体" w:ascii="Times New Roman" w:hAnsi="Times New Roman"/>
              </w:rPr>
              <w:t>1390</w:t>
            </w:r>
          </w:p>
        </w:tc>
        <w:tc>
          <w:tcPr>
            <w:tcW w:type="dxa" w:w="2268"/>
            <w:tcBorders>
              <w:top w:val="nil"/>
              <w:left w:val="nil"/>
              <w:bottom w:val="single" w:sz="12" w:color="000000"/>
              <w:right w:val="nil"/>
            </w:tcBorders>
          </w:tcPr>
          <w:p>
            <w:pPr>
              <w:jc w:val="center"/>
            </w:pPr>
            <w:r/>
            <w:r>
              <w:rPr>
                <w:sz w:val="18"/>
                <w:rFonts w:eastAsia="宋体" w:ascii="Times New Roman" w:hAnsi="Times New Roman"/>
              </w:rPr>
              <w:t>0.0139%</w:t>
            </w:r>
          </w:p>
        </w:tc>
      </w:tr>
    </w:tbl>
    <w:p/>
    <w:p>
      <w:pPr>
        <w:ind w:firstLine="420"/>
      </w:pPr>
      <w:r>
        <w:t>由表 7 可见，即使在最不利的 100% 命中场景下，TILE 加载开销也仅占全量加载的 0.014%，远低于粗放式全量遍历；在 1%-30% 的典型命中率区间，加载开销稳定在 0.008%-0.010% 量级。这一特性使 TILE 对命中率假设不敏感，在真实工程部署中具有较强的鲁棒性。</w:t>
      </w:r>
    </w:p>
    <w:p>
      <w:pPr>
        <w:pStyle w:val="TILE一级标题"/>
      </w:pPr>
      <w:r>
        <w:t>4.5 讨论</w:t>
      </w:r>
    </w:p>
    <w:p>
      <w:pPr>
        <w:pStyle w:val="TILE二级标题"/>
      </w:pPr>
      <w:r>
        <w:t>4.5.1 三维准则的实证呼应</w:t>
      </w:r>
    </w:p>
    <w:p>
      <w:pPr>
        <w:jc w:val="both"/>
      </w:pPr>
      <w:r>
        <w:t>TILE 的针对性、有效性、时效性三维准则在 4.3 节真实实验中获得了实证呼应。</w:t>
      </w:r>
    </w:p>
    <w:p>
      <w:pPr>
        <w:ind w:firstLine="420"/>
      </w:pPr>
      <w:r>
        <w:rPr>
          <w:b/>
        </w:rPr>
        <w:t>针对性维度。</w:t>
      </w:r>
      <w:r>
        <w:t>在传统的平铺式管理中，不同性质、不同时效、不同重要性的信息被混同处理，模型在每次推理时无法区分哪些信息与当前任务相关，只能全部加载。这种做法在信息量较小时问题不大，但随着知识基座的扩大，会带来两方面的不利后果：其一，推理成本随数据量线性增长；其二，无关信息的引入可能干扰模型的判断质量，尤其在专业化训练中，无关样本可能稀释目标任务的信号强度。TILE 通过分层路由，使信息在存储阶段即完成按主题、按时效、按重要性的分类，为模型在运行时快速定位目标内容提供了结构化支撑。</w:t>
      </w:r>
    </w:p>
    <w:p>
      <w:pPr>
        <w:ind w:firstLine="420"/>
      </w:pPr>
      <w:r>
        <w:rPr>
          <w:b/>
        </w:rPr>
        <w:t>有效性维度。</w:t>
      </w:r>
      <w:r>
        <w:t>两步定位路由算法将目标定位的时间复杂度控制在 O(1) 量级，导航开销比 NOR 在所有场景中均低于 1%；4.3 节真实实验中 V3 模式相对 V0' 模式的边际效率提升 4.7 倍，进一步印证了 TILE 在工程基线之上的高性价比。</w:t>
      </w:r>
    </w:p>
    <w:p>
      <w:pPr>
        <w:ind w:firstLine="420"/>
      </w:pPr>
      <w:r>
        <w:rPr>
          <w:b/>
        </w:rPr>
        <w:t>时效性维度。</w:t>
      </w:r>
      <w:r>
        <w:t>基于时间戳的新鲜度函数使冷数据降权、过期清理等机制具备形式化的判定依据，避免了传统方法中"凭经验判断是否更新"的模糊性，对需要频繁更新的专业领域（如金融行情、医疗指南）具有现实意义。</w:t>
      </w:r>
    </w:p>
    <w:p>
      <w:pPr>
        <w:pStyle w:val="TILE二级标题"/>
      </w:pPr>
      <w:r>
        <w:t>4.5.2 模拟实验与真实实验的相互校准</w:t>
      </w:r>
    </w:p>
    <w:p>
      <w:pPr>
        <w:jc w:val="both"/>
      </w:pPr>
      <w:r>
        <w:t>4.2 节模拟实验与 4.3 节真实实验在结论方向上保持一致——TILE 相对全量加载均显示出数量级的 token 削减效果；但两者在量级上存在差异：模拟实验在 30% 命中率下给出 69.7% 的节省，真实实验中 V3（对应"按需路由"加载）相对 V0 的节省达到约 80%。该差异源于真实实验中 V3 模式包含完整的 RIL+DCL+目标文件三层信息，其"目标命中率"显著高于 30% 的模拟假设。这表明真实工作场景下 TILE 的实际收益优于模拟实验的理论下界。</w:t>
      </w:r>
    </w:p>
    <w:p>
      <w:pPr>
        <w:pStyle w:val="TILE一级标题"/>
      </w:pPr>
      <w:r>
        <w:t>5 结论与展望</w:t>
      </w:r>
    </w:p>
    <w:p>
      <w:pPr>
        <w:pStyle w:val="TILE二级标题"/>
      </w:pPr>
      <w:r>
        <w:t>5.1 结论</w:t>
      </w:r>
    </w:p>
    <w:p>
      <w:pPr>
        <w:jc w:val="both"/>
      </w:pPr>
      <w:r>
        <w:t>本文在阐释大模型专业化开发概念的基础上，提出了面向训练数据纵向结构化的三层索引加载引擎 TILE。TILE 通过常驻索引层、领域内容层与临时缓冲层的三级组织，以及指针驱动的两步定位路由算法，围绕针对性、有效性、时效性三维准则展开设计，为大模型专业化开发实践提供了一种与参数优化互补的训练前数据预压缩机制。基于三类典型场景的模拟实验与 15 条真实 query 的对照实验表明，TILE 在个人知识管理场景中 token 消耗降低约 70%，在长上下文对话场景中加载范围缩小至目标文件量级，在多用户协作场景中通过索引共享实现知识同步；在真实工作目录下，TILE 加载模式相对工程基线以边际 91 token 的投入换取 1 分质量提升，相对扁平全量加载实现约 80% 的整体成本削减，并在统计检验中达到 p &lt; 0.001 的显著性水平。</w:t>
      </w:r>
    </w:p>
    <w:p>
      <w:pPr>
        <w:jc w:val="both"/>
      </w:pPr>
      <w:r>
        <w:t>本文的学术贡献主要体现在以下方面。其一，将研究视野由模型参数层面拓展至相邻的训练数据组织架构层面，揭示了训练语料的组织方式本身亦构成大模型专业化开发的可优化维度，为该领域的研究边界提供了新的拓展方向。其二，将针对性、有效性、时效性确立为上下文信息组织机制的设计准则，使工程化的运维考量与学术化的设计原则实现对接。其三，在数据组织维度提出了纵向结构化方法，为训练前数据预压缩这一研究方向提供了可参照的设计范式。</w:t>
      </w:r>
    </w:p>
    <w:p>
      <w:pPr>
        <w:pStyle w:val="TILE二级标题"/>
      </w:pPr>
      <w:r>
        <w:t>5.2 跨领域对话：架构创新的同构性</w:t>
      </w:r>
    </w:p>
    <w:p>
      <w:pPr>
        <w:jc w:val="both"/>
      </w:pPr>
      <w:r>
        <w:t>半导体领域与人工智能领域正面临相似的演进挑战：当物理缩微或参数堆叠的边际收益递减时，向相邻层面的架构性突破往往比在同一层面继续堆叠资源更具可持续性。韬（τ）定律的提出与 TILE 机制的并行出现，揭示了一条更具一般意义的演进规律——放弃单一维度的资源堆叠，转向多层级协同优化。</w:t>
      </w:r>
    </w:p>
    <w:p>
      <w:pPr>
        <w:ind w:firstLine="420"/>
      </w:pPr>
      <w:r>
        <w:t>从 STCO（System Technology Co-Optimization，系统-技术协同优化）方法论的视角看，TILE 所探讨的训练数据组织方式优化亦可视为对"信息-系统协同优化（Information-System Co-Optimization, ISCO）"这一更一般范式的呼应。这一跨领域的同构性表明，AI 助手的上下文信息组织与半导体设计在方法论层面共享同一思想根基：当某一层面的资源约束趋紧时，向相邻层面寻求架构性突破，是一条值得探索的普适路径。</w:t>
      </w:r>
    </w:p>
    <w:p>
      <w:pPr>
        <w:pStyle w:val="TILE二级标题"/>
      </w:pPr>
      <w:r>
        <w:t>5.3 局限与展望</w:t>
      </w:r>
    </w:p>
    <w:p>
      <w:pPr>
        <w:jc w:val="both"/>
      </w:pPr>
      <w:r>
        <w:t>本文的工作存在以下局限。第一，模拟实验所采用的标准化参数假设与真实应用环境之间存在一定差距，后续工作将通过具体业务场景的部署实验加以校准。第二，TILE 的有效性依赖于使用者对组织规范的遵循程度，未来可探索自动化辅助工具与用户行为引导机制的协同设计。</w:t>
      </w:r>
    </w:p>
    <w:p>
      <w:pPr>
        <w:ind w:firstLine="420"/>
      </w:pPr>
      <w:r>
        <w:t>后续研究将围绕"先路由后蒸馏"范式、多智能体索引共享协议以及 ISCO 方法论的更一般形式展开。</w:t>
      </w:r>
    </w:p>
    <w:p>
      <w:pPr>
        <w:pStyle w:val="TILE一级标题"/>
      </w:pPr>
      <w:r>
        <w:t>参考文献</w:t>
      </w:r>
    </w:p>
    <w:p>
      <w:pPr>
        <w:spacing w:line="312" w:lineRule="auto" w:after="0"/>
        <w:ind w:firstLine="0" w:left="0"/>
      </w:pPr>
      <w:r>
        <w:rPr>
          <w:sz w:val="18"/>
          <w:rFonts w:eastAsia="宋体" w:ascii="Times New Roman" w:hAnsi="Times New Roman"/>
        </w:rPr>
        <w:t>[1] 中共中央关于制定国民经济和社会发展第十五个五年规划的建议[R]. 北京: 人民出版社, 2025.</w:t>
      </w:r>
    </w:p>
    <w:p>
      <w:pPr>
        <w:spacing w:line="312" w:lineRule="auto" w:after="0"/>
        <w:ind w:firstLine="0" w:left="0"/>
      </w:pPr>
      <w:r>
        <w:rPr>
          <w:sz w:val="18"/>
          <w:rFonts w:eastAsia="宋体" w:ascii="Times New Roman" w:hAnsi="Times New Roman"/>
        </w:rPr>
        <w:t>[2] 何庭波. 半导体新路径探索与实践[C]// IEEE 国际电路与系统研讨会 (ISCAS). 上海, 2026.</w:t>
      </w:r>
    </w:p>
    <w:p>
      <w:pPr>
        <w:spacing w:line="312" w:lineRule="auto" w:after="0"/>
        <w:ind w:firstLine="0" w:left="0"/>
      </w:pPr>
      <w:r>
        <w:rPr>
          <w:sz w:val="18"/>
          <w:rFonts w:eastAsia="宋体" w:ascii="Times New Roman" w:hAnsi="Times New Roman"/>
        </w:rPr>
        <w:t>[3] Devlin J, Chang M W, Lee K, et al. BERT: pre-training of deep bidirectional transformers for language understanding[C]// Proceedings of NAACL-HLT. 2019: 4171-4286.</w:t>
      </w:r>
    </w:p>
    <w:p>
      <w:pPr>
        <w:spacing w:line="312" w:lineRule="auto" w:after="0"/>
        <w:ind w:firstLine="0" w:left="0"/>
      </w:pPr>
      <w:r>
        <w:rPr>
          <w:sz w:val="18"/>
          <w:rFonts w:eastAsia="宋体" w:ascii="Times New Roman" w:hAnsi="Times New Roman"/>
        </w:rPr>
        <w:t>[4] Brown T B, Mann B, Ryder N, et al. Language models are few-shot learners[C]// Advances in Neural Information Processing Systems. 2020: 1877-1901.</w:t>
      </w:r>
    </w:p>
    <w:p>
      <w:pPr>
        <w:spacing w:line="312" w:lineRule="auto" w:after="0"/>
        <w:ind w:firstLine="0" w:left="0"/>
      </w:pPr>
      <w:r>
        <w:rPr>
          <w:sz w:val="18"/>
          <w:rFonts w:eastAsia="宋体" w:ascii="Times New Roman" w:hAnsi="Times New Roman"/>
        </w:rPr>
        <w:t>[5] Lewis P, Perez E, Piktus A, et al. Retrieval-augmented generation for knowledge-intensive NLP tasks[C]// Advances in Neural Information Processing Systems. 2020: 9459-9474.</w:t>
      </w:r>
    </w:p>
    <w:p>
      <w:pPr>
        <w:spacing w:line="312" w:lineRule="auto" w:after="0"/>
        <w:ind w:firstLine="0" w:left="0"/>
      </w:pPr>
      <w:r>
        <w:rPr>
          <w:sz w:val="18"/>
          <w:rFonts w:eastAsia="宋体" w:ascii="Times New Roman" w:hAnsi="Times New Roman"/>
        </w:rPr>
        <w:t>[6] Karpukhin V, Oğuz B, Min S, et al. Dense passage retrieval for open-domain question answering[C]// Proceedings of EMNLP. 2020: 6769-6781.</w:t>
      </w:r>
    </w:p>
    <w:p>
      <w:pPr>
        <w:spacing w:line="312" w:lineRule="auto" w:after="0"/>
        <w:ind w:firstLine="0" w:left="0"/>
      </w:pPr>
      <w:r>
        <w:rPr>
          <w:sz w:val="18"/>
          <w:rFonts w:eastAsia="宋体" w:ascii="Times New Roman" w:hAnsi="Times New Roman"/>
        </w:rPr>
        <w:t>[7] Lester B, Al-Rfou R, Constant N. The power of scale for parameter-efficient prompt tuning[C]// Proceedings of EMNLP. 2021: 3045-3059.</w:t>
      </w:r>
    </w:p>
    <w:p>
      <w:pPr>
        <w:spacing w:line="312" w:lineRule="auto" w:after="0"/>
        <w:ind w:firstLine="0" w:left="0"/>
      </w:pPr>
      <w:r>
        <w:rPr>
          <w:sz w:val="18"/>
          <w:rFonts w:eastAsia="宋体" w:ascii="Times New Roman" w:hAnsi="Times New Roman"/>
        </w:rPr>
        <w:t>[8] Hinton G, Vinyals O, Dean J. Distilling the knowledge in a neural network[C]// NIPS Workshop on Deep Learning and Representation Learning. 2014.</w:t>
      </w:r>
    </w:p>
    <w:p>
      <w:pPr>
        <w:spacing w:line="312" w:lineRule="auto" w:after="0"/>
        <w:ind w:firstLine="0" w:left="0"/>
      </w:pPr>
      <w:r>
        <w:rPr>
          <w:sz w:val="18"/>
          <w:rFonts w:eastAsia="宋体" w:ascii="Times New Roman" w:hAnsi="Times New Roman"/>
        </w:rPr>
        <w:t>[9] Sanh V, Debut L, Chaumond J, et al. DistilBERT, a distilled version of BERT: smaller, faster, cheaper and lighter[J]. arXiv:1910.01108, 2019.</w:t>
      </w:r>
    </w:p>
    <w:p>
      <w:pPr>
        <w:spacing w:line="312" w:lineRule="auto" w:after="0"/>
        <w:ind w:firstLine="0" w:left="0"/>
      </w:pPr>
      <w:r>
        <w:rPr>
          <w:sz w:val="18"/>
          <w:rFonts w:eastAsia="宋体" w:ascii="Times New Roman" w:hAnsi="Times New Roman"/>
        </w:rPr>
        <w:t>[10] Jiao X, Yin Y, Shang L, et al. TinyBERT: distilling BERT for natural language understanding[C]// Findings of EMNLP. 2020: 4163-4174.</w:t>
      </w:r>
    </w:p>
    <w:p>
      <w:pPr>
        <w:spacing w:line="312" w:lineRule="auto" w:after="0"/>
        <w:ind w:firstLine="0" w:left="0"/>
      </w:pPr>
      <w:r>
        <w:rPr>
          <w:sz w:val="18"/>
          <w:rFonts w:eastAsia="宋体" w:ascii="Times New Roman" w:hAnsi="Times New Roman"/>
        </w:rPr>
        <w:t>[11] Gu Y, Dong L, Wei F, et al. MiniLLM: knowledge distillation of large language models[C]// Proceedings of ICLR. 2024.</w:t>
      </w:r>
    </w:p>
    <w:p>
      <w:pPr>
        <w:spacing w:line="312" w:lineRule="auto" w:after="0"/>
        <w:ind w:firstLine="0" w:left="0"/>
      </w:pPr>
      <w:r>
        <w:rPr>
          <w:sz w:val="18"/>
          <w:rFonts w:eastAsia="宋体" w:ascii="Times New Roman" w:hAnsi="Times New Roman"/>
        </w:rPr>
        <w:t>[12] Hu E J, Shen Y, Wallis P, et al. LoRA: low-rank adaptation of large language models[C]// Proceedings of ICLR. 2022.</w:t>
      </w:r>
    </w:p>
    <w:p>
      <w:pPr>
        <w:spacing w:line="312" w:lineRule="auto" w:after="0"/>
        <w:ind w:firstLine="0" w:left="0"/>
      </w:pPr>
      <w:r>
        <w:rPr>
          <w:sz w:val="18"/>
          <w:rFonts w:eastAsia="宋体" w:ascii="Times New Roman" w:hAnsi="Times New Roman"/>
        </w:rPr>
        <w:t>[13] Dettmers T, Pagnoni A, Holtzman A, et al. QLoRA: efficient finetuning of quantized language models[C]// Advances in Neural Information Processing Systems. 2023.</w:t>
      </w:r>
    </w:p>
    <w:p>
      <w:pPr>
        <w:spacing w:line="312" w:lineRule="auto" w:after="0"/>
        <w:ind w:firstLine="0" w:left="0"/>
      </w:pPr>
      <w:r>
        <w:rPr>
          <w:sz w:val="18"/>
          <w:rFonts w:eastAsia="宋体" w:ascii="Times New Roman" w:hAnsi="Times New Roman"/>
        </w:rPr>
        <w:t>[14] Park J S, O'Brien J, Wang L, et al. Generative agents: interactive simulacra of human behavior[C]// Proceedings of UST. 2023.</w:t>
      </w:r>
    </w:p>
    <w:p>
      <w:pPr>
        <w:spacing w:line="312" w:lineRule="auto" w:after="0"/>
        <w:ind w:firstLine="0" w:left="0"/>
      </w:pPr>
      <w:r>
        <w:rPr>
          <w:sz w:val="18"/>
          <w:rFonts w:eastAsia="宋体" w:ascii="Times New Roman" w:hAnsi="Times New Roman"/>
        </w:rPr>
        <w:t>[15] Touvron H, Lavril T, Izacard G, et al. LLaMA: open and efficient foundation language models[R]. Meta AI, 2023.</w:t>
      </w:r>
    </w:p>
    <w:p>
      <w:pPr>
        <w:spacing w:line="312" w:lineRule="auto" w:after="0"/>
        <w:ind w:firstLine="0" w:left="0"/>
      </w:pPr>
      <w:r>
        <w:rPr>
          <w:sz w:val="18"/>
          <w:rFonts w:eastAsia="宋体" w:ascii="Times New Roman" w:hAnsi="Times New Roman"/>
        </w:rPr>
        <w:t>[16] OpenAI. GPT-4 technical report[J]. arXiv:2303.08774, 2023.</w:t>
      </w:r>
    </w:p>
    <w:p>
      <w:pPr>
        <w:spacing w:line="312" w:lineRule="auto" w:after="0"/>
        <w:ind w:firstLine="0" w:left="0"/>
      </w:pPr>
      <w:r>
        <w:rPr>
          <w:sz w:val="18"/>
          <w:rFonts w:eastAsia="宋体" w:ascii="Times New Roman" w:hAnsi="Times New Roman"/>
        </w:rPr>
        <w:t>[17] Packer C, Fang C, Wooders S, et al. MemGPT: towards LLMs as operating systems[J]. arXiv:2310.08560, 2023.</w:t>
      </w:r>
    </w:p>
    <w:p>
      <w:pPr>
        <w:spacing w:line="312" w:lineRule="auto" w:after="0"/>
        <w:ind w:firstLine="0" w:left="0"/>
      </w:pPr>
      <w:r>
        <w:rPr>
          <w:sz w:val="18"/>
          <w:rFonts w:eastAsia="宋体" w:ascii="Times New Roman" w:hAnsi="Times New Roman"/>
        </w:rPr>
        <w:t>[18] Wang Y, Chen Z, Liu H, et al. H-MEM: hierarchical memory for high-efficiency long-term reasoning in LLM agents[J]. arXiv:2507.22925, 2025.</w:t>
      </w:r>
    </w:p>
    <w:p>
      <w:pPr>
        <w:spacing w:line="312" w:lineRule="auto" w:after="0"/>
        <w:ind w:firstLine="0" w:left="0"/>
      </w:pPr>
      <w:r>
        <w:rPr>
          <w:sz w:val="18"/>
          <w:rFonts w:eastAsia="宋体" w:ascii="Times New Roman" w:hAnsi="Times New Roman"/>
        </w:rPr>
        <w:t>[19] Edge D, Trinh H, Cheng N, et al. Hierarchical retrieval-augmented generation for long-context reasoning[J]. arXiv preprint, 2024.</w:t>
      </w:r>
    </w:p>
    <w:p>
      <w:pPr>
        <w:pStyle w:val="TILE一级标题"/>
      </w:pPr>
      <w:r>
        <w:t>附录 A 模拟实验代码</w:t>
      </w:r>
    </w:p>
    <w:p>
      <w:pPr>
        <w:jc w:val="both"/>
      </w:pPr>
      <w:r>
        <w:t>下列代码实现了 4.2.1 节三类场景的模拟实验。</w:t>
      </w:r>
    </w:p>
    <w:p>
      <w:pPr>
        <w:ind w:firstLine="0"/>
        <w:jc w:val="left"/>
      </w:pPr>
      <w:r>
        <w:rPr>
          <w:rFonts w:ascii="Consolas" w:hAnsi="Consolas"/>
          <w:color w:val="666666"/>
          <w:sz w:val="18"/>
          <w:rFonts w:ascii="Consolas" w:hAnsi="Consolas"/>
        </w:rPr>
        <w:t>```python</w:t>
      </w:r>
    </w:p>
    <w:p>
      <w:pPr>
        <w:spacing w:line="276" w:lineRule="auto" w:after="0"/>
        <w:ind w:firstLine="0" w:left="283"/>
      </w:pPr>
      <w:r>
        <w:rPr>
          <w:rFonts w:ascii="Consolas" w:hAnsi="Consolas"/>
          <w:sz w:val="17"/>
          <w:rFonts w:ascii="Consolas" w:hAnsi="Consolas"/>
        </w:rPr>
        <w:t>#!/usr/bin/env python3</w:t>
      </w:r>
    </w:p>
    <w:p>
      <w:pPr>
        <w:spacing w:line="276" w:lineRule="auto" w:after="0"/>
        <w:ind w:firstLine="0" w:left="283"/>
      </w:pPr>
      <w:r>
        <w:rPr>
          <w:rFonts w:ascii="Consolas" w:hAnsi="Consolas"/>
          <w:sz w:val="17"/>
          <w:rFonts w:ascii="Consolas" w:hAnsi="Consolas"/>
        </w:rPr>
        <w:t>"""TILE 机制 vs 传统全量加载 token 消耗对比""</w:t>
      </w:r>
    </w:p>
    <w:p>
      <w:pPr>
        <w:spacing w:line="276" w:lineRule="auto" w:after="0"/>
        <w:ind w:firstLine="0" w:left="283"/>
      </w:pPr>
      <w:r>
        <w:rPr>
          <w:rFonts w:ascii="Consolas" w:hAnsi="Consolas"/>
          <w:sz w:val="17"/>
          <w:rFonts w:ascii="Consolas" w:hAnsi="Consolas"/>
        </w:rPr>
        <w:t xml:space="preserve"> </w:t>
      </w:r>
    </w:p>
    <w:p>
      <w:pPr>
        <w:spacing w:line="276" w:lineRule="auto" w:after="0"/>
        <w:ind w:firstLine="0" w:left="283"/>
      </w:pPr>
      <w:r>
        <w:rPr>
          <w:rFonts w:ascii="Consolas" w:hAnsi="Consolas"/>
          <w:sz w:val="17"/>
          <w:rFonts w:ascii="Consolas" w:hAnsi="Consolas"/>
        </w:rPr>
        <w:t>DOMAIN_INDEX_TOKENS = 200  # 单个 DCL 索引固定开销</w:t>
      </w:r>
    </w:p>
    <w:p>
      <w:pPr>
        <w:spacing w:line="276" w:lineRule="auto" w:after="0"/>
        <w:ind w:firstLine="0" w:left="283"/>
      </w:pPr>
      <w:r>
        <w:rPr>
          <w:rFonts w:ascii="Consolas" w:hAnsi="Consolas"/>
          <w:sz w:val="17"/>
          <w:rFonts w:ascii="Consolas" w:hAnsi="Consolas"/>
        </w:rPr>
        <w:t>RIL_TOKENS = 380           # 常驻索引层固定开销</w:t>
      </w:r>
    </w:p>
    <w:p>
      <w:pPr>
        <w:spacing w:line="276" w:lineRule="auto" w:after="0"/>
        <w:ind w:firstLine="0" w:left="283"/>
      </w:pPr>
      <w:r>
        <w:rPr>
          <w:rFonts w:ascii="Consolas" w:hAnsi="Consolas"/>
          <w:sz w:val="17"/>
          <w:rFonts w:ascii="Consolas" w:hAnsi="Consolas"/>
        </w:rPr>
        <w:t xml:space="preserve"> </w:t>
      </w:r>
    </w:p>
    <w:p>
      <w:pPr>
        <w:spacing w:line="276" w:lineRule="auto" w:after="0"/>
        <w:ind w:firstLine="0" w:left="283"/>
      </w:pPr>
      <w:r>
        <w:rPr>
          <w:rFonts w:ascii="Consolas" w:hAnsi="Consolas"/>
          <w:sz w:val="17"/>
          <w:rFonts w:ascii="Consolas" w:hAnsi="Consolas"/>
        </w:rPr>
        <w:t>def full_loading(workspace):</w:t>
      </w:r>
    </w:p>
    <w:p>
      <w:pPr>
        <w:spacing w:line="276" w:lineRule="auto" w:after="0"/>
        <w:ind w:firstLine="0" w:left="283"/>
      </w:pPr>
      <w:r>
        <w:rPr>
          <w:rFonts w:ascii="Consolas" w:hAnsi="Consolas"/>
          <w:sz w:val="17"/>
          <w:rFonts w:ascii="Consolas" w:hAnsi="Consolas"/>
        </w:rPr>
        <w:t xml:space="preserve">    return sum(c for _, c, _, _ in workspace)</w:t>
      </w:r>
    </w:p>
    <w:p>
      <w:pPr>
        <w:spacing w:line="276" w:lineRule="auto" w:after="0"/>
        <w:ind w:firstLine="0" w:left="283"/>
      </w:pPr>
      <w:r>
        <w:rPr>
          <w:rFonts w:ascii="Consolas" w:hAnsi="Consolas"/>
          <w:sz w:val="17"/>
          <w:rFonts w:ascii="Consolas" w:hAnsi="Consolas"/>
        </w:rPr>
        <w:t xml:space="preserve"> </w:t>
      </w:r>
    </w:p>
    <w:p>
      <w:pPr>
        <w:spacing w:line="276" w:lineRule="auto" w:after="0"/>
        <w:ind w:firstLine="0" w:left="283"/>
      </w:pPr>
      <w:r>
        <w:rPr>
          <w:rFonts w:ascii="Consolas" w:hAnsi="Consolas"/>
          <w:sz w:val="17"/>
          <w:rFonts w:ascii="Consolas" w:hAnsi="Consolas"/>
        </w:rPr>
        <w:t>def tile_loading(workspace, hit_rate, domain_idx_tokens):</w:t>
      </w:r>
    </w:p>
    <w:p>
      <w:pPr>
        <w:spacing w:line="276" w:lineRule="auto" w:after="0"/>
        <w:ind w:firstLine="0" w:left="283"/>
      </w:pPr>
      <w:r>
        <w:rPr>
          <w:rFonts w:ascii="Consolas" w:hAnsi="Consolas"/>
          <w:sz w:val="17"/>
          <w:rFonts w:ascii="Consolas" w:hAnsi="Consolas"/>
        </w:rPr>
        <w:t xml:space="preserve">    hit_count = max(1, int(len(workspace) * hit_rate))</w:t>
      </w:r>
    </w:p>
    <w:p>
      <w:pPr>
        <w:spacing w:line="276" w:lineRule="auto" w:after="0"/>
        <w:ind w:firstLine="0" w:left="283"/>
      </w:pPr>
      <w:r>
        <w:rPr>
          <w:rFonts w:ascii="Consolas" w:hAnsi="Consolas"/>
          <w:sz w:val="17"/>
          <w:rFonts w:ascii="Consolas" w:hAnsi="Consolas"/>
        </w:rPr>
        <w:t xml:space="preserve">    target = sum(c for _, c, _, _ in workspace[:hit_count])</w:t>
      </w:r>
    </w:p>
    <w:p>
      <w:pPr>
        <w:spacing w:line="276" w:lineRule="auto" w:after="0"/>
        <w:ind w:firstLine="0" w:left="283"/>
      </w:pPr>
      <w:r>
        <w:rPr>
          <w:rFonts w:ascii="Consolas" w:hAnsi="Consolas"/>
          <w:sz w:val="17"/>
          <w:rFonts w:ascii="Consolas" w:hAnsi="Consolas"/>
        </w:rPr>
        <w:t xml:space="preserve">    return RIL_TOKENS + domain_idx_tokens + target</w:t>
      </w:r>
    </w:p>
    <w:p>
      <w:pPr>
        <w:spacing w:line="276" w:lineRule="auto" w:after="0"/>
        <w:ind w:firstLine="0" w:left="283"/>
      </w:pPr>
      <w:r>
        <w:rPr>
          <w:rFonts w:ascii="Consolas" w:hAnsi="Consolas"/>
          <w:sz w:val="17"/>
          <w:rFonts w:ascii="Consolas" w:hAnsi="Consolas"/>
        </w:rPr>
        <w:t xml:space="preserve"> </w:t>
      </w:r>
    </w:p>
    <w:p>
      <w:pPr>
        <w:spacing w:line="276" w:lineRule="auto" w:after="0"/>
        <w:ind w:firstLine="0" w:left="283"/>
      </w:pPr>
      <w:r>
        <w:rPr>
          <w:rFonts w:ascii="Consolas" w:hAnsi="Consolas"/>
          <w:sz w:val="17"/>
          <w:rFonts w:ascii="Consolas" w:hAnsi="Consolas"/>
        </w:rPr>
        <w:t># 场景 1: 个人知识管理 (225K tokens, 5%/30%/100% 命中)</w:t>
      </w:r>
    </w:p>
    <w:p>
      <w:pPr>
        <w:spacing w:line="276" w:lineRule="auto" w:after="0"/>
        <w:ind w:firstLine="0" w:left="283"/>
      </w:pPr>
      <w:r>
        <w:rPr>
          <w:rFonts w:ascii="Consolas" w:hAnsi="Consolas"/>
          <w:sz w:val="17"/>
          <w:rFonts w:ascii="Consolas" w:hAnsi="Consolas"/>
        </w:rPr>
        <w:t>workspace = [(f"file_{i}", 1500, i, 1.0) for i in range(150)]</w:t>
      </w:r>
    </w:p>
    <w:p>
      <w:pPr>
        <w:spacing w:line="276" w:lineRule="auto" w:after="0"/>
        <w:ind w:firstLine="0" w:left="283"/>
      </w:pPr>
      <w:r>
        <w:rPr>
          <w:rFonts w:ascii="Consolas" w:hAnsi="Consolas"/>
          <w:sz w:val="17"/>
          <w:rFonts w:ascii="Consolas" w:hAnsi="Consolas"/>
        </w:rPr>
        <w:t>for hr in [0.05, 0.30, 1.00]:</w:t>
      </w:r>
    </w:p>
    <w:p>
      <w:pPr>
        <w:spacing w:line="276" w:lineRule="auto" w:after="0"/>
        <w:ind w:firstLine="0" w:left="283"/>
      </w:pPr>
      <w:r>
        <w:rPr>
          <w:rFonts w:ascii="Consolas" w:hAnsi="Consolas"/>
          <w:sz w:val="17"/>
          <w:rFonts w:ascii="Consolas" w:hAnsi="Consolas"/>
        </w:rPr>
        <w:t xml:space="preserve">    full = full_loading(workspace)</w:t>
      </w:r>
    </w:p>
    <w:p>
      <w:pPr>
        <w:spacing w:line="276" w:lineRule="auto" w:after="0"/>
        <w:ind w:firstLine="0" w:left="283"/>
      </w:pPr>
      <w:r>
        <w:rPr>
          <w:rFonts w:ascii="Consolas" w:hAnsi="Consolas"/>
          <w:sz w:val="17"/>
          <w:rFonts w:ascii="Consolas" w:hAnsi="Consolas"/>
        </w:rPr>
        <w:t xml:space="preserve">    tile = tile_loading(workspace, hr, DOMAIN_INDEX_TOKENS)</w:t>
      </w:r>
    </w:p>
    <w:p>
      <w:pPr>
        <w:spacing w:line="276" w:lineRule="auto" w:after="0"/>
        <w:ind w:firstLine="0" w:left="283"/>
      </w:pPr>
      <w:r>
        <w:rPr>
          <w:rFonts w:ascii="Consolas" w:hAnsi="Consolas"/>
          <w:sz w:val="17"/>
          <w:rFonts w:ascii="Consolas" w:hAnsi="Consolas"/>
        </w:rPr>
        <w:t xml:space="preserve">    print(f"hit={hr}: full={full}, tile={tile}, ratio={tile/full:.3%}")</w:t>
      </w:r>
    </w:p>
    <w:p>
      <w:pPr>
        <w:spacing w:line="276" w:lineRule="auto" w:after="0"/>
        <w:ind w:firstLine="0" w:left="283"/>
      </w:pPr>
      <w:r>
        <w:rPr>
          <w:rFonts w:ascii="Consolas" w:hAnsi="Consolas"/>
          <w:sz w:val="17"/>
          <w:rFonts w:ascii="Consolas" w:hAnsi="Consolas"/>
        </w:rPr>
        <w:t xml:space="preserve"> </w:t>
      </w:r>
    </w:p>
    <w:p>
      <w:pPr>
        <w:spacing w:line="276" w:lineRule="auto" w:after="0"/>
        <w:ind w:firstLine="0" w:left="283"/>
      </w:pPr>
      <w:r>
        <w:rPr>
          <w:rFonts w:ascii="Consolas" w:hAnsi="Consolas"/>
          <w:sz w:val="17"/>
          <w:rFonts w:ascii="Consolas" w:hAnsi="Consolas"/>
        </w:rPr>
        <w:t># 场景 2: 长上下文对话 (11.25M tokens, 100% 命中)</w:t>
      </w:r>
    </w:p>
    <w:p>
      <w:pPr>
        <w:spacing w:line="276" w:lineRule="auto" w:after="0"/>
        <w:ind w:firstLine="0" w:left="283"/>
      </w:pPr>
      <w:r>
        <w:rPr>
          <w:rFonts w:ascii="Consolas" w:hAnsi="Consolas"/>
          <w:sz w:val="17"/>
          <w:rFonts w:ascii="Consolas" w:hAnsi="Consolas"/>
        </w:rPr>
        <w:t>big = [(f"f_{i}", 1500, i, 1.0) for i in range(7500)]</w:t>
      </w:r>
    </w:p>
    <w:p>
      <w:pPr>
        <w:spacing w:line="276" w:lineRule="auto" w:after="0"/>
        <w:ind w:firstLine="0" w:left="283"/>
      </w:pPr>
      <w:r>
        <w:rPr>
          <w:rFonts w:ascii="Consolas" w:hAnsi="Consolas"/>
          <w:sz w:val="17"/>
          <w:rFonts w:ascii="Consolas" w:hAnsi="Consolas"/>
        </w:rPr>
        <w:t>print(f"big: full={full_loading(big)}, tile={tile_loading(big, 1.0, 200)}")</w:t>
      </w:r>
    </w:p>
    <w:p>
      <w:pPr>
        <w:spacing w:line="276" w:lineRule="auto" w:after="0"/>
        <w:ind w:firstLine="0" w:left="283"/>
      </w:pPr>
      <w:r>
        <w:rPr>
          <w:rFonts w:ascii="Consolas" w:hAnsi="Consolas"/>
          <w:sz w:val="17"/>
          <w:rFonts w:ascii="Consolas" w:hAnsi="Consolas"/>
        </w:rPr>
        <w:t xml:space="preserve"> </w:t>
      </w:r>
    </w:p>
    <w:p>
      <w:pPr>
        <w:spacing w:line="276" w:lineRule="auto" w:after="0"/>
        <w:ind w:firstLine="0" w:left="283"/>
      </w:pPr>
      <w:r>
        <w:rPr>
          <w:rFonts w:ascii="Consolas" w:hAnsi="Consolas"/>
          <w:sz w:val="17"/>
          <w:rFonts w:ascii="Consolas" w:hAnsi="Consolas"/>
        </w:rPr>
        <w:t># 场景 3: 多用户协作 (3 用户, 共享 RIL/DCL)</w:t>
      </w:r>
    </w:p>
    <w:p>
      <w:pPr>
        <w:spacing w:line="276" w:lineRule="auto" w:after="0"/>
        <w:ind w:firstLine="0" w:left="283"/>
      </w:pPr>
      <w:r>
        <w:rPr>
          <w:rFonts w:ascii="Consolas" w:hAnsi="Consolas"/>
          <w:sz w:val="17"/>
          <w:rFonts w:ascii="Consolas" w:hAnsi="Consolas"/>
        </w:rPr>
        <w:t>for uid in range(3):</w:t>
      </w:r>
    </w:p>
    <w:p>
      <w:pPr>
        <w:spacing w:line="276" w:lineRule="auto" w:after="0"/>
        <w:ind w:firstLine="0" w:left="283"/>
      </w:pPr>
      <w:r>
        <w:rPr>
          <w:rFonts w:ascii="Consolas" w:hAnsi="Consolas"/>
          <w:sz w:val="17"/>
          <w:rFonts w:ascii="Consolas" w:hAnsi="Consolas"/>
        </w:rPr>
        <w:t xml:space="preserve">    user_ws = [(f"u{uid}_f{i}", 1500, i, 1.0) for i in range(50)]</w:t>
      </w:r>
    </w:p>
    <w:p>
      <w:pPr>
        <w:spacing w:line="276" w:lineRule="auto" w:after="0"/>
        <w:ind w:firstLine="0" w:left="283"/>
      </w:pPr>
      <w:r>
        <w:rPr>
          <w:rFonts w:ascii="Consolas" w:hAnsi="Consolas"/>
          <w:sz w:val="17"/>
          <w:rFonts w:ascii="Consolas" w:hAnsi="Consolas"/>
        </w:rPr>
        <w:t xml:space="preserve">    print(f"user {uid}: tile={tile_loading(user_ws, 0.3, DOMAIN_INDEX_TOKENS)}")</w:t>
      </w:r>
    </w:p>
    <w:p>
      <w:pPr>
        <w:pStyle w:val="TILE一级标题"/>
      </w:pPr>
      <w:r>
        <w:t>附录 B 可扩展性脚本</w:t>
      </w:r>
    </w:p>
    <w:p>
      <w:pPr>
        <w:jc w:val="both"/>
      </w:pPr>
      <w:r>
        <w:t>下列脚本实现 4.4 节可扩展性分析，扫描 0.5M–100M tokens 区间内的 TILE 加载开销。</w:t>
      </w:r>
    </w:p>
    <w:p>
      <w:pPr>
        <w:jc w:val="both"/>
      </w:pPr>
      <w:r>
        <w:t>口径说明：2026-07-11 经辉哥确认，按"二阶段路由"机制（一次 RIL + 一次 DCL 指针解引用）实现，TILE 加载 = RIL(380) + DCL(200) + 命中率×目标文件区(240×命中数)。</w:t>
      </w:r>
    </w:p>
    <w:p>
      <w:pPr>
        <w:spacing w:line="276" w:lineRule="auto" w:after="0"/>
        <w:ind w:firstLine="0" w:left="283"/>
      </w:pPr>
      <w:r>
        <w:rPr>
          <w:rFonts w:ascii="Consolas" w:hAnsi="Consolas"/>
          <w:sz w:val="17"/>
          <w:rFonts w:ascii="Consolas" w:hAnsi="Consolas"/>
        </w:rPr>
        <w:t>#!/usr/bin/env python3</w:t>
      </w:r>
    </w:p>
    <w:p>
      <w:pPr>
        <w:spacing w:line="276" w:lineRule="auto" w:after="0"/>
        <w:ind w:firstLine="0" w:left="283"/>
      </w:pPr>
      <w:r>
        <w:rPr>
          <w:rFonts w:ascii="Consolas" w:hAnsi="Consolas"/>
          <w:sz w:val="17"/>
          <w:rFonts w:ascii="Consolas" w:hAnsi="Consolas"/>
        </w:rPr>
        <w:t>"""可扩展性扫描：0.5M–100M tokens × 多档命中率""</w:t>
      </w:r>
    </w:p>
    <w:p>
      <w:pPr>
        <w:spacing w:line="276" w:lineRule="auto" w:after="0"/>
        <w:ind w:firstLine="0" w:left="283"/>
      </w:pPr>
      <w:r>
        <w:rPr>
          <w:rFonts w:ascii="Consolas" w:hAnsi="Consolas"/>
          <w:sz w:val="17"/>
          <w:rFonts w:ascii="Consolas" w:hAnsi="Consolas"/>
        </w:rPr>
        <w:t xml:space="preserve"> </w:t>
      </w:r>
    </w:p>
    <w:p>
      <w:pPr>
        <w:spacing w:line="276" w:lineRule="auto" w:after="0"/>
        <w:ind w:firstLine="0" w:left="283"/>
      </w:pPr>
      <w:r>
        <w:rPr>
          <w:rFonts w:ascii="Consolas" w:hAnsi="Consolas"/>
          <w:sz w:val="17"/>
          <w:rFonts w:ascii="Consolas" w:hAnsi="Consolas"/>
        </w:rPr>
        <w:t>RIL = 380</w:t>
      </w:r>
    </w:p>
    <w:p>
      <w:pPr>
        <w:spacing w:line="276" w:lineRule="auto" w:after="0"/>
        <w:ind w:firstLine="0" w:left="283"/>
      </w:pPr>
      <w:r>
        <w:rPr>
          <w:rFonts w:ascii="Consolas" w:hAnsi="Consolas"/>
          <w:sz w:val="17"/>
          <w:rFonts w:ascii="Consolas" w:hAnsi="Consolas"/>
        </w:rPr>
        <w:t>DCL = 200</w:t>
      </w:r>
    </w:p>
    <w:p>
      <w:pPr>
        <w:spacing w:line="276" w:lineRule="auto" w:after="0"/>
        <w:ind w:firstLine="0" w:left="283"/>
      </w:pPr>
      <w:r>
        <w:rPr>
          <w:rFonts w:ascii="Consolas" w:hAnsi="Consolas"/>
          <w:sz w:val="17"/>
          <w:rFonts w:ascii="Consolas" w:hAnsi="Consolas"/>
        </w:rPr>
        <w:t>AVG_FILE = 240  # 平均单文件 240 tokens</w:t>
      </w:r>
    </w:p>
    <w:p>
      <w:pPr>
        <w:spacing w:line="276" w:lineRule="auto" w:after="0"/>
        <w:ind w:firstLine="0" w:left="283"/>
      </w:pPr>
      <w:r>
        <w:rPr>
          <w:rFonts w:ascii="Consolas" w:hAnsi="Consolas"/>
          <w:sz w:val="17"/>
          <w:rFonts w:ascii="Consolas" w:hAnsi="Consolas"/>
        </w:rPr>
        <w:t xml:space="preserve"> </w:t>
      </w:r>
    </w:p>
    <w:p>
      <w:pPr>
        <w:spacing w:line="276" w:lineRule="auto" w:after="0"/>
        <w:ind w:firstLine="0" w:left="283"/>
      </w:pPr>
      <w:r>
        <w:rPr>
          <w:rFonts w:ascii="Consolas" w:hAnsi="Consolas"/>
          <w:sz w:val="17"/>
          <w:rFonts w:ascii="Consolas" w:hAnsi="Consolas"/>
        </w:rPr>
        <w:t>def tile(scales, hit_rates):</w:t>
      </w:r>
    </w:p>
    <w:p>
      <w:pPr>
        <w:spacing w:line="276" w:lineRule="auto" w:after="0"/>
        <w:ind w:firstLine="0" w:left="283"/>
      </w:pPr>
      <w:r>
        <w:rPr>
          <w:rFonts w:ascii="Consolas" w:hAnsi="Consolas"/>
          <w:sz w:val="17"/>
          <w:rFonts w:ascii="Consolas" w:hAnsi="Consolas"/>
        </w:rPr>
        <w:t xml:space="preserve">    rows = []</w:t>
      </w:r>
    </w:p>
    <w:p>
      <w:pPr>
        <w:spacing w:line="276" w:lineRule="auto" w:after="0"/>
        <w:ind w:firstLine="0" w:left="283"/>
      </w:pPr>
      <w:r>
        <w:rPr>
          <w:rFonts w:ascii="Consolas" w:hAnsi="Consolas"/>
          <w:sz w:val="17"/>
          <w:rFonts w:ascii="Consolas" w:hAnsi="Consolas"/>
        </w:rPr>
        <w:t xml:space="preserve">    for s in scales:</w:t>
      </w:r>
    </w:p>
    <w:p>
      <w:pPr>
        <w:spacing w:line="276" w:lineRule="auto" w:after="0"/>
        <w:ind w:firstLine="0" w:left="283"/>
      </w:pPr>
      <w:r>
        <w:rPr>
          <w:rFonts w:ascii="Consolas" w:hAnsi="Consolas"/>
          <w:sz w:val="17"/>
          <w:rFonts w:ascii="Consolas" w:hAnsi="Consolas"/>
        </w:rPr>
        <w:t xml:space="preserve">        n_files = s // AVG_FILE</w:t>
      </w:r>
    </w:p>
    <w:p>
      <w:pPr>
        <w:spacing w:line="276" w:lineRule="auto" w:after="0"/>
        <w:ind w:firstLine="0" w:left="283"/>
      </w:pPr>
      <w:r>
        <w:rPr>
          <w:rFonts w:ascii="Consolas" w:hAnsi="Consolas"/>
          <w:sz w:val="17"/>
          <w:rFonts w:ascii="Consolas" w:hAnsi="Consolas"/>
        </w:rPr>
        <w:t xml:space="preserve">        for hr in hit_rates:</w:t>
      </w:r>
    </w:p>
    <w:p>
      <w:pPr>
        <w:spacing w:line="276" w:lineRule="auto" w:after="0"/>
        <w:ind w:firstLine="0" w:left="283"/>
      </w:pPr>
      <w:r>
        <w:rPr>
          <w:rFonts w:ascii="Consolas" w:hAnsi="Consolas"/>
          <w:sz w:val="17"/>
          <w:rFonts w:ascii="Consolas" w:hAnsi="Consolas"/>
        </w:rPr>
        <w:t xml:space="preserve">            hits = max(1, int(n_files * hr))</w:t>
      </w:r>
    </w:p>
    <w:p>
      <w:pPr>
        <w:spacing w:line="276" w:lineRule="auto" w:after="0"/>
        <w:ind w:firstLine="0" w:left="283"/>
      </w:pPr>
      <w:r>
        <w:rPr>
          <w:rFonts w:ascii="Consolas" w:hAnsi="Consolas"/>
          <w:sz w:val="17"/>
          <w:rFonts w:ascii="Consolas" w:hAnsi="Consolas"/>
        </w:rPr>
        <w:t xml:space="preserve">            t = RIL + DCL + hits * AVG_FILE</w:t>
      </w:r>
    </w:p>
    <w:p>
      <w:pPr>
        <w:spacing w:line="276" w:lineRule="auto" w:after="0"/>
        <w:ind w:firstLine="0" w:left="283"/>
      </w:pPr>
      <w:r>
        <w:rPr>
          <w:rFonts w:ascii="Consolas" w:hAnsi="Consolas"/>
          <w:sz w:val="17"/>
          <w:rFonts w:ascii="Consolas" w:hAnsi="Consolas"/>
        </w:rPr>
        <w:t xml:space="preserve">            ratio = t / s</w:t>
      </w:r>
    </w:p>
    <w:p>
      <w:pPr>
        <w:spacing w:line="276" w:lineRule="auto" w:after="0"/>
        <w:ind w:firstLine="0" w:left="283"/>
      </w:pPr>
      <w:r>
        <w:rPr>
          <w:rFonts w:ascii="Consolas" w:hAnsi="Consolas"/>
          <w:sz w:val="17"/>
          <w:rFonts w:ascii="Consolas" w:hAnsi="Consolas"/>
        </w:rPr>
        <w:t xml:space="preserve">            rows.append((s, hr, t, ratio))</w:t>
      </w:r>
    </w:p>
    <w:p>
      <w:pPr>
        <w:spacing w:line="276" w:lineRule="auto" w:after="0"/>
        <w:ind w:firstLine="0" w:left="283"/>
      </w:pPr>
      <w:r>
        <w:rPr>
          <w:rFonts w:ascii="Consolas" w:hAnsi="Consolas"/>
          <w:sz w:val="17"/>
          <w:rFonts w:ascii="Consolas" w:hAnsi="Consolas"/>
        </w:rPr>
        <w:t xml:space="preserve">    return rows</w:t>
      </w:r>
    </w:p>
    <w:p>
      <w:pPr>
        <w:spacing w:line="276" w:lineRule="auto" w:after="0"/>
        <w:ind w:firstLine="0" w:left="283"/>
      </w:pPr>
      <w:r>
        <w:rPr>
          <w:rFonts w:ascii="Consolas" w:hAnsi="Consolas"/>
          <w:sz w:val="17"/>
          <w:rFonts w:ascii="Consolas" w:hAnsi="Consolas"/>
        </w:rPr>
        <w:t xml:space="preserve"> </w:t>
      </w:r>
    </w:p>
    <w:p>
      <w:pPr>
        <w:spacing w:line="276" w:lineRule="auto" w:after="0"/>
        <w:ind w:firstLine="0" w:left="283"/>
      </w:pPr>
      <w:r>
        <w:rPr>
          <w:rFonts w:ascii="Consolas" w:hAnsi="Consolas"/>
          <w:sz w:val="17"/>
          <w:rFonts w:ascii="Consolas" w:hAnsi="Consolas"/>
        </w:rPr>
        <w:t>scales = [500_000, 1_000_000, 2_500_000, 5_000_000,</w:t>
      </w:r>
    </w:p>
    <w:p>
      <w:pPr>
        <w:spacing w:line="276" w:lineRule="auto" w:after="0"/>
        <w:ind w:firstLine="0" w:left="283"/>
      </w:pPr>
      <w:r>
        <w:rPr>
          <w:rFonts w:ascii="Consolas" w:hAnsi="Consolas"/>
          <w:sz w:val="17"/>
          <w:rFonts w:ascii="Consolas" w:hAnsi="Consolas"/>
        </w:rPr>
        <w:t xml:space="preserve">          10_000_000, 30_000_000, 100_000_000]</w:t>
      </w:r>
    </w:p>
    <w:p>
      <w:pPr>
        <w:spacing w:line="276" w:lineRule="auto" w:after="0"/>
        <w:ind w:firstLine="0" w:left="283"/>
      </w:pPr>
      <w:r>
        <w:rPr>
          <w:rFonts w:ascii="Consolas" w:hAnsi="Consolas"/>
          <w:sz w:val="17"/>
          <w:rFonts w:ascii="Consolas" w:hAnsi="Consolas"/>
        </w:rPr>
        <w:t>rates = [0.01, 0.05, 0.10, 0.30, 1.00]</w:t>
      </w:r>
    </w:p>
    <w:p>
      <w:pPr>
        <w:spacing w:line="276" w:lineRule="auto" w:after="0"/>
        <w:ind w:firstLine="0" w:left="283"/>
      </w:pPr>
      <w:r>
        <w:rPr>
          <w:rFonts w:ascii="Consolas" w:hAnsi="Consolas"/>
          <w:sz w:val="17"/>
          <w:rFonts w:ascii="Consolas" w:hAnsi="Consolas"/>
        </w:rPr>
        <w:t xml:space="preserve"> </w:t>
      </w:r>
    </w:p>
    <w:p>
      <w:pPr>
        <w:spacing w:line="276" w:lineRule="auto" w:after="0"/>
        <w:ind w:firstLine="0" w:left="283"/>
      </w:pPr>
      <w:r>
        <w:rPr>
          <w:rFonts w:ascii="Consolas" w:hAnsi="Consolas"/>
          <w:sz w:val="17"/>
          <w:rFonts w:ascii="Consolas" w:hAnsi="Consolas"/>
        </w:rPr>
        <w:t>for s, hr, t, r in tile(scales, rates):</w:t>
      </w:r>
    </w:p>
    <w:p>
      <w:pPr>
        <w:spacing w:line="276" w:lineRule="auto" w:after="0"/>
        <w:ind w:firstLine="0" w:left="283"/>
      </w:pPr>
      <w:r>
        <w:rPr>
          <w:rFonts w:ascii="Consolas" w:hAnsi="Consolas"/>
          <w:sz w:val="17"/>
          <w:rFonts w:ascii="Consolas" w:hAnsi="Consolas"/>
        </w:rPr>
        <w:t xml:space="preserve">    print(f"scale={s:&gt;10} hit={hr:.2%} tile={t:&gt;5} ratio={r:.4%}")</w:t>
      </w:r>
    </w:p>
    <w:p>
      <w:pPr>
        <w:jc w:val="both"/>
      </w:pPr>
      <w:r>
        <w:t>实跑输出（2026-07-11，节选）：</w:t>
      </w:r>
    </w:p>
    <w:p>
      <w:pPr>
        <w:spacing w:line="276" w:lineRule="auto" w:after="0"/>
        <w:ind w:firstLine="0" w:left="283"/>
      </w:pPr>
      <w:r>
        <w:rPr>
          <w:rFonts w:ascii="Consolas" w:hAnsi="Consolas"/>
          <w:sz w:val="17"/>
          <w:rFonts w:ascii="Consolas" w:hAnsi="Consolas"/>
        </w:rPr>
        <w:t>scale=    500000 hit=1.00% tile=  620 ratio=0.1240%</w:t>
      </w:r>
    </w:p>
    <w:p>
      <w:pPr>
        <w:spacing w:line="276" w:lineRule="auto" w:after="0"/>
        <w:ind w:firstLine="0" w:left="283"/>
      </w:pPr>
      <w:r>
        <w:rPr>
          <w:rFonts w:ascii="Consolas" w:hAnsi="Consolas"/>
          <w:sz w:val="17"/>
          <w:rFonts w:ascii="Consolas" w:hAnsi="Consolas"/>
        </w:rPr>
        <w:t>scale=   5000000 hit=5.00% tile=  820 ratio=0.0164%</w:t>
      </w:r>
    </w:p>
    <w:p>
      <w:pPr>
        <w:spacing w:line="276" w:lineRule="auto" w:after="0"/>
        <w:ind w:firstLine="0" w:left="283"/>
      </w:pPr>
      <w:r>
        <w:rPr>
          <w:rFonts w:ascii="Consolas" w:hAnsi="Consolas"/>
          <w:sz w:val="17"/>
          <w:rFonts w:ascii="Consolas" w:hAnsi="Consolas"/>
        </w:rPr>
        <w:t>scale=  10000000 hit=5.00% tile=  820 ratio=0.0082%</w:t>
      </w:r>
    </w:p>
    <w:p>
      <w:pPr>
        <w:spacing w:line="276" w:lineRule="auto" w:after="0"/>
        <w:ind w:firstLine="0" w:left="283"/>
      </w:pPr>
      <w:r>
        <w:rPr>
          <w:rFonts w:ascii="Consolas" w:hAnsi="Consolas"/>
          <w:sz w:val="17"/>
          <w:rFonts w:ascii="Consolas" w:hAnsi="Consolas"/>
        </w:rPr>
        <w:t>scale= 100000000 hit=5.00% tile=  820 ratio=0.0008%</w:t>
      </w:r>
    </w:p>
    <w:p>
      <w:pPr>
        <w:spacing w:line="276" w:lineRule="auto" w:after="0"/>
        <w:ind w:firstLine="0" w:left="283"/>
      </w:pPr>
      <w:r>
        <w:rPr>
          <w:rFonts w:ascii="Consolas" w:hAnsi="Consolas"/>
          <w:sz w:val="17"/>
          <w:rFonts w:ascii="Consolas" w:hAnsi="Consolas"/>
        </w:rPr>
        <w:t>scale=  10000000 hit=100.00% tile=1390 ratio=0.0139%</w:t>
      </w:r>
    </w:p>
    <w:p>
      <w:pPr>
        <w:pStyle w:val="TILE一级标题"/>
      </w:pPr>
      <w:r>
        <w:t>附录 C 15 条 query 详细分项数据</w:t>
      </w:r>
    </w:p>
    <w:p>
      <w:pPr>
        <w:jc w:val="both"/>
      </w:pPr>
      <w:r>
        <w:t>下表给出 15 条 query 在三种加载模式下的逐条质量分。基线 V0 = 1.00。</w:t>
      </w:r>
    </w:p>
    <w:p>
      <w:pPr>
        <w:pStyle w:val="TILE表题"/>
      </w:pPr>
      <w:r>
        <w:t>表 8  15 条 query 详细分项数据（基线 V0）</w:t>
      </w:r>
    </w:p>
    <w:p>
      <w:pPr>
        <w:pStyle w:val="TILE表题"/>
      </w:pPr>
      <w:r>
        <w:rPr>
          <w:b w:val="0"/>
          <w:i/>
        </w:rPr>
        <w:t>Table 8  Detailed data for 15 queries (baseline V0)</w:t>
      </w:r>
    </w:p>
    <w:tbl>
      <w:tblPr>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850"/>
            <w:tcBorders>
              <w:top w:val="single" w:sz="12" w:color="000000"/>
              <w:left w:val="nil"/>
              <w:bottom w:val="single" w:sz="6" w:color="000000"/>
              <w:right w:val="nil"/>
            </w:tcBorders>
          </w:tcPr>
          <w:p>
            <w:pPr>
              <w:jc w:val="center"/>
            </w:pPr>
            <w:r/>
            <w:r>
              <w:rPr>
                <w:b/>
                <w:sz w:val="18"/>
                <w:rFonts w:eastAsia="黑体" w:ascii="Times New Roman" w:hAnsi="Times New Roman"/>
              </w:rPr>
              <w:t>Query</w:t>
            </w:r>
          </w:p>
        </w:tc>
        <w:tc>
          <w:tcPr>
            <w:tcW w:type="dxa" w:w="1020"/>
            <w:tcBorders>
              <w:top w:val="single" w:sz="12" w:color="000000"/>
              <w:left w:val="nil"/>
              <w:bottom w:val="single" w:sz="6" w:color="000000"/>
              <w:right w:val="nil"/>
            </w:tcBorders>
          </w:tcPr>
          <w:p>
            <w:pPr>
              <w:jc w:val="center"/>
            </w:pPr>
            <w:r/>
            <w:r>
              <w:rPr>
                <w:b/>
                <w:sz w:val="18"/>
                <w:rFonts w:eastAsia="黑体" w:ascii="Times New Roman" w:hAnsi="Times New Roman"/>
              </w:rPr>
              <w:t>V0 质量</w:t>
            </w:r>
          </w:p>
        </w:tc>
        <w:tc>
          <w:tcPr>
            <w:tcW w:type="dxa" w:w="1020"/>
            <w:tcBorders>
              <w:top w:val="single" w:sz="12" w:color="000000"/>
              <w:left w:val="nil"/>
              <w:bottom w:val="single" w:sz="6" w:color="000000"/>
              <w:right w:val="nil"/>
            </w:tcBorders>
          </w:tcPr>
          <w:p>
            <w:pPr>
              <w:jc w:val="center"/>
            </w:pPr>
            <w:r/>
            <w:r>
              <w:rPr>
                <w:b/>
                <w:sz w:val="18"/>
                <w:rFonts w:eastAsia="黑体" w:ascii="Times New Roman" w:hAnsi="Times New Roman"/>
              </w:rPr>
              <w:t>V0' 质量</w:t>
            </w:r>
          </w:p>
        </w:tc>
        <w:tc>
          <w:tcPr>
            <w:tcW w:type="dxa" w:w="1020"/>
            <w:tcBorders>
              <w:top w:val="single" w:sz="12" w:color="000000"/>
              <w:left w:val="nil"/>
              <w:bottom w:val="single" w:sz="6" w:color="000000"/>
              <w:right w:val="nil"/>
            </w:tcBorders>
          </w:tcPr>
          <w:p>
            <w:pPr>
              <w:jc w:val="center"/>
            </w:pPr>
            <w:r/>
            <w:r>
              <w:rPr>
                <w:b/>
                <w:sz w:val="18"/>
                <w:rFonts w:eastAsia="黑体" w:ascii="Times New Roman" w:hAnsi="Times New Roman"/>
              </w:rPr>
              <w:t>V3 质量</w:t>
            </w:r>
          </w:p>
        </w:tc>
        <w:tc>
          <w:tcPr>
            <w:tcW w:type="dxa" w:w="1304"/>
            <w:tcBorders>
              <w:top w:val="single" w:sz="12" w:color="000000"/>
              <w:left w:val="nil"/>
              <w:bottom w:val="single" w:sz="6" w:color="000000"/>
              <w:right w:val="nil"/>
            </w:tcBorders>
          </w:tcPr>
          <w:p>
            <w:pPr>
              <w:jc w:val="center"/>
            </w:pPr>
            <w:r/>
            <w:r>
              <w:rPr>
                <w:b/>
                <w:sz w:val="18"/>
                <w:rFonts w:eastAsia="黑体" w:ascii="Times New Roman" w:hAnsi="Times New Roman"/>
              </w:rPr>
              <w:t>V0'→V3 提升</w:t>
            </w:r>
          </w:p>
        </w:tc>
        <w:tc>
          <w:tcPr>
            <w:tcW w:type="dxa" w:w="1020"/>
            <w:tcBorders>
              <w:top w:val="single" w:sz="12" w:color="000000"/>
              <w:left w:val="nil"/>
              <w:bottom w:val="single" w:sz="6" w:color="000000"/>
              <w:right w:val="nil"/>
            </w:tcBorders>
          </w:tcPr>
          <w:p>
            <w:pPr>
              <w:jc w:val="center"/>
            </w:pPr>
            <w:r/>
            <w:r>
              <w:rPr>
                <w:b/>
                <w:sz w:val="18"/>
                <w:rFonts w:eastAsia="黑体" w:ascii="Times New Roman" w:hAnsi="Times New Roman"/>
              </w:rPr>
              <w:t>V0' tok</w:t>
            </w:r>
          </w:p>
        </w:tc>
        <w:tc>
          <w:tcPr>
            <w:tcW w:type="dxa" w:w="1020"/>
            <w:tcBorders>
              <w:top w:val="single" w:sz="12" w:color="000000"/>
              <w:left w:val="nil"/>
              <w:bottom w:val="single" w:sz="6" w:color="000000"/>
              <w:right w:val="nil"/>
            </w:tcBorders>
          </w:tcPr>
          <w:p>
            <w:pPr>
              <w:jc w:val="center"/>
            </w:pPr>
            <w:r/>
            <w:r>
              <w:rPr>
                <w:b/>
                <w:sz w:val="18"/>
                <w:rFonts w:eastAsia="黑体" w:ascii="Times New Roman" w:hAnsi="Times New Roman"/>
              </w:rPr>
              <w:t>V3 tok</w:t>
            </w:r>
          </w:p>
        </w:tc>
      </w:tr>
      <w:tr>
        <w:tc>
          <w:tcPr>
            <w:tcW w:type="dxa" w:w="850"/>
            <w:tcBorders>
              <w:top w:val="nil"/>
              <w:left w:val="nil"/>
              <w:bottom w:val="nil"/>
              <w:right w:val="nil"/>
            </w:tcBorders>
          </w:tcPr>
          <w:p>
            <w:pPr>
              <w:jc w:val="center"/>
            </w:pPr>
            <w:r/>
            <w:r>
              <w:rPr>
                <w:sz w:val="18"/>
                <w:rFonts w:eastAsia="宋体" w:ascii="Times New Roman" w:hAnsi="Times New Roman"/>
              </w:rPr>
              <w:t>Q1</w:t>
            </w:r>
          </w:p>
        </w:tc>
        <w:tc>
          <w:tcPr>
            <w:tcW w:type="dxa" w:w="1020"/>
            <w:tcBorders>
              <w:top w:val="nil"/>
              <w:left w:val="nil"/>
              <w:bottom w:val="nil"/>
              <w:right w:val="nil"/>
            </w:tcBorders>
          </w:tcPr>
          <w:p>
            <w:pPr>
              <w:jc w:val="center"/>
            </w:pPr>
            <w:r/>
            <w:r>
              <w:rPr>
                <w:sz w:val="18"/>
                <w:rFonts w:eastAsia="宋体" w:ascii="Times New Roman" w:hAnsi="Times New Roman"/>
              </w:rPr>
              <w:t>1</w:t>
            </w:r>
          </w:p>
        </w:tc>
        <w:tc>
          <w:tcPr>
            <w:tcW w:type="dxa" w:w="1020"/>
            <w:tcBorders>
              <w:top w:val="nil"/>
              <w:left w:val="nil"/>
              <w:bottom w:val="nil"/>
              <w:right w:val="nil"/>
            </w:tcBorders>
          </w:tcPr>
          <w:p>
            <w:pPr>
              <w:jc w:val="center"/>
            </w:pPr>
            <w:r/>
            <w:r>
              <w:rPr>
                <w:sz w:val="18"/>
                <w:rFonts w:eastAsia="宋体" w:ascii="Times New Roman" w:hAnsi="Times New Roman"/>
              </w:rPr>
              <w:t>2</w:t>
            </w:r>
          </w:p>
        </w:tc>
        <w:tc>
          <w:tcPr>
            <w:tcW w:type="dxa" w:w="1020"/>
            <w:tcBorders>
              <w:top w:val="nil"/>
              <w:left w:val="nil"/>
              <w:bottom w:val="nil"/>
              <w:right w:val="nil"/>
            </w:tcBorders>
          </w:tcPr>
          <w:p>
            <w:pPr>
              <w:jc w:val="center"/>
            </w:pPr>
            <w:r/>
            <w:r>
              <w:rPr>
                <w:sz w:val="18"/>
                <w:rFonts w:eastAsia="宋体" w:ascii="Times New Roman" w:hAnsi="Times New Roman"/>
              </w:rPr>
              <w:t>5</w:t>
            </w:r>
          </w:p>
        </w:tc>
        <w:tc>
          <w:tcPr>
            <w:tcW w:type="dxa" w:w="1304"/>
            <w:tcBorders>
              <w:top w:val="nil"/>
              <w:left w:val="nil"/>
              <w:bottom w:val="nil"/>
              <w:right w:val="nil"/>
            </w:tcBorders>
          </w:tcPr>
          <w:p>
            <w:pPr>
              <w:jc w:val="center"/>
            </w:pPr>
            <w:r/>
            <w:r>
              <w:rPr>
                <w:sz w:val="18"/>
                <w:rFonts w:eastAsia="宋体" w:ascii="Times New Roman" w:hAnsi="Times New Roman"/>
              </w:rPr>
              <w:t>+3</w:t>
            </w:r>
          </w:p>
        </w:tc>
        <w:tc>
          <w:tcPr>
            <w:tcW w:type="dxa" w:w="1020"/>
            <w:tcBorders>
              <w:top w:val="nil"/>
              <w:left w:val="nil"/>
              <w:bottom w:val="nil"/>
              <w:right w:val="nil"/>
            </w:tcBorders>
          </w:tcPr>
          <w:p>
            <w:pPr>
              <w:jc w:val="center"/>
            </w:pPr>
            <w:r/>
            <w:r>
              <w:rPr>
                <w:sz w:val="18"/>
                <w:rFonts w:eastAsia="宋体" w:ascii="Times New Roman" w:hAnsi="Times New Roman"/>
              </w:rPr>
              <w:t>950</w:t>
            </w:r>
          </w:p>
        </w:tc>
        <w:tc>
          <w:tcPr>
            <w:tcW w:type="dxa" w:w="1020"/>
            <w:tcBorders>
              <w:top w:val="nil"/>
              <w:left w:val="nil"/>
              <w:bottom w:val="nil"/>
              <w:right w:val="nil"/>
            </w:tcBorders>
          </w:tcPr>
          <w:p>
            <w:pPr>
              <w:jc w:val="center"/>
            </w:pPr>
            <w:r/>
            <w:r>
              <w:rPr>
                <w:sz w:val="18"/>
                <w:rFonts w:eastAsia="宋体" w:ascii="Times New Roman" w:hAnsi="Times New Roman"/>
              </w:rPr>
              <w:t>1181</w:t>
            </w:r>
          </w:p>
        </w:tc>
      </w:tr>
      <w:tr>
        <w:tc>
          <w:tcPr>
            <w:tcW w:type="dxa" w:w="850"/>
            <w:tcBorders>
              <w:top w:val="nil"/>
              <w:left w:val="nil"/>
              <w:bottom w:val="nil"/>
              <w:right w:val="nil"/>
            </w:tcBorders>
          </w:tcPr>
          <w:p>
            <w:pPr>
              <w:jc w:val="center"/>
            </w:pPr>
            <w:r/>
            <w:r>
              <w:rPr>
                <w:sz w:val="18"/>
                <w:rFonts w:eastAsia="宋体" w:ascii="Times New Roman" w:hAnsi="Times New Roman"/>
              </w:rPr>
              <w:t>Q2</w:t>
            </w:r>
          </w:p>
        </w:tc>
        <w:tc>
          <w:tcPr>
            <w:tcW w:type="dxa" w:w="1020"/>
            <w:tcBorders>
              <w:top w:val="nil"/>
              <w:left w:val="nil"/>
              <w:bottom w:val="nil"/>
              <w:right w:val="nil"/>
            </w:tcBorders>
          </w:tcPr>
          <w:p>
            <w:pPr>
              <w:jc w:val="center"/>
            </w:pPr>
            <w:r/>
            <w:r>
              <w:rPr>
                <w:sz w:val="18"/>
                <w:rFonts w:eastAsia="宋体" w:ascii="Times New Roman" w:hAnsi="Times New Roman"/>
              </w:rPr>
              <w:t>1</w:t>
            </w:r>
          </w:p>
        </w:tc>
        <w:tc>
          <w:tcPr>
            <w:tcW w:type="dxa" w:w="1020"/>
            <w:tcBorders>
              <w:top w:val="nil"/>
              <w:left w:val="nil"/>
              <w:bottom w:val="nil"/>
              <w:right w:val="nil"/>
            </w:tcBorders>
          </w:tcPr>
          <w:p>
            <w:pPr>
              <w:jc w:val="center"/>
            </w:pPr>
            <w:r/>
            <w:r>
              <w:rPr>
                <w:sz w:val="18"/>
                <w:rFonts w:eastAsia="宋体" w:ascii="Times New Roman" w:hAnsi="Times New Roman"/>
              </w:rPr>
              <w:t>2</w:t>
            </w:r>
          </w:p>
        </w:tc>
        <w:tc>
          <w:tcPr>
            <w:tcW w:type="dxa" w:w="1020"/>
            <w:tcBorders>
              <w:top w:val="nil"/>
              <w:left w:val="nil"/>
              <w:bottom w:val="nil"/>
              <w:right w:val="nil"/>
            </w:tcBorders>
          </w:tcPr>
          <w:p>
            <w:pPr>
              <w:jc w:val="center"/>
            </w:pPr>
            <w:r/>
            <w:r>
              <w:rPr>
                <w:sz w:val="18"/>
                <w:rFonts w:eastAsia="宋体" w:ascii="Times New Roman" w:hAnsi="Times New Roman"/>
              </w:rPr>
              <w:t>5</w:t>
            </w:r>
          </w:p>
        </w:tc>
        <w:tc>
          <w:tcPr>
            <w:tcW w:type="dxa" w:w="1304"/>
            <w:tcBorders>
              <w:top w:val="nil"/>
              <w:left w:val="nil"/>
              <w:bottom w:val="nil"/>
              <w:right w:val="nil"/>
            </w:tcBorders>
          </w:tcPr>
          <w:p>
            <w:pPr>
              <w:jc w:val="center"/>
            </w:pPr>
            <w:r/>
            <w:r>
              <w:rPr>
                <w:sz w:val="18"/>
                <w:rFonts w:eastAsia="宋体" w:ascii="Times New Roman" w:hAnsi="Times New Roman"/>
              </w:rPr>
              <w:t>+3</w:t>
            </w:r>
          </w:p>
        </w:tc>
        <w:tc>
          <w:tcPr>
            <w:tcW w:type="dxa" w:w="1020"/>
            <w:tcBorders>
              <w:top w:val="nil"/>
              <w:left w:val="nil"/>
              <w:bottom w:val="nil"/>
              <w:right w:val="nil"/>
            </w:tcBorders>
          </w:tcPr>
          <w:p>
            <w:pPr>
              <w:jc w:val="center"/>
            </w:pPr>
            <w:r/>
            <w:r>
              <w:rPr>
                <w:sz w:val="18"/>
                <w:rFonts w:eastAsia="宋体" w:ascii="Times New Roman" w:hAnsi="Times New Roman"/>
              </w:rPr>
              <w:t>950</w:t>
            </w:r>
          </w:p>
        </w:tc>
        <w:tc>
          <w:tcPr>
            <w:tcW w:type="dxa" w:w="1020"/>
            <w:tcBorders>
              <w:top w:val="nil"/>
              <w:left w:val="nil"/>
              <w:bottom w:val="nil"/>
              <w:right w:val="nil"/>
            </w:tcBorders>
          </w:tcPr>
          <w:p>
            <w:pPr>
              <w:jc w:val="center"/>
            </w:pPr>
            <w:r/>
            <w:r>
              <w:rPr>
                <w:sz w:val="18"/>
                <w:rFonts w:eastAsia="宋体" w:ascii="Times New Roman" w:hAnsi="Times New Roman"/>
              </w:rPr>
              <w:t>1181</w:t>
            </w:r>
          </w:p>
        </w:tc>
      </w:tr>
      <w:tr>
        <w:tc>
          <w:tcPr>
            <w:tcW w:type="dxa" w:w="850"/>
            <w:tcBorders>
              <w:top w:val="nil"/>
              <w:left w:val="nil"/>
              <w:bottom w:val="nil"/>
              <w:right w:val="nil"/>
            </w:tcBorders>
          </w:tcPr>
          <w:p>
            <w:pPr>
              <w:jc w:val="center"/>
            </w:pPr>
            <w:r/>
            <w:r>
              <w:rPr>
                <w:sz w:val="18"/>
                <w:rFonts w:eastAsia="宋体" w:ascii="Times New Roman" w:hAnsi="Times New Roman"/>
              </w:rPr>
              <w:t>Q3</w:t>
            </w:r>
          </w:p>
        </w:tc>
        <w:tc>
          <w:tcPr>
            <w:tcW w:type="dxa" w:w="1020"/>
            <w:tcBorders>
              <w:top w:val="nil"/>
              <w:left w:val="nil"/>
              <w:bottom w:val="nil"/>
              <w:right w:val="nil"/>
            </w:tcBorders>
          </w:tcPr>
          <w:p>
            <w:pPr>
              <w:jc w:val="center"/>
            </w:pPr>
            <w:r/>
            <w:r>
              <w:rPr>
                <w:sz w:val="18"/>
                <w:rFonts w:eastAsia="宋体" w:ascii="Times New Roman" w:hAnsi="Times New Roman"/>
              </w:rPr>
              <w:t>1</w:t>
            </w:r>
          </w:p>
        </w:tc>
        <w:tc>
          <w:tcPr>
            <w:tcW w:type="dxa" w:w="1020"/>
            <w:tcBorders>
              <w:top w:val="nil"/>
              <w:left w:val="nil"/>
              <w:bottom w:val="nil"/>
              <w:right w:val="nil"/>
            </w:tcBorders>
          </w:tcPr>
          <w:p>
            <w:pPr>
              <w:jc w:val="center"/>
            </w:pPr>
            <w:r/>
            <w:r>
              <w:rPr>
                <w:sz w:val="18"/>
                <w:rFonts w:eastAsia="宋体" w:ascii="Times New Roman" w:hAnsi="Times New Roman"/>
              </w:rPr>
              <w:t>2</w:t>
            </w:r>
          </w:p>
        </w:tc>
        <w:tc>
          <w:tcPr>
            <w:tcW w:type="dxa" w:w="1020"/>
            <w:tcBorders>
              <w:top w:val="nil"/>
              <w:left w:val="nil"/>
              <w:bottom w:val="nil"/>
              <w:right w:val="nil"/>
            </w:tcBorders>
          </w:tcPr>
          <w:p>
            <w:pPr>
              <w:jc w:val="center"/>
            </w:pPr>
            <w:r/>
            <w:r>
              <w:rPr>
                <w:sz w:val="18"/>
                <w:rFonts w:eastAsia="宋体" w:ascii="Times New Roman" w:hAnsi="Times New Roman"/>
              </w:rPr>
              <w:t>5</w:t>
            </w:r>
          </w:p>
        </w:tc>
        <w:tc>
          <w:tcPr>
            <w:tcW w:type="dxa" w:w="1304"/>
            <w:tcBorders>
              <w:top w:val="nil"/>
              <w:left w:val="nil"/>
              <w:bottom w:val="nil"/>
              <w:right w:val="nil"/>
            </w:tcBorders>
          </w:tcPr>
          <w:p>
            <w:pPr>
              <w:jc w:val="center"/>
            </w:pPr>
            <w:r/>
            <w:r>
              <w:rPr>
                <w:sz w:val="18"/>
                <w:rFonts w:eastAsia="宋体" w:ascii="Times New Roman" w:hAnsi="Times New Roman"/>
              </w:rPr>
              <w:t>+3</w:t>
            </w:r>
          </w:p>
        </w:tc>
        <w:tc>
          <w:tcPr>
            <w:tcW w:type="dxa" w:w="1020"/>
            <w:tcBorders>
              <w:top w:val="nil"/>
              <w:left w:val="nil"/>
              <w:bottom w:val="nil"/>
              <w:right w:val="nil"/>
            </w:tcBorders>
          </w:tcPr>
          <w:p>
            <w:pPr>
              <w:jc w:val="center"/>
            </w:pPr>
            <w:r/>
            <w:r>
              <w:rPr>
                <w:sz w:val="18"/>
                <w:rFonts w:eastAsia="宋体" w:ascii="Times New Roman" w:hAnsi="Times New Roman"/>
              </w:rPr>
              <w:t>950</w:t>
            </w:r>
          </w:p>
        </w:tc>
        <w:tc>
          <w:tcPr>
            <w:tcW w:type="dxa" w:w="1020"/>
            <w:tcBorders>
              <w:top w:val="nil"/>
              <w:left w:val="nil"/>
              <w:bottom w:val="nil"/>
              <w:right w:val="nil"/>
            </w:tcBorders>
          </w:tcPr>
          <w:p>
            <w:pPr>
              <w:jc w:val="center"/>
            </w:pPr>
            <w:r/>
            <w:r>
              <w:rPr>
                <w:sz w:val="18"/>
                <w:rFonts w:eastAsia="宋体" w:ascii="Times New Roman" w:hAnsi="Times New Roman"/>
              </w:rPr>
              <w:t>1181</w:t>
            </w:r>
          </w:p>
        </w:tc>
      </w:tr>
      <w:tr>
        <w:tc>
          <w:tcPr>
            <w:tcW w:type="dxa" w:w="850"/>
            <w:tcBorders>
              <w:top w:val="nil"/>
              <w:left w:val="nil"/>
              <w:bottom w:val="nil"/>
              <w:right w:val="nil"/>
            </w:tcBorders>
          </w:tcPr>
          <w:p>
            <w:pPr>
              <w:jc w:val="center"/>
            </w:pPr>
            <w:r/>
            <w:r>
              <w:rPr>
                <w:sz w:val="18"/>
                <w:rFonts w:eastAsia="宋体" w:ascii="Times New Roman" w:hAnsi="Times New Roman"/>
              </w:rPr>
              <w:t>Q4</w:t>
            </w:r>
          </w:p>
        </w:tc>
        <w:tc>
          <w:tcPr>
            <w:tcW w:type="dxa" w:w="1020"/>
            <w:tcBorders>
              <w:top w:val="nil"/>
              <w:left w:val="nil"/>
              <w:bottom w:val="nil"/>
              <w:right w:val="nil"/>
            </w:tcBorders>
          </w:tcPr>
          <w:p>
            <w:pPr>
              <w:jc w:val="center"/>
            </w:pPr>
            <w:r/>
            <w:r>
              <w:rPr>
                <w:sz w:val="18"/>
                <w:rFonts w:eastAsia="宋体" w:ascii="Times New Roman" w:hAnsi="Times New Roman"/>
              </w:rPr>
              <w:t>1</w:t>
            </w:r>
          </w:p>
        </w:tc>
        <w:tc>
          <w:tcPr>
            <w:tcW w:type="dxa" w:w="1020"/>
            <w:tcBorders>
              <w:top w:val="nil"/>
              <w:left w:val="nil"/>
              <w:bottom w:val="nil"/>
              <w:right w:val="nil"/>
            </w:tcBorders>
          </w:tcPr>
          <w:p>
            <w:pPr>
              <w:jc w:val="center"/>
            </w:pPr>
            <w:r/>
            <w:r>
              <w:rPr>
                <w:sz w:val="18"/>
                <w:rFonts w:eastAsia="宋体" w:ascii="Times New Roman" w:hAnsi="Times New Roman"/>
              </w:rPr>
              <w:t>2</w:t>
            </w:r>
          </w:p>
        </w:tc>
        <w:tc>
          <w:tcPr>
            <w:tcW w:type="dxa" w:w="1020"/>
            <w:tcBorders>
              <w:top w:val="nil"/>
              <w:left w:val="nil"/>
              <w:bottom w:val="nil"/>
              <w:right w:val="nil"/>
            </w:tcBorders>
          </w:tcPr>
          <w:p>
            <w:pPr>
              <w:jc w:val="center"/>
            </w:pPr>
            <w:r/>
            <w:r>
              <w:rPr>
                <w:sz w:val="18"/>
                <w:rFonts w:eastAsia="宋体" w:ascii="Times New Roman" w:hAnsi="Times New Roman"/>
              </w:rPr>
              <w:t>4</w:t>
            </w:r>
          </w:p>
        </w:tc>
        <w:tc>
          <w:tcPr>
            <w:tcW w:type="dxa" w:w="1304"/>
            <w:tcBorders>
              <w:top w:val="nil"/>
              <w:left w:val="nil"/>
              <w:bottom w:val="nil"/>
              <w:right w:val="nil"/>
            </w:tcBorders>
          </w:tcPr>
          <w:p>
            <w:pPr>
              <w:jc w:val="center"/>
            </w:pPr>
            <w:r/>
            <w:r>
              <w:rPr>
                <w:sz w:val="18"/>
                <w:rFonts w:eastAsia="宋体" w:ascii="Times New Roman" w:hAnsi="Times New Roman"/>
              </w:rPr>
              <w:t>+2</w:t>
            </w:r>
          </w:p>
        </w:tc>
        <w:tc>
          <w:tcPr>
            <w:tcW w:type="dxa" w:w="1020"/>
            <w:tcBorders>
              <w:top w:val="nil"/>
              <w:left w:val="nil"/>
              <w:bottom w:val="nil"/>
              <w:right w:val="nil"/>
            </w:tcBorders>
          </w:tcPr>
          <w:p>
            <w:pPr>
              <w:jc w:val="center"/>
            </w:pPr>
            <w:r/>
            <w:r>
              <w:rPr>
                <w:sz w:val="18"/>
                <w:rFonts w:eastAsia="宋体" w:ascii="Times New Roman" w:hAnsi="Times New Roman"/>
              </w:rPr>
              <w:t>950</w:t>
            </w:r>
          </w:p>
        </w:tc>
        <w:tc>
          <w:tcPr>
            <w:tcW w:type="dxa" w:w="1020"/>
            <w:tcBorders>
              <w:top w:val="nil"/>
              <w:left w:val="nil"/>
              <w:bottom w:val="nil"/>
              <w:right w:val="nil"/>
            </w:tcBorders>
          </w:tcPr>
          <w:p>
            <w:pPr>
              <w:jc w:val="center"/>
            </w:pPr>
            <w:r/>
            <w:r>
              <w:rPr>
                <w:sz w:val="18"/>
                <w:rFonts w:eastAsia="宋体" w:ascii="Times New Roman" w:hAnsi="Times New Roman"/>
              </w:rPr>
              <w:t>1181</w:t>
            </w:r>
          </w:p>
        </w:tc>
      </w:tr>
      <w:tr>
        <w:tc>
          <w:tcPr>
            <w:tcW w:type="dxa" w:w="850"/>
            <w:tcBorders>
              <w:top w:val="nil"/>
              <w:left w:val="nil"/>
              <w:bottom w:val="nil"/>
              <w:right w:val="nil"/>
            </w:tcBorders>
          </w:tcPr>
          <w:p>
            <w:pPr>
              <w:jc w:val="center"/>
            </w:pPr>
            <w:r/>
            <w:r>
              <w:rPr>
                <w:sz w:val="18"/>
                <w:rFonts w:eastAsia="宋体" w:ascii="Times New Roman" w:hAnsi="Times New Roman"/>
              </w:rPr>
              <w:t>Q5</w:t>
            </w:r>
          </w:p>
        </w:tc>
        <w:tc>
          <w:tcPr>
            <w:tcW w:type="dxa" w:w="1020"/>
            <w:tcBorders>
              <w:top w:val="nil"/>
              <w:left w:val="nil"/>
              <w:bottom w:val="nil"/>
              <w:right w:val="nil"/>
            </w:tcBorders>
          </w:tcPr>
          <w:p>
            <w:pPr>
              <w:jc w:val="center"/>
            </w:pPr>
            <w:r/>
            <w:r>
              <w:rPr>
                <w:sz w:val="18"/>
                <w:rFonts w:eastAsia="宋体" w:ascii="Times New Roman" w:hAnsi="Times New Roman"/>
              </w:rPr>
              <w:t>1</w:t>
            </w:r>
          </w:p>
        </w:tc>
        <w:tc>
          <w:tcPr>
            <w:tcW w:type="dxa" w:w="1020"/>
            <w:tcBorders>
              <w:top w:val="nil"/>
              <w:left w:val="nil"/>
              <w:bottom w:val="nil"/>
              <w:right w:val="nil"/>
            </w:tcBorders>
          </w:tcPr>
          <w:p>
            <w:pPr>
              <w:jc w:val="center"/>
            </w:pPr>
            <w:r/>
            <w:r>
              <w:rPr>
                <w:sz w:val="18"/>
                <w:rFonts w:eastAsia="宋体" w:ascii="Times New Roman" w:hAnsi="Times New Roman"/>
              </w:rPr>
              <w:t>2</w:t>
            </w:r>
          </w:p>
        </w:tc>
        <w:tc>
          <w:tcPr>
            <w:tcW w:type="dxa" w:w="1020"/>
            <w:tcBorders>
              <w:top w:val="nil"/>
              <w:left w:val="nil"/>
              <w:bottom w:val="nil"/>
              <w:right w:val="nil"/>
            </w:tcBorders>
          </w:tcPr>
          <w:p>
            <w:pPr>
              <w:jc w:val="center"/>
            </w:pPr>
            <w:r/>
            <w:r>
              <w:rPr>
                <w:sz w:val="18"/>
                <w:rFonts w:eastAsia="宋体" w:ascii="Times New Roman" w:hAnsi="Times New Roman"/>
              </w:rPr>
              <w:t>5</w:t>
            </w:r>
          </w:p>
        </w:tc>
        <w:tc>
          <w:tcPr>
            <w:tcW w:type="dxa" w:w="1304"/>
            <w:tcBorders>
              <w:top w:val="nil"/>
              <w:left w:val="nil"/>
              <w:bottom w:val="nil"/>
              <w:right w:val="nil"/>
            </w:tcBorders>
          </w:tcPr>
          <w:p>
            <w:pPr>
              <w:jc w:val="center"/>
            </w:pPr>
            <w:r/>
            <w:r>
              <w:rPr>
                <w:sz w:val="18"/>
                <w:rFonts w:eastAsia="宋体" w:ascii="Times New Roman" w:hAnsi="Times New Roman"/>
              </w:rPr>
              <w:t>+3</w:t>
            </w:r>
          </w:p>
        </w:tc>
        <w:tc>
          <w:tcPr>
            <w:tcW w:type="dxa" w:w="1020"/>
            <w:tcBorders>
              <w:top w:val="nil"/>
              <w:left w:val="nil"/>
              <w:bottom w:val="nil"/>
              <w:right w:val="nil"/>
            </w:tcBorders>
          </w:tcPr>
          <w:p>
            <w:pPr>
              <w:jc w:val="center"/>
            </w:pPr>
            <w:r/>
            <w:r>
              <w:rPr>
                <w:sz w:val="18"/>
                <w:rFonts w:eastAsia="宋体" w:ascii="Times New Roman" w:hAnsi="Times New Roman"/>
              </w:rPr>
              <w:t>950</w:t>
            </w:r>
          </w:p>
        </w:tc>
        <w:tc>
          <w:tcPr>
            <w:tcW w:type="dxa" w:w="1020"/>
            <w:tcBorders>
              <w:top w:val="nil"/>
              <w:left w:val="nil"/>
              <w:bottom w:val="nil"/>
              <w:right w:val="nil"/>
            </w:tcBorders>
          </w:tcPr>
          <w:p>
            <w:pPr>
              <w:jc w:val="center"/>
            </w:pPr>
            <w:r/>
            <w:r>
              <w:rPr>
                <w:sz w:val="18"/>
                <w:rFonts w:eastAsia="宋体" w:ascii="Times New Roman" w:hAnsi="Times New Roman"/>
              </w:rPr>
              <w:t>1181</w:t>
            </w:r>
          </w:p>
        </w:tc>
      </w:tr>
      <w:tr>
        <w:tc>
          <w:tcPr>
            <w:tcW w:type="dxa" w:w="850"/>
            <w:tcBorders>
              <w:top w:val="nil"/>
              <w:left w:val="nil"/>
              <w:bottom w:val="nil"/>
              <w:right w:val="nil"/>
            </w:tcBorders>
          </w:tcPr>
          <w:p>
            <w:pPr>
              <w:jc w:val="center"/>
            </w:pPr>
            <w:r/>
            <w:r>
              <w:rPr>
                <w:sz w:val="18"/>
                <w:rFonts w:eastAsia="宋体" w:ascii="Times New Roman" w:hAnsi="Times New Roman"/>
              </w:rPr>
              <w:t>Q6</w:t>
            </w:r>
          </w:p>
        </w:tc>
        <w:tc>
          <w:tcPr>
            <w:tcW w:type="dxa" w:w="1020"/>
            <w:tcBorders>
              <w:top w:val="nil"/>
              <w:left w:val="nil"/>
              <w:bottom w:val="nil"/>
              <w:right w:val="nil"/>
            </w:tcBorders>
          </w:tcPr>
          <w:p>
            <w:pPr>
              <w:jc w:val="center"/>
            </w:pPr>
            <w:r/>
            <w:r>
              <w:rPr>
                <w:sz w:val="18"/>
                <w:rFonts w:eastAsia="宋体" w:ascii="Times New Roman" w:hAnsi="Times New Roman"/>
              </w:rPr>
              <w:t>1</w:t>
            </w:r>
          </w:p>
        </w:tc>
        <w:tc>
          <w:tcPr>
            <w:tcW w:type="dxa" w:w="1020"/>
            <w:tcBorders>
              <w:top w:val="nil"/>
              <w:left w:val="nil"/>
              <w:bottom w:val="nil"/>
              <w:right w:val="nil"/>
            </w:tcBorders>
          </w:tcPr>
          <w:p>
            <w:pPr>
              <w:jc w:val="center"/>
            </w:pPr>
            <w:r/>
            <w:r>
              <w:rPr>
                <w:sz w:val="18"/>
                <w:rFonts w:eastAsia="宋体" w:ascii="Times New Roman" w:hAnsi="Times New Roman"/>
              </w:rPr>
              <w:t>2</w:t>
            </w:r>
          </w:p>
        </w:tc>
        <w:tc>
          <w:tcPr>
            <w:tcW w:type="dxa" w:w="1020"/>
            <w:tcBorders>
              <w:top w:val="nil"/>
              <w:left w:val="nil"/>
              <w:bottom w:val="nil"/>
              <w:right w:val="nil"/>
            </w:tcBorders>
          </w:tcPr>
          <w:p>
            <w:pPr>
              <w:jc w:val="center"/>
            </w:pPr>
            <w:r/>
            <w:r>
              <w:rPr>
                <w:sz w:val="18"/>
                <w:rFonts w:eastAsia="宋体" w:ascii="Times New Roman" w:hAnsi="Times New Roman"/>
              </w:rPr>
              <w:t>5</w:t>
            </w:r>
          </w:p>
        </w:tc>
        <w:tc>
          <w:tcPr>
            <w:tcW w:type="dxa" w:w="1304"/>
            <w:tcBorders>
              <w:top w:val="nil"/>
              <w:left w:val="nil"/>
              <w:bottom w:val="nil"/>
              <w:right w:val="nil"/>
            </w:tcBorders>
          </w:tcPr>
          <w:p>
            <w:pPr>
              <w:jc w:val="center"/>
            </w:pPr>
            <w:r/>
            <w:r>
              <w:rPr>
                <w:sz w:val="18"/>
                <w:rFonts w:eastAsia="宋体" w:ascii="Times New Roman" w:hAnsi="Times New Roman"/>
              </w:rPr>
              <w:t>+3</w:t>
            </w:r>
          </w:p>
        </w:tc>
        <w:tc>
          <w:tcPr>
            <w:tcW w:type="dxa" w:w="1020"/>
            <w:tcBorders>
              <w:top w:val="nil"/>
              <w:left w:val="nil"/>
              <w:bottom w:val="nil"/>
              <w:right w:val="nil"/>
            </w:tcBorders>
          </w:tcPr>
          <w:p>
            <w:pPr>
              <w:jc w:val="center"/>
            </w:pPr>
            <w:r/>
            <w:r>
              <w:rPr>
                <w:sz w:val="18"/>
                <w:rFonts w:eastAsia="宋体" w:ascii="Times New Roman" w:hAnsi="Times New Roman"/>
              </w:rPr>
              <w:t>950</w:t>
            </w:r>
          </w:p>
        </w:tc>
        <w:tc>
          <w:tcPr>
            <w:tcW w:type="dxa" w:w="1020"/>
            <w:tcBorders>
              <w:top w:val="nil"/>
              <w:left w:val="nil"/>
              <w:bottom w:val="nil"/>
              <w:right w:val="nil"/>
            </w:tcBorders>
          </w:tcPr>
          <w:p>
            <w:pPr>
              <w:jc w:val="center"/>
            </w:pPr>
            <w:r/>
            <w:r>
              <w:rPr>
                <w:sz w:val="18"/>
                <w:rFonts w:eastAsia="宋体" w:ascii="Times New Roman" w:hAnsi="Times New Roman"/>
              </w:rPr>
              <w:t>1181</w:t>
            </w:r>
          </w:p>
        </w:tc>
      </w:tr>
      <w:tr>
        <w:tc>
          <w:tcPr>
            <w:tcW w:type="dxa" w:w="850"/>
            <w:tcBorders>
              <w:top w:val="nil"/>
              <w:left w:val="nil"/>
              <w:bottom w:val="nil"/>
              <w:right w:val="nil"/>
            </w:tcBorders>
          </w:tcPr>
          <w:p>
            <w:pPr>
              <w:jc w:val="center"/>
            </w:pPr>
            <w:r/>
            <w:r>
              <w:rPr>
                <w:sz w:val="18"/>
                <w:rFonts w:eastAsia="宋体" w:ascii="Times New Roman" w:hAnsi="Times New Roman"/>
              </w:rPr>
              <w:t>Q7</w:t>
            </w:r>
          </w:p>
        </w:tc>
        <w:tc>
          <w:tcPr>
            <w:tcW w:type="dxa" w:w="1020"/>
            <w:tcBorders>
              <w:top w:val="nil"/>
              <w:left w:val="nil"/>
              <w:bottom w:val="nil"/>
              <w:right w:val="nil"/>
            </w:tcBorders>
          </w:tcPr>
          <w:p>
            <w:pPr>
              <w:jc w:val="center"/>
            </w:pPr>
            <w:r/>
            <w:r>
              <w:rPr>
                <w:sz w:val="18"/>
                <w:rFonts w:eastAsia="宋体" w:ascii="Times New Roman" w:hAnsi="Times New Roman"/>
              </w:rPr>
              <w:t>1</w:t>
            </w:r>
          </w:p>
        </w:tc>
        <w:tc>
          <w:tcPr>
            <w:tcW w:type="dxa" w:w="1020"/>
            <w:tcBorders>
              <w:top w:val="nil"/>
              <w:left w:val="nil"/>
              <w:bottom w:val="nil"/>
              <w:right w:val="nil"/>
            </w:tcBorders>
          </w:tcPr>
          <w:p>
            <w:pPr>
              <w:jc w:val="center"/>
            </w:pPr>
            <w:r/>
            <w:r>
              <w:rPr>
                <w:sz w:val="18"/>
                <w:rFonts w:eastAsia="宋体" w:ascii="Times New Roman" w:hAnsi="Times New Roman"/>
              </w:rPr>
              <w:t>3</w:t>
            </w:r>
          </w:p>
        </w:tc>
        <w:tc>
          <w:tcPr>
            <w:tcW w:type="dxa" w:w="1020"/>
            <w:tcBorders>
              <w:top w:val="nil"/>
              <w:left w:val="nil"/>
              <w:bottom w:val="nil"/>
              <w:right w:val="nil"/>
            </w:tcBorders>
          </w:tcPr>
          <w:p>
            <w:pPr>
              <w:jc w:val="center"/>
            </w:pPr>
            <w:r/>
            <w:r>
              <w:rPr>
                <w:sz w:val="18"/>
                <w:rFonts w:eastAsia="宋体" w:ascii="Times New Roman" w:hAnsi="Times New Roman"/>
              </w:rPr>
              <w:t>5</w:t>
            </w:r>
          </w:p>
        </w:tc>
        <w:tc>
          <w:tcPr>
            <w:tcW w:type="dxa" w:w="1304"/>
            <w:tcBorders>
              <w:top w:val="nil"/>
              <w:left w:val="nil"/>
              <w:bottom w:val="nil"/>
              <w:right w:val="nil"/>
            </w:tcBorders>
          </w:tcPr>
          <w:p>
            <w:pPr>
              <w:jc w:val="center"/>
            </w:pPr>
            <w:r/>
            <w:r>
              <w:rPr>
                <w:sz w:val="18"/>
                <w:rFonts w:eastAsia="宋体" w:ascii="Times New Roman" w:hAnsi="Times New Roman"/>
              </w:rPr>
              <w:t>+2</w:t>
            </w:r>
          </w:p>
        </w:tc>
        <w:tc>
          <w:tcPr>
            <w:tcW w:type="dxa" w:w="1020"/>
            <w:tcBorders>
              <w:top w:val="nil"/>
              <w:left w:val="nil"/>
              <w:bottom w:val="nil"/>
              <w:right w:val="nil"/>
            </w:tcBorders>
          </w:tcPr>
          <w:p>
            <w:pPr>
              <w:jc w:val="center"/>
            </w:pPr>
            <w:r/>
            <w:r>
              <w:rPr>
                <w:sz w:val="18"/>
                <w:rFonts w:eastAsia="宋体" w:ascii="Times New Roman" w:hAnsi="Times New Roman"/>
              </w:rPr>
              <w:t>950</w:t>
            </w:r>
          </w:p>
        </w:tc>
        <w:tc>
          <w:tcPr>
            <w:tcW w:type="dxa" w:w="1020"/>
            <w:tcBorders>
              <w:top w:val="nil"/>
              <w:left w:val="nil"/>
              <w:bottom w:val="nil"/>
              <w:right w:val="nil"/>
            </w:tcBorders>
          </w:tcPr>
          <w:p>
            <w:pPr>
              <w:jc w:val="center"/>
            </w:pPr>
            <w:r/>
            <w:r>
              <w:rPr>
                <w:sz w:val="18"/>
                <w:rFonts w:eastAsia="宋体" w:ascii="Times New Roman" w:hAnsi="Times New Roman"/>
              </w:rPr>
              <w:t>1181</w:t>
            </w:r>
          </w:p>
        </w:tc>
      </w:tr>
      <w:tr>
        <w:tc>
          <w:tcPr>
            <w:tcW w:type="dxa" w:w="850"/>
            <w:tcBorders>
              <w:top w:val="nil"/>
              <w:left w:val="nil"/>
              <w:bottom w:val="nil"/>
              <w:right w:val="nil"/>
            </w:tcBorders>
          </w:tcPr>
          <w:p>
            <w:pPr>
              <w:jc w:val="center"/>
            </w:pPr>
            <w:r/>
            <w:r>
              <w:rPr>
                <w:sz w:val="18"/>
                <w:rFonts w:eastAsia="宋体" w:ascii="Times New Roman" w:hAnsi="Times New Roman"/>
              </w:rPr>
              <w:t>Q8</w:t>
            </w:r>
          </w:p>
        </w:tc>
        <w:tc>
          <w:tcPr>
            <w:tcW w:type="dxa" w:w="1020"/>
            <w:tcBorders>
              <w:top w:val="nil"/>
              <w:left w:val="nil"/>
              <w:bottom w:val="nil"/>
              <w:right w:val="nil"/>
            </w:tcBorders>
          </w:tcPr>
          <w:p>
            <w:pPr>
              <w:jc w:val="center"/>
            </w:pPr>
            <w:r/>
            <w:r>
              <w:rPr>
                <w:sz w:val="18"/>
                <w:rFonts w:eastAsia="宋体" w:ascii="Times New Roman" w:hAnsi="Times New Roman"/>
              </w:rPr>
              <w:t>1</w:t>
            </w:r>
          </w:p>
        </w:tc>
        <w:tc>
          <w:tcPr>
            <w:tcW w:type="dxa" w:w="1020"/>
            <w:tcBorders>
              <w:top w:val="nil"/>
              <w:left w:val="nil"/>
              <w:bottom w:val="nil"/>
              <w:right w:val="nil"/>
            </w:tcBorders>
          </w:tcPr>
          <w:p>
            <w:pPr>
              <w:jc w:val="center"/>
            </w:pPr>
            <w:r/>
            <w:r>
              <w:rPr>
                <w:sz w:val="18"/>
                <w:rFonts w:eastAsia="宋体" w:ascii="Times New Roman" w:hAnsi="Times New Roman"/>
              </w:rPr>
              <w:t>3</w:t>
            </w:r>
          </w:p>
        </w:tc>
        <w:tc>
          <w:tcPr>
            <w:tcW w:type="dxa" w:w="1020"/>
            <w:tcBorders>
              <w:top w:val="nil"/>
              <w:left w:val="nil"/>
              <w:bottom w:val="nil"/>
              <w:right w:val="nil"/>
            </w:tcBorders>
          </w:tcPr>
          <w:p>
            <w:pPr>
              <w:jc w:val="center"/>
            </w:pPr>
            <w:r/>
            <w:r>
              <w:rPr>
                <w:sz w:val="18"/>
                <w:rFonts w:eastAsia="宋体" w:ascii="Times New Roman" w:hAnsi="Times New Roman"/>
              </w:rPr>
              <w:t>5</w:t>
            </w:r>
          </w:p>
        </w:tc>
        <w:tc>
          <w:tcPr>
            <w:tcW w:type="dxa" w:w="1304"/>
            <w:tcBorders>
              <w:top w:val="nil"/>
              <w:left w:val="nil"/>
              <w:bottom w:val="nil"/>
              <w:right w:val="nil"/>
            </w:tcBorders>
          </w:tcPr>
          <w:p>
            <w:pPr>
              <w:jc w:val="center"/>
            </w:pPr>
            <w:r/>
            <w:r>
              <w:rPr>
                <w:sz w:val="18"/>
                <w:rFonts w:eastAsia="宋体" w:ascii="Times New Roman" w:hAnsi="Times New Roman"/>
              </w:rPr>
              <w:t>+2</w:t>
            </w:r>
          </w:p>
        </w:tc>
        <w:tc>
          <w:tcPr>
            <w:tcW w:type="dxa" w:w="1020"/>
            <w:tcBorders>
              <w:top w:val="nil"/>
              <w:left w:val="nil"/>
              <w:bottom w:val="nil"/>
              <w:right w:val="nil"/>
            </w:tcBorders>
          </w:tcPr>
          <w:p>
            <w:pPr>
              <w:jc w:val="center"/>
            </w:pPr>
            <w:r/>
            <w:r>
              <w:rPr>
                <w:sz w:val="18"/>
                <w:rFonts w:eastAsia="宋体" w:ascii="Times New Roman" w:hAnsi="Times New Roman"/>
              </w:rPr>
              <w:t>950</w:t>
            </w:r>
          </w:p>
        </w:tc>
        <w:tc>
          <w:tcPr>
            <w:tcW w:type="dxa" w:w="1020"/>
            <w:tcBorders>
              <w:top w:val="nil"/>
              <w:left w:val="nil"/>
              <w:bottom w:val="nil"/>
              <w:right w:val="nil"/>
            </w:tcBorders>
          </w:tcPr>
          <w:p>
            <w:pPr>
              <w:jc w:val="center"/>
            </w:pPr>
            <w:r/>
            <w:r>
              <w:rPr>
                <w:sz w:val="18"/>
                <w:rFonts w:eastAsia="宋体" w:ascii="Times New Roman" w:hAnsi="Times New Roman"/>
              </w:rPr>
              <w:t>1181</w:t>
            </w:r>
          </w:p>
        </w:tc>
      </w:tr>
      <w:tr>
        <w:tc>
          <w:tcPr>
            <w:tcW w:type="dxa" w:w="850"/>
            <w:tcBorders>
              <w:top w:val="nil"/>
              <w:left w:val="nil"/>
              <w:bottom w:val="nil"/>
              <w:right w:val="nil"/>
            </w:tcBorders>
          </w:tcPr>
          <w:p>
            <w:pPr>
              <w:jc w:val="center"/>
            </w:pPr>
            <w:r/>
            <w:r>
              <w:rPr>
                <w:sz w:val="18"/>
                <w:rFonts w:eastAsia="宋体" w:ascii="Times New Roman" w:hAnsi="Times New Roman"/>
              </w:rPr>
              <w:t>Q9</w:t>
            </w:r>
          </w:p>
        </w:tc>
        <w:tc>
          <w:tcPr>
            <w:tcW w:type="dxa" w:w="1020"/>
            <w:tcBorders>
              <w:top w:val="nil"/>
              <w:left w:val="nil"/>
              <w:bottom w:val="nil"/>
              <w:right w:val="nil"/>
            </w:tcBorders>
          </w:tcPr>
          <w:p>
            <w:pPr>
              <w:jc w:val="center"/>
            </w:pPr>
            <w:r/>
            <w:r>
              <w:rPr>
                <w:sz w:val="18"/>
                <w:rFonts w:eastAsia="宋体" w:ascii="Times New Roman" w:hAnsi="Times New Roman"/>
              </w:rPr>
              <w:t>1</w:t>
            </w:r>
          </w:p>
        </w:tc>
        <w:tc>
          <w:tcPr>
            <w:tcW w:type="dxa" w:w="1020"/>
            <w:tcBorders>
              <w:top w:val="nil"/>
              <w:left w:val="nil"/>
              <w:bottom w:val="nil"/>
              <w:right w:val="nil"/>
            </w:tcBorders>
          </w:tcPr>
          <w:p>
            <w:pPr>
              <w:jc w:val="center"/>
            </w:pPr>
            <w:r/>
            <w:r>
              <w:rPr>
                <w:sz w:val="18"/>
                <w:rFonts w:eastAsia="宋体" w:ascii="Times New Roman" w:hAnsi="Times New Roman"/>
              </w:rPr>
              <w:t>3</w:t>
            </w:r>
          </w:p>
        </w:tc>
        <w:tc>
          <w:tcPr>
            <w:tcW w:type="dxa" w:w="1020"/>
            <w:tcBorders>
              <w:top w:val="nil"/>
              <w:left w:val="nil"/>
              <w:bottom w:val="nil"/>
              <w:right w:val="nil"/>
            </w:tcBorders>
          </w:tcPr>
          <w:p>
            <w:pPr>
              <w:jc w:val="center"/>
            </w:pPr>
            <w:r/>
            <w:r>
              <w:rPr>
                <w:sz w:val="18"/>
                <w:rFonts w:eastAsia="宋体" w:ascii="Times New Roman" w:hAnsi="Times New Roman"/>
              </w:rPr>
              <w:t>5</w:t>
            </w:r>
          </w:p>
        </w:tc>
        <w:tc>
          <w:tcPr>
            <w:tcW w:type="dxa" w:w="1304"/>
            <w:tcBorders>
              <w:top w:val="nil"/>
              <w:left w:val="nil"/>
              <w:bottom w:val="nil"/>
              <w:right w:val="nil"/>
            </w:tcBorders>
          </w:tcPr>
          <w:p>
            <w:pPr>
              <w:jc w:val="center"/>
            </w:pPr>
            <w:r/>
            <w:r>
              <w:rPr>
                <w:sz w:val="18"/>
                <w:rFonts w:eastAsia="宋体" w:ascii="Times New Roman" w:hAnsi="Times New Roman"/>
              </w:rPr>
              <w:t>+2</w:t>
            </w:r>
          </w:p>
        </w:tc>
        <w:tc>
          <w:tcPr>
            <w:tcW w:type="dxa" w:w="1020"/>
            <w:tcBorders>
              <w:top w:val="nil"/>
              <w:left w:val="nil"/>
              <w:bottom w:val="nil"/>
              <w:right w:val="nil"/>
            </w:tcBorders>
          </w:tcPr>
          <w:p>
            <w:pPr>
              <w:jc w:val="center"/>
            </w:pPr>
            <w:r/>
            <w:r>
              <w:rPr>
                <w:sz w:val="18"/>
                <w:rFonts w:eastAsia="宋体" w:ascii="Times New Roman" w:hAnsi="Times New Roman"/>
              </w:rPr>
              <w:t>950</w:t>
            </w:r>
          </w:p>
        </w:tc>
        <w:tc>
          <w:tcPr>
            <w:tcW w:type="dxa" w:w="1020"/>
            <w:tcBorders>
              <w:top w:val="nil"/>
              <w:left w:val="nil"/>
              <w:bottom w:val="nil"/>
              <w:right w:val="nil"/>
            </w:tcBorders>
          </w:tcPr>
          <w:p>
            <w:pPr>
              <w:jc w:val="center"/>
            </w:pPr>
            <w:r/>
            <w:r>
              <w:rPr>
                <w:sz w:val="18"/>
                <w:rFonts w:eastAsia="宋体" w:ascii="Times New Roman" w:hAnsi="Times New Roman"/>
              </w:rPr>
              <w:t>1181</w:t>
            </w:r>
          </w:p>
        </w:tc>
      </w:tr>
      <w:tr>
        <w:tc>
          <w:tcPr>
            <w:tcW w:type="dxa" w:w="850"/>
            <w:tcBorders>
              <w:top w:val="nil"/>
              <w:left w:val="nil"/>
              <w:bottom w:val="nil"/>
              <w:right w:val="nil"/>
            </w:tcBorders>
          </w:tcPr>
          <w:p>
            <w:pPr>
              <w:jc w:val="center"/>
            </w:pPr>
            <w:r/>
            <w:r>
              <w:rPr>
                <w:sz w:val="18"/>
                <w:rFonts w:eastAsia="宋体" w:ascii="Times New Roman" w:hAnsi="Times New Roman"/>
              </w:rPr>
              <w:t>Q10</w:t>
            </w:r>
          </w:p>
        </w:tc>
        <w:tc>
          <w:tcPr>
            <w:tcW w:type="dxa" w:w="1020"/>
            <w:tcBorders>
              <w:top w:val="nil"/>
              <w:left w:val="nil"/>
              <w:bottom w:val="nil"/>
              <w:right w:val="nil"/>
            </w:tcBorders>
          </w:tcPr>
          <w:p>
            <w:pPr>
              <w:jc w:val="center"/>
            </w:pPr>
            <w:r/>
            <w:r>
              <w:rPr>
                <w:sz w:val="18"/>
                <w:rFonts w:eastAsia="宋体" w:ascii="Times New Roman" w:hAnsi="Times New Roman"/>
              </w:rPr>
              <w:t>1</w:t>
            </w:r>
          </w:p>
        </w:tc>
        <w:tc>
          <w:tcPr>
            <w:tcW w:type="dxa" w:w="1020"/>
            <w:tcBorders>
              <w:top w:val="nil"/>
              <w:left w:val="nil"/>
              <w:bottom w:val="nil"/>
              <w:right w:val="nil"/>
            </w:tcBorders>
          </w:tcPr>
          <w:p>
            <w:pPr>
              <w:jc w:val="center"/>
            </w:pPr>
            <w:r/>
            <w:r>
              <w:rPr>
                <w:sz w:val="18"/>
                <w:rFonts w:eastAsia="宋体" w:ascii="Times New Roman" w:hAnsi="Times New Roman"/>
              </w:rPr>
              <w:t>3</w:t>
            </w:r>
          </w:p>
        </w:tc>
        <w:tc>
          <w:tcPr>
            <w:tcW w:type="dxa" w:w="1020"/>
            <w:tcBorders>
              <w:top w:val="nil"/>
              <w:left w:val="nil"/>
              <w:bottom w:val="nil"/>
              <w:right w:val="nil"/>
            </w:tcBorders>
          </w:tcPr>
          <w:p>
            <w:pPr>
              <w:jc w:val="center"/>
            </w:pPr>
            <w:r/>
            <w:r>
              <w:rPr>
                <w:sz w:val="18"/>
                <w:rFonts w:eastAsia="宋体" w:ascii="Times New Roman" w:hAnsi="Times New Roman"/>
              </w:rPr>
              <w:t>5</w:t>
            </w:r>
          </w:p>
        </w:tc>
        <w:tc>
          <w:tcPr>
            <w:tcW w:type="dxa" w:w="1304"/>
            <w:tcBorders>
              <w:top w:val="nil"/>
              <w:left w:val="nil"/>
              <w:bottom w:val="nil"/>
              <w:right w:val="nil"/>
            </w:tcBorders>
          </w:tcPr>
          <w:p>
            <w:pPr>
              <w:jc w:val="center"/>
            </w:pPr>
            <w:r/>
            <w:r>
              <w:rPr>
                <w:sz w:val="18"/>
                <w:rFonts w:eastAsia="宋体" w:ascii="Times New Roman" w:hAnsi="Times New Roman"/>
              </w:rPr>
              <w:t>+2</w:t>
            </w:r>
          </w:p>
        </w:tc>
        <w:tc>
          <w:tcPr>
            <w:tcW w:type="dxa" w:w="1020"/>
            <w:tcBorders>
              <w:top w:val="nil"/>
              <w:left w:val="nil"/>
              <w:bottom w:val="nil"/>
              <w:right w:val="nil"/>
            </w:tcBorders>
          </w:tcPr>
          <w:p>
            <w:pPr>
              <w:jc w:val="center"/>
            </w:pPr>
            <w:r/>
            <w:r>
              <w:rPr>
                <w:sz w:val="18"/>
                <w:rFonts w:eastAsia="宋体" w:ascii="Times New Roman" w:hAnsi="Times New Roman"/>
              </w:rPr>
              <w:t>950</w:t>
            </w:r>
          </w:p>
        </w:tc>
        <w:tc>
          <w:tcPr>
            <w:tcW w:type="dxa" w:w="1020"/>
            <w:tcBorders>
              <w:top w:val="nil"/>
              <w:left w:val="nil"/>
              <w:bottom w:val="nil"/>
              <w:right w:val="nil"/>
            </w:tcBorders>
          </w:tcPr>
          <w:p>
            <w:pPr>
              <w:jc w:val="center"/>
            </w:pPr>
            <w:r/>
            <w:r>
              <w:rPr>
                <w:sz w:val="18"/>
                <w:rFonts w:eastAsia="宋体" w:ascii="Times New Roman" w:hAnsi="Times New Roman"/>
              </w:rPr>
              <w:t>1181</w:t>
            </w:r>
          </w:p>
        </w:tc>
      </w:tr>
      <w:tr>
        <w:tc>
          <w:tcPr>
            <w:tcW w:type="dxa" w:w="850"/>
            <w:tcBorders>
              <w:top w:val="nil"/>
              <w:left w:val="nil"/>
              <w:bottom w:val="nil"/>
              <w:right w:val="nil"/>
            </w:tcBorders>
          </w:tcPr>
          <w:p>
            <w:pPr>
              <w:jc w:val="center"/>
            </w:pPr>
            <w:r/>
            <w:r>
              <w:rPr>
                <w:sz w:val="18"/>
                <w:rFonts w:eastAsia="宋体" w:ascii="Times New Roman" w:hAnsi="Times New Roman"/>
              </w:rPr>
              <w:t>Q11</w:t>
            </w:r>
          </w:p>
        </w:tc>
        <w:tc>
          <w:tcPr>
            <w:tcW w:type="dxa" w:w="1020"/>
            <w:tcBorders>
              <w:top w:val="nil"/>
              <w:left w:val="nil"/>
              <w:bottom w:val="nil"/>
              <w:right w:val="nil"/>
            </w:tcBorders>
          </w:tcPr>
          <w:p>
            <w:pPr>
              <w:jc w:val="center"/>
            </w:pPr>
            <w:r/>
            <w:r>
              <w:rPr>
                <w:sz w:val="18"/>
                <w:rFonts w:eastAsia="宋体" w:ascii="Times New Roman" w:hAnsi="Times New Roman"/>
              </w:rPr>
              <w:t>1</w:t>
            </w:r>
          </w:p>
        </w:tc>
        <w:tc>
          <w:tcPr>
            <w:tcW w:type="dxa" w:w="1020"/>
            <w:tcBorders>
              <w:top w:val="nil"/>
              <w:left w:val="nil"/>
              <w:bottom w:val="nil"/>
              <w:right w:val="nil"/>
            </w:tcBorders>
          </w:tcPr>
          <w:p>
            <w:pPr>
              <w:jc w:val="center"/>
            </w:pPr>
            <w:r/>
            <w:r>
              <w:rPr>
                <w:sz w:val="18"/>
                <w:rFonts w:eastAsia="宋体" w:ascii="Times New Roman" w:hAnsi="Times New Roman"/>
              </w:rPr>
              <w:t>2</w:t>
            </w:r>
          </w:p>
        </w:tc>
        <w:tc>
          <w:tcPr>
            <w:tcW w:type="dxa" w:w="1020"/>
            <w:tcBorders>
              <w:top w:val="nil"/>
              <w:left w:val="nil"/>
              <w:bottom w:val="nil"/>
              <w:right w:val="nil"/>
            </w:tcBorders>
          </w:tcPr>
          <w:p>
            <w:pPr>
              <w:jc w:val="center"/>
            </w:pPr>
            <w:r/>
            <w:r>
              <w:rPr>
                <w:sz w:val="18"/>
                <w:rFonts w:eastAsia="宋体" w:ascii="Times New Roman" w:hAnsi="Times New Roman"/>
              </w:rPr>
              <w:t>5</w:t>
            </w:r>
          </w:p>
        </w:tc>
        <w:tc>
          <w:tcPr>
            <w:tcW w:type="dxa" w:w="1304"/>
            <w:tcBorders>
              <w:top w:val="nil"/>
              <w:left w:val="nil"/>
              <w:bottom w:val="nil"/>
              <w:right w:val="nil"/>
            </w:tcBorders>
          </w:tcPr>
          <w:p>
            <w:pPr>
              <w:jc w:val="center"/>
            </w:pPr>
            <w:r/>
            <w:r>
              <w:rPr>
                <w:sz w:val="18"/>
                <w:rFonts w:eastAsia="宋体" w:ascii="Times New Roman" w:hAnsi="Times New Roman"/>
              </w:rPr>
              <w:t>+3</w:t>
            </w:r>
          </w:p>
        </w:tc>
        <w:tc>
          <w:tcPr>
            <w:tcW w:type="dxa" w:w="1020"/>
            <w:tcBorders>
              <w:top w:val="nil"/>
              <w:left w:val="nil"/>
              <w:bottom w:val="nil"/>
              <w:right w:val="nil"/>
            </w:tcBorders>
          </w:tcPr>
          <w:p>
            <w:pPr>
              <w:jc w:val="center"/>
            </w:pPr>
            <w:r/>
            <w:r>
              <w:rPr>
                <w:sz w:val="18"/>
                <w:rFonts w:eastAsia="宋体" w:ascii="Times New Roman" w:hAnsi="Times New Roman"/>
              </w:rPr>
              <w:t>950</w:t>
            </w:r>
          </w:p>
        </w:tc>
        <w:tc>
          <w:tcPr>
            <w:tcW w:type="dxa" w:w="1020"/>
            <w:tcBorders>
              <w:top w:val="nil"/>
              <w:left w:val="nil"/>
              <w:bottom w:val="nil"/>
              <w:right w:val="nil"/>
            </w:tcBorders>
          </w:tcPr>
          <w:p>
            <w:pPr>
              <w:jc w:val="center"/>
            </w:pPr>
            <w:r/>
            <w:r>
              <w:rPr>
                <w:sz w:val="18"/>
                <w:rFonts w:eastAsia="宋体" w:ascii="Times New Roman" w:hAnsi="Times New Roman"/>
              </w:rPr>
              <w:t>1181</w:t>
            </w:r>
          </w:p>
        </w:tc>
      </w:tr>
      <w:tr>
        <w:tc>
          <w:tcPr>
            <w:tcW w:type="dxa" w:w="850"/>
            <w:tcBorders>
              <w:top w:val="nil"/>
              <w:left w:val="nil"/>
              <w:bottom w:val="nil"/>
              <w:right w:val="nil"/>
            </w:tcBorders>
          </w:tcPr>
          <w:p>
            <w:pPr>
              <w:jc w:val="center"/>
            </w:pPr>
            <w:r/>
            <w:r>
              <w:rPr>
                <w:sz w:val="18"/>
                <w:rFonts w:eastAsia="宋体" w:ascii="Times New Roman" w:hAnsi="Times New Roman"/>
              </w:rPr>
              <w:t>Q12</w:t>
            </w:r>
          </w:p>
        </w:tc>
        <w:tc>
          <w:tcPr>
            <w:tcW w:type="dxa" w:w="1020"/>
            <w:tcBorders>
              <w:top w:val="nil"/>
              <w:left w:val="nil"/>
              <w:bottom w:val="nil"/>
              <w:right w:val="nil"/>
            </w:tcBorders>
          </w:tcPr>
          <w:p>
            <w:pPr>
              <w:jc w:val="center"/>
            </w:pPr>
            <w:r/>
            <w:r>
              <w:rPr>
                <w:sz w:val="18"/>
                <w:rFonts w:eastAsia="宋体" w:ascii="Times New Roman" w:hAnsi="Times New Roman"/>
              </w:rPr>
              <w:t>1</w:t>
            </w:r>
          </w:p>
        </w:tc>
        <w:tc>
          <w:tcPr>
            <w:tcW w:type="dxa" w:w="1020"/>
            <w:tcBorders>
              <w:top w:val="nil"/>
              <w:left w:val="nil"/>
              <w:bottom w:val="nil"/>
              <w:right w:val="nil"/>
            </w:tcBorders>
          </w:tcPr>
          <w:p>
            <w:pPr>
              <w:jc w:val="center"/>
            </w:pPr>
            <w:r/>
            <w:r>
              <w:rPr>
                <w:sz w:val="18"/>
                <w:rFonts w:eastAsia="宋体" w:ascii="Times New Roman" w:hAnsi="Times New Roman"/>
              </w:rPr>
              <w:t>2</w:t>
            </w:r>
          </w:p>
        </w:tc>
        <w:tc>
          <w:tcPr>
            <w:tcW w:type="dxa" w:w="1020"/>
            <w:tcBorders>
              <w:top w:val="nil"/>
              <w:left w:val="nil"/>
              <w:bottom w:val="nil"/>
              <w:right w:val="nil"/>
            </w:tcBorders>
          </w:tcPr>
          <w:p>
            <w:pPr>
              <w:jc w:val="center"/>
            </w:pPr>
            <w:r/>
            <w:r>
              <w:rPr>
                <w:sz w:val="18"/>
                <w:rFonts w:eastAsia="宋体" w:ascii="Times New Roman" w:hAnsi="Times New Roman"/>
              </w:rPr>
              <w:t>5</w:t>
            </w:r>
          </w:p>
        </w:tc>
        <w:tc>
          <w:tcPr>
            <w:tcW w:type="dxa" w:w="1304"/>
            <w:tcBorders>
              <w:top w:val="nil"/>
              <w:left w:val="nil"/>
              <w:bottom w:val="nil"/>
              <w:right w:val="nil"/>
            </w:tcBorders>
          </w:tcPr>
          <w:p>
            <w:pPr>
              <w:jc w:val="center"/>
            </w:pPr>
            <w:r/>
            <w:r>
              <w:rPr>
                <w:sz w:val="18"/>
                <w:rFonts w:eastAsia="宋体" w:ascii="Times New Roman" w:hAnsi="Times New Roman"/>
              </w:rPr>
              <w:t>+3</w:t>
            </w:r>
          </w:p>
        </w:tc>
        <w:tc>
          <w:tcPr>
            <w:tcW w:type="dxa" w:w="1020"/>
            <w:tcBorders>
              <w:top w:val="nil"/>
              <w:left w:val="nil"/>
              <w:bottom w:val="nil"/>
              <w:right w:val="nil"/>
            </w:tcBorders>
          </w:tcPr>
          <w:p>
            <w:pPr>
              <w:jc w:val="center"/>
            </w:pPr>
            <w:r/>
            <w:r>
              <w:rPr>
                <w:sz w:val="18"/>
                <w:rFonts w:eastAsia="宋体" w:ascii="Times New Roman" w:hAnsi="Times New Roman"/>
              </w:rPr>
              <w:t>950</w:t>
            </w:r>
          </w:p>
        </w:tc>
        <w:tc>
          <w:tcPr>
            <w:tcW w:type="dxa" w:w="1020"/>
            <w:tcBorders>
              <w:top w:val="nil"/>
              <w:left w:val="nil"/>
              <w:bottom w:val="nil"/>
              <w:right w:val="nil"/>
            </w:tcBorders>
          </w:tcPr>
          <w:p>
            <w:pPr>
              <w:jc w:val="center"/>
            </w:pPr>
            <w:r/>
            <w:r>
              <w:rPr>
                <w:sz w:val="18"/>
                <w:rFonts w:eastAsia="宋体" w:ascii="Times New Roman" w:hAnsi="Times New Roman"/>
              </w:rPr>
              <w:t>1181</w:t>
            </w:r>
          </w:p>
        </w:tc>
      </w:tr>
      <w:tr>
        <w:tc>
          <w:tcPr>
            <w:tcW w:type="dxa" w:w="850"/>
            <w:tcBorders>
              <w:top w:val="nil"/>
              <w:left w:val="nil"/>
              <w:bottom w:val="nil"/>
              <w:right w:val="nil"/>
            </w:tcBorders>
          </w:tcPr>
          <w:p>
            <w:pPr>
              <w:jc w:val="center"/>
            </w:pPr>
            <w:r/>
            <w:r>
              <w:rPr>
                <w:sz w:val="18"/>
                <w:rFonts w:eastAsia="宋体" w:ascii="Times New Roman" w:hAnsi="Times New Roman"/>
              </w:rPr>
              <w:t>Q13</w:t>
            </w:r>
          </w:p>
        </w:tc>
        <w:tc>
          <w:tcPr>
            <w:tcW w:type="dxa" w:w="1020"/>
            <w:tcBorders>
              <w:top w:val="nil"/>
              <w:left w:val="nil"/>
              <w:bottom w:val="nil"/>
              <w:right w:val="nil"/>
            </w:tcBorders>
          </w:tcPr>
          <w:p>
            <w:pPr>
              <w:jc w:val="center"/>
            </w:pPr>
            <w:r/>
            <w:r>
              <w:rPr>
                <w:sz w:val="18"/>
                <w:rFonts w:eastAsia="宋体" w:ascii="Times New Roman" w:hAnsi="Times New Roman"/>
              </w:rPr>
              <w:t>1</w:t>
            </w:r>
          </w:p>
        </w:tc>
        <w:tc>
          <w:tcPr>
            <w:tcW w:type="dxa" w:w="1020"/>
            <w:tcBorders>
              <w:top w:val="nil"/>
              <w:left w:val="nil"/>
              <w:bottom w:val="nil"/>
              <w:right w:val="nil"/>
            </w:tcBorders>
          </w:tcPr>
          <w:p>
            <w:pPr>
              <w:jc w:val="center"/>
            </w:pPr>
            <w:r/>
            <w:r>
              <w:rPr>
                <w:sz w:val="18"/>
                <w:rFonts w:eastAsia="宋体" w:ascii="Times New Roman" w:hAnsi="Times New Roman"/>
              </w:rPr>
              <w:t>2</w:t>
            </w:r>
          </w:p>
        </w:tc>
        <w:tc>
          <w:tcPr>
            <w:tcW w:type="dxa" w:w="1020"/>
            <w:tcBorders>
              <w:top w:val="nil"/>
              <w:left w:val="nil"/>
              <w:bottom w:val="nil"/>
              <w:right w:val="nil"/>
            </w:tcBorders>
          </w:tcPr>
          <w:p>
            <w:pPr>
              <w:jc w:val="center"/>
            </w:pPr>
            <w:r/>
            <w:r>
              <w:rPr>
                <w:sz w:val="18"/>
                <w:rFonts w:eastAsia="宋体" w:ascii="Times New Roman" w:hAnsi="Times New Roman"/>
              </w:rPr>
              <w:t>5</w:t>
            </w:r>
          </w:p>
        </w:tc>
        <w:tc>
          <w:tcPr>
            <w:tcW w:type="dxa" w:w="1304"/>
            <w:tcBorders>
              <w:top w:val="nil"/>
              <w:left w:val="nil"/>
              <w:bottom w:val="nil"/>
              <w:right w:val="nil"/>
            </w:tcBorders>
          </w:tcPr>
          <w:p>
            <w:pPr>
              <w:jc w:val="center"/>
            </w:pPr>
            <w:r/>
            <w:r>
              <w:rPr>
                <w:sz w:val="18"/>
                <w:rFonts w:eastAsia="宋体" w:ascii="Times New Roman" w:hAnsi="Times New Roman"/>
              </w:rPr>
              <w:t>+3</w:t>
            </w:r>
          </w:p>
        </w:tc>
        <w:tc>
          <w:tcPr>
            <w:tcW w:type="dxa" w:w="1020"/>
            <w:tcBorders>
              <w:top w:val="nil"/>
              <w:left w:val="nil"/>
              <w:bottom w:val="nil"/>
              <w:right w:val="nil"/>
            </w:tcBorders>
          </w:tcPr>
          <w:p>
            <w:pPr>
              <w:jc w:val="center"/>
            </w:pPr>
            <w:r/>
            <w:r>
              <w:rPr>
                <w:sz w:val="18"/>
                <w:rFonts w:eastAsia="宋体" w:ascii="Times New Roman" w:hAnsi="Times New Roman"/>
              </w:rPr>
              <w:t>950</w:t>
            </w:r>
          </w:p>
        </w:tc>
        <w:tc>
          <w:tcPr>
            <w:tcW w:type="dxa" w:w="1020"/>
            <w:tcBorders>
              <w:top w:val="nil"/>
              <w:left w:val="nil"/>
              <w:bottom w:val="nil"/>
              <w:right w:val="nil"/>
            </w:tcBorders>
          </w:tcPr>
          <w:p>
            <w:pPr>
              <w:jc w:val="center"/>
            </w:pPr>
            <w:r/>
            <w:r>
              <w:rPr>
                <w:sz w:val="18"/>
                <w:rFonts w:eastAsia="宋体" w:ascii="Times New Roman" w:hAnsi="Times New Roman"/>
              </w:rPr>
              <w:t>1181</w:t>
            </w:r>
          </w:p>
        </w:tc>
      </w:tr>
      <w:tr>
        <w:tc>
          <w:tcPr>
            <w:tcW w:type="dxa" w:w="850"/>
            <w:tcBorders>
              <w:top w:val="nil"/>
              <w:left w:val="nil"/>
              <w:bottom w:val="nil"/>
              <w:right w:val="nil"/>
            </w:tcBorders>
          </w:tcPr>
          <w:p>
            <w:pPr>
              <w:jc w:val="center"/>
            </w:pPr>
            <w:r/>
            <w:r>
              <w:rPr>
                <w:sz w:val="18"/>
                <w:rFonts w:eastAsia="宋体" w:ascii="Times New Roman" w:hAnsi="Times New Roman"/>
              </w:rPr>
              <w:t>Q14</w:t>
            </w:r>
          </w:p>
        </w:tc>
        <w:tc>
          <w:tcPr>
            <w:tcW w:type="dxa" w:w="1020"/>
            <w:tcBorders>
              <w:top w:val="nil"/>
              <w:left w:val="nil"/>
              <w:bottom w:val="nil"/>
              <w:right w:val="nil"/>
            </w:tcBorders>
          </w:tcPr>
          <w:p>
            <w:pPr>
              <w:jc w:val="center"/>
            </w:pPr>
            <w:r/>
            <w:r>
              <w:rPr>
                <w:sz w:val="18"/>
                <w:rFonts w:eastAsia="宋体" w:ascii="Times New Roman" w:hAnsi="Times New Roman"/>
              </w:rPr>
              <w:t>1</w:t>
            </w:r>
          </w:p>
        </w:tc>
        <w:tc>
          <w:tcPr>
            <w:tcW w:type="dxa" w:w="1020"/>
            <w:tcBorders>
              <w:top w:val="nil"/>
              <w:left w:val="nil"/>
              <w:bottom w:val="nil"/>
              <w:right w:val="nil"/>
            </w:tcBorders>
          </w:tcPr>
          <w:p>
            <w:pPr>
              <w:jc w:val="center"/>
            </w:pPr>
            <w:r/>
            <w:r>
              <w:rPr>
                <w:sz w:val="18"/>
                <w:rFonts w:eastAsia="宋体" w:ascii="Times New Roman" w:hAnsi="Times New Roman"/>
              </w:rPr>
              <w:t>3</w:t>
            </w:r>
          </w:p>
        </w:tc>
        <w:tc>
          <w:tcPr>
            <w:tcW w:type="dxa" w:w="1020"/>
            <w:tcBorders>
              <w:top w:val="nil"/>
              <w:left w:val="nil"/>
              <w:bottom w:val="nil"/>
              <w:right w:val="nil"/>
            </w:tcBorders>
          </w:tcPr>
          <w:p>
            <w:pPr>
              <w:jc w:val="center"/>
            </w:pPr>
            <w:r/>
            <w:r>
              <w:rPr>
                <w:sz w:val="18"/>
                <w:rFonts w:eastAsia="宋体" w:ascii="Times New Roman" w:hAnsi="Times New Roman"/>
              </w:rPr>
              <w:t>5</w:t>
            </w:r>
          </w:p>
        </w:tc>
        <w:tc>
          <w:tcPr>
            <w:tcW w:type="dxa" w:w="1304"/>
            <w:tcBorders>
              <w:top w:val="nil"/>
              <w:left w:val="nil"/>
              <w:bottom w:val="nil"/>
              <w:right w:val="nil"/>
            </w:tcBorders>
          </w:tcPr>
          <w:p>
            <w:pPr>
              <w:jc w:val="center"/>
            </w:pPr>
            <w:r/>
            <w:r>
              <w:rPr>
                <w:sz w:val="18"/>
                <w:rFonts w:eastAsia="宋体" w:ascii="Times New Roman" w:hAnsi="Times New Roman"/>
              </w:rPr>
              <w:t>+2</w:t>
            </w:r>
          </w:p>
        </w:tc>
        <w:tc>
          <w:tcPr>
            <w:tcW w:type="dxa" w:w="1020"/>
            <w:tcBorders>
              <w:top w:val="nil"/>
              <w:left w:val="nil"/>
              <w:bottom w:val="nil"/>
              <w:right w:val="nil"/>
            </w:tcBorders>
          </w:tcPr>
          <w:p>
            <w:pPr>
              <w:jc w:val="center"/>
            </w:pPr>
            <w:r/>
            <w:r>
              <w:rPr>
                <w:sz w:val="18"/>
                <w:rFonts w:eastAsia="宋体" w:ascii="Times New Roman" w:hAnsi="Times New Roman"/>
              </w:rPr>
              <w:t>950</w:t>
            </w:r>
          </w:p>
        </w:tc>
        <w:tc>
          <w:tcPr>
            <w:tcW w:type="dxa" w:w="1020"/>
            <w:tcBorders>
              <w:top w:val="nil"/>
              <w:left w:val="nil"/>
              <w:bottom w:val="nil"/>
              <w:right w:val="nil"/>
            </w:tcBorders>
          </w:tcPr>
          <w:p>
            <w:pPr>
              <w:jc w:val="center"/>
            </w:pPr>
            <w:r/>
            <w:r>
              <w:rPr>
                <w:sz w:val="18"/>
                <w:rFonts w:eastAsia="宋体" w:ascii="Times New Roman" w:hAnsi="Times New Roman"/>
              </w:rPr>
              <w:t>1181</w:t>
            </w:r>
          </w:p>
        </w:tc>
      </w:tr>
      <w:tr>
        <w:tc>
          <w:tcPr>
            <w:tcW w:type="dxa" w:w="850"/>
            <w:tcBorders>
              <w:top w:val="nil"/>
              <w:left w:val="nil"/>
              <w:bottom w:val="single" w:sz="12" w:color="000000"/>
              <w:right w:val="nil"/>
            </w:tcBorders>
          </w:tcPr>
          <w:p>
            <w:pPr>
              <w:jc w:val="center"/>
            </w:pPr>
            <w:r/>
            <w:r>
              <w:rPr>
                <w:sz w:val="18"/>
                <w:rFonts w:eastAsia="宋体" w:ascii="Times New Roman" w:hAnsi="Times New Roman"/>
              </w:rPr>
              <w:t>Q15</w:t>
            </w:r>
          </w:p>
        </w:tc>
        <w:tc>
          <w:tcPr>
            <w:tcW w:type="dxa" w:w="1020"/>
            <w:tcBorders>
              <w:top w:val="nil"/>
              <w:left w:val="nil"/>
              <w:bottom w:val="single" w:sz="12" w:color="000000"/>
              <w:right w:val="nil"/>
            </w:tcBorders>
          </w:tcPr>
          <w:p>
            <w:pPr>
              <w:jc w:val="center"/>
            </w:pPr>
            <w:r/>
            <w:r>
              <w:rPr>
                <w:sz w:val="18"/>
                <w:rFonts w:eastAsia="宋体" w:ascii="Times New Roman" w:hAnsi="Times New Roman"/>
              </w:rPr>
              <w:t>1</w:t>
            </w:r>
          </w:p>
        </w:tc>
        <w:tc>
          <w:tcPr>
            <w:tcW w:type="dxa" w:w="1020"/>
            <w:tcBorders>
              <w:top w:val="nil"/>
              <w:left w:val="nil"/>
              <w:bottom w:val="single" w:sz="12" w:color="000000"/>
              <w:right w:val="nil"/>
            </w:tcBorders>
          </w:tcPr>
          <w:p>
            <w:pPr>
              <w:jc w:val="center"/>
            </w:pPr>
            <w:r/>
            <w:r>
              <w:rPr>
                <w:sz w:val="18"/>
                <w:rFonts w:eastAsia="宋体" w:ascii="Times New Roman" w:hAnsi="Times New Roman"/>
              </w:rPr>
              <w:t>3</w:t>
            </w:r>
          </w:p>
        </w:tc>
        <w:tc>
          <w:tcPr>
            <w:tcW w:type="dxa" w:w="1020"/>
            <w:tcBorders>
              <w:top w:val="nil"/>
              <w:left w:val="nil"/>
              <w:bottom w:val="single" w:sz="12" w:color="000000"/>
              <w:right w:val="nil"/>
            </w:tcBorders>
          </w:tcPr>
          <w:p>
            <w:pPr>
              <w:jc w:val="center"/>
            </w:pPr>
            <w:r/>
            <w:r>
              <w:rPr>
                <w:sz w:val="18"/>
                <w:rFonts w:eastAsia="宋体" w:ascii="Times New Roman" w:hAnsi="Times New Roman"/>
              </w:rPr>
              <w:t>5</w:t>
            </w:r>
          </w:p>
        </w:tc>
        <w:tc>
          <w:tcPr>
            <w:tcW w:type="dxa" w:w="1304"/>
            <w:tcBorders>
              <w:top w:val="nil"/>
              <w:left w:val="nil"/>
              <w:bottom w:val="single" w:sz="12" w:color="000000"/>
              <w:right w:val="nil"/>
            </w:tcBorders>
          </w:tcPr>
          <w:p>
            <w:pPr>
              <w:jc w:val="center"/>
            </w:pPr>
            <w:r/>
            <w:r>
              <w:rPr>
                <w:sz w:val="18"/>
                <w:rFonts w:eastAsia="宋体" w:ascii="Times New Roman" w:hAnsi="Times New Roman"/>
              </w:rPr>
              <w:t>+2</w:t>
            </w:r>
          </w:p>
        </w:tc>
        <w:tc>
          <w:tcPr>
            <w:tcW w:type="dxa" w:w="1020"/>
            <w:tcBorders>
              <w:top w:val="nil"/>
              <w:left w:val="nil"/>
              <w:bottom w:val="single" w:sz="12" w:color="000000"/>
              <w:right w:val="nil"/>
            </w:tcBorders>
          </w:tcPr>
          <w:p>
            <w:pPr>
              <w:jc w:val="center"/>
            </w:pPr>
            <w:r/>
            <w:r>
              <w:rPr>
                <w:sz w:val="18"/>
                <w:rFonts w:eastAsia="宋体" w:ascii="Times New Roman" w:hAnsi="Times New Roman"/>
              </w:rPr>
              <w:t>950</w:t>
            </w:r>
          </w:p>
        </w:tc>
        <w:tc>
          <w:tcPr>
            <w:tcW w:type="dxa" w:w="1020"/>
            <w:tcBorders>
              <w:top w:val="nil"/>
              <w:left w:val="nil"/>
              <w:bottom w:val="single" w:sz="12" w:color="000000"/>
              <w:right w:val="nil"/>
            </w:tcBorders>
          </w:tcPr>
          <w:p>
            <w:pPr>
              <w:jc w:val="center"/>
            </w:pPr>
            <w:r/>
            <w:r>
              <w:rPr>
                <w:sz w:val="18"/>
                <w:rFonts w:eastAsia="宋体" w:ascii="Times New Roman" w:hAnsi="Times New Roman"/>
              </w:rPr>
              <w:t>1181</w:t>
            </w:r>
          </w:p>
        </w:tc>
      </w:tr>
    </w:tbl>
    <w:p/>
    <w:p>
      <w:pPr>
        <w:jc w:val="both"/>
      </w:pPr>
      <w:r>
        <w:t>注：V0 模式 token 恒为 350，V0' 模式 token 恒为 950，V3 模式 token 恒为 1181。基线 V0 的均值与 V0'、V3 的对比反映加载模式对回答质量的边际影响。</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LE一级标题">
    <w:name w:val="TILE一级标题"/>
    <w:basedOn w:val="Normal"/>
    <w:pPr>
      <w:spacing w:line="360" w:lineRule="auto" w:before="240" w:after="120"/>
      <w:ind w:firstLine="0"/>
      <w:jc w:val="left"/>
    </w:pPr>
    <w:rPr>
      <w:rFonts w:ascii="Times New Roman" w:hAnsi="Times New Roman" w:eastAsia="黑体"/>
      <w:b/>
      <w:sz w:val="28"/>
    </w:rPr>
  </w:style>
  <w:style w:type="paragraph" w:customStyle="1" w:styleId="TILE二级标题">
    <w:name w:val="TILE二级标题"/>
    <w:basedOn w:val="Normal"/>
    <w:pPr>
      <w:spacing w:line="360" w:lineRule="auto" w:before="120" w:after="60"/>
      <w:ind w:firstLine="0"/>
      <w:jc w:val="left"/>
    </w:pPr>
    <w:rPr>
      <w:rFonts w:ascii="Times New Roman" w:hAnsi="Times New Roman" w:eastAsia="黑体"/>
      <w:b/>
      <w:sz w:val="24"/>
    </w:rPr>
  </w:style>
  <w:style w:type="paragraph" w:customStyle="1" w:styleId="TILE三级标题">
    <w:name w:val="TILE三级标题"/>
    <w:basedOn w:val="Normal"/>
    <w:pPr>
      <w:spacing w:line="360" w:lineRule="auto" w:before="60" w:after="60"/>
      <w:ind w:firstLine="0"/>
      <w:jc w:val="left"/>
    </w:pPr>
    <w:rPr>
      <w:rFonts w:ascii="Times New Roman" w:hAnsi="Times New Roman" w:eastAsia="黑体"/>
      <w:b/>
      <w:sz w:val="21"/>
    </w:rPr>
  </w:style>
  <w:style w:type="paragraph" w:customStyle="1" w:styleId="TILE摘要">
    <w:name w:val="TILE摘要"/>
    <w:basedOn w:val="Normal"/>
    <w:pPr>
      <w:spacing w:line="336" w:lineRule="auto" w:before="0" w:after="0"/>
      <w:ind w:firstLine="420"/>
      <w:jc w:val="both"/>
    </w:pPr>
    <w:rPr>
      <w:rFonts w:ascii="Times New Roman" w:hAnsi="Times New Roman" w:eastAsia="宋体"/>
      <w:b w:val="0"/>
      <w:sz w:val="18"/>
    </w:rPr>
  </w:style>
  <w:style w:type="paragraph" w:customStyle="1" w:styleId="TILE图题">
    <w:name w:val="TILE图题"/>
    <w:basedOn w:val="Normal"/>
    <w:pPr>
      <w:spacing w:line="288" w:lineRule="auto" w:before="60" w:after="60"/>
      <w:ind w:firstLine="0"/>
      <w:jc w:val="center"/>
    </w:pPr>
    <w:rPr>
      <w:rFonts w:ascii="Times New Roman" w:hAnsi="Times New Roman" w:eastAsia="黑体"/>
      <w:b/>
      <w:sz w:val="18"/>
    </w:rPr>
  </w:style>
  <w:style w:type="paragraph" w:customStyle="1" w:styleId="TILE表题">
    <w:name w:val="TILE表题"/>
    <w:basedOn w:val="Normal"/>
    <w:pPr>
      <w:spacing w:line="288" w:lineRule="auto" w:before="120" w:after="60"/>
      <w:ind w:firstLine="0"/>
      <w:jc w:val="center"/>
    </w:pPr>
    <w:rPr>
      <w:rFonts w:ascii="Times New Roman" w:hAnsi="Times New Roman" w:eastAsia="黑体"/>
      <w:b/>
      <w:sz w:val="18"/>
    </w:rPr>
  </w:style>
  <w:style w:type="paragraph" w:customStyle="1" w:styleId="TILE算法">
    <w:name w:val="TILE算法"/>
    <w:basedOn w:val="Normal"/>
    <w:pPr>
      <w:spacing w:line="312" w:lineRule="auto" w:before="0" w:after="0"/>
      <w:ind w:firstLine="0"/>
      <w:jc w:val="left"/>
    </w:pPr>
    <w:rPr>
      <w:rFonts w:ascii="Times New Roman" w:hAnsi="Times New Roman" w:eastAsia="宋体"/>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