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云悦共享生态  /  销售阶段运营演示</w:t>
      </w:r>
    </w:p>
    <w:p>
      <w:pPr>
        <w:pStyle w:val="Title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112A52"/>
          <w:sz w:val="48"/>
        </w:rPr>
        <w:t>企业宝运营演示</w:t>
      </w:r>
    </w:p>
    <w:p>
      <w:pPr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226199"/>
          <w:sz w:val="24"/>
        </w:rPr>
        <w:t>12章 · 分镜时间轴 · HeyGen制作交付标准</w:t>
      </w:r>
    </w:p>
    <w:p>
      <w:pPr>
        <w:spacing w:before="0" w:after="28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V6.2.1  ·  2026年10月  ·  正式定稿</w:t>
      </w:r>
    </w:p>
    <w:p>
      <w:pPr>
        <w:spacing w:before="40" w:after="120"/>
        <w:pBdr>
          <w:bottom w:val="single" w:sz="5" w:color="D8E6F1"/>
        </w:pBdr>
      </w:pPr>
    </w:p>
    <w:p>
      <w:pPr>
        <w:spacing w:before="120" w:after="200"/>
      </w:pPr>
      <w:r>
        <w:rPr>
          <w:b/>
          <w:color w:val="2A6A9A"/>
          <w:sz w:val="18"/>
        </w:rPr>
        <w:t>归档提示｜本文第1–8节保留原V6.2.1的101镜内容与08:58制片预排时间。第9–11节为HeyGen已应用42场景蓝图的制作同步记录（约09:30），时码以最终配音及剪辑为准；两者不能当作两套配音稿。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一、作品定位与完整运营路线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作品用途：面向企业客户的运营场景演示，兼顾售前成交沟通。讲“买来之后怎样经营、为什么有经营价值”，不做后台按钮教学和政策概念灌输。秦皇岛特产店是匿名示例，秦来APP是本地入口，不影响在其他地区复用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运营路线：先完成企业宝装修配置 → 上架商品/服务 → 通过内容与活动触达用户 → 通过关系记录与生态协作探索增收 → 使用互动营销促活成交 → 云享联盟卡异业联营 → 易货额度商城盘活资源 → 理解云悦五大共享 → 总结五大价值并邀约。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双层价值表达：企业宝五大经营价值＝降本、拓量、增收、联营、易货；云悦五大共享机制＝用户、商品、内容、运营、商业价值。五大共享贯穿案例，在第11章集中解释；不可将其等同于联盟卡。</w:t>
      </w:r>
    </w:p>
    <w:p>
      <w:pPr>
        <w:spacing w:before="0" w:after="24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制片规模：12个正式章节＋2段过渡＋片头片尾；当前保留101镜规划。第10章易货原43秒调整为暂估55秒，完整版暂估08:58，实际以王老师1.1倍真实音频为准。若不够，优先延长有效镜头；必要时另增1–2镜，须再次确认编号与成本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二、分章时间与客户价值路线图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章节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规划时间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客户看到的经营动作</w:t>
            </w:r>
          </w:p>
        </w:tc>
        <w:tc>
          <w:tcPr>
            <w:tcW w:type="dxa" w:w="2369"/>
            <w:shd w:fill="DDECF7"/>
            <w:tcMar>
              <w:top w:w="115" w:type="dxa"/>
              <w:start w:w="110" w:type="dxa"/>
              <w:bottom w:w="115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传达价值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  封面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00:00–00:07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开门见山建立产品主题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片头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  从一家秦皇岛商家的生意开始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00:07–00:30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真实商家场景与需求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经营起点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  建立企业自己的经营阵地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00:30–01:25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先搭经营阵地，再开始运营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降本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  商品、内容与活动一起经营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01:25–02:13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商品上架、内容和活动形成销售触点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拓量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  经营用户价值，开辟新增收入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02:13–03:18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两条新的经营收入线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增收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B1  互动营销，让客户愿意再来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03:18–03:33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从用户价值过渡到促活和成交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承上启下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  秒杀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03:33–04:00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新品推广，促进首购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  拼团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04:00–04:27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老客分享，触达新客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07  盲盒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04:27–05:00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趣味体验，提高参与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  竞拍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05:00–05:29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特色商品展示与互动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互动营销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B2  从单店互动走向异业联营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05:29–05:37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从单店经营过渡到共享生态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承上启下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  云享联盟卡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05:37–06:25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通过权益共享促进异业联营，避免将联盟卡等同整个生态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联营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  生态易货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06:25–07:20*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解释易货及商家价值→保证金与额度→商城采购→上架商品→兑换获得额度→福利/采购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易货｜库存流通 · 现金采购压力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11  连接云悦共享生态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r>
              <w:t>07:20–08:08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用前面商家运营实践解释五种共享，非单独概念宣讲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12  持续经营与收束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08:08–08:50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以购买后的运营路径做复盘，结束为商家合作邀约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价值总结</w:t>
            </w:r>
          </w:p>
        </w:tc>
      </w:tr>
      <w:tr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99  邀约与感谢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r>
              <w:t>08:50–08:58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完成视觉停留，保留品牌署名</w:t>
            </w:r>
          </w:p>
        </w:tc>
        <w:tc>
          <w:tcPr>
            <w:tcW w:type="dxa" w:w="2369"/>
            <w:tcMar>
              <w:top w:w="90" w:type="dxa"/>
              <w:start w:w="110" w:type="dxa"/>
              <w:bottom w:w="90" w:type="dxa"/>
              <w:end w:w="110" w:type="dxa"/>
            </w:tcMar>
            <w:shd w:fill="F4F8FC"/>
            <w:vAlign w:val="center"/>
          </w:tcPr>
          <w:p>
            <w:pPr>
              <w:spacing w:after="20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片尾</w:t>
            </w:r>
          </w:p>
        </w:tc>
      </w:tr>
    </w:tbl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三、统一视觉、品牌与旁白规则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画面风格：16:9横屏，1920×1080。冰白/浅蓝/藏蓝，干净、轻线条、适量真实商家生活场景；不要深色赛博背景、霓虹、夸张3D金字塔、模板感数字大屏。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云悦Logo：用用户提供的黑色节点＋顶部红点原版透明素材。放左上，建议约画宽3%–4%，同行小标题“企业宝运营演示”；不要用虚构蓝色六边形Logo。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专业署名：云悦主品牌优先；只在片尾低调显示“策划制作｜云燕工作室”“讲解｜王老师”，不放真人头像、不在片头抢品牌、不朗读制作署名。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字幕：小号黑色无背景整句字幕，置于下方安全区域；不逐字高亮、不加重复烧录字幕；跨镜头长句字幕自然延续。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音色：使用已保存私人音色“王老师”，以HeyGen实际选定Voice为准，1.1倍语速、自然断句、无数字人出镜；避免整片无脑同速、夸张的气口。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UI与商家示例：优先上传真实可授权的前台截图，商品与页面缺素材时做清晰“示意”UI；绝不能编造店名、真实订单数据、收益数字、库存量、售价或商家身份。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营销合规：盲盒必须有明确商品范围与规则；竞拍明确起止和成交条件；秒杀、拼团的实际开通与权益以合同附件、产品当前权限为准。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易货：按规则缴纳履约保证金→取得等额初始易货额度→进入生态易货商城→选品→确认可用额度→额度下单；商家上架周转较慢商品，被生态用户兑换后按规则获得额度。体现“盘活库存／增加出货机会／减少部分现金采购”，不展示现金余额、保证现金节省额、免费提现或一对一换货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四、逐章逐镜执行清单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正式片头｜封面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00:00–00:07  ·  约7秒  ·  开门见山建立产品主题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配音要点：企业宝运营演示。从线上经营到共享生态协同。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00:00–00:04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白蓝渐变纯净底，真实云悦节点Logo小幅淡入，预留标题区域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云悦共享生态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00:04–00:07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“企业宝运营演示”主标题出现，生态连接细线轻缓展开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企业宝运营演示</w:t>
              <w:br/>
              <w:t>从线上经营到共享生态协同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01｜从一家秦皇岛商家的生意开始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00:07–00:30  ·  约23秒  ·  真实商家场景与需求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在秦皇岛，有这样一家经营本地特产的商店。门店里有自己的特色商品，也有积累多年的老顾客。现在，商家想把这份生意延伸到手机上，让更多顾客随时看见产品、了解服务，遇到喜欢的，还能直接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00:07–00:12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秦皇岛街景或海边城市地标的通用实拍感转场，不冒充真实店址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一家秦皇岛特产店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00:12–00:17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匿名特产店外观，玻璃橱窗和陈列真实自然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本地特产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00:17–00:22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老板整理礼盒、查看商品，已有顾客到店购买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有商品，也有老客户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00:22–00:26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店主拿起手机，店面实景切换到线上展示页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把生意延伸到手机上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00:26–00:30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顾客在手机看到品牌、商品与服务，进入经营故事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从这家店开始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02｜建立企业自己的经营阵地｜降本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00:30–01:25  ·  约55秒  ·  先搭经营阵地，再开始运营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配音要点：开通企业宝后，先把企业自己的线上经营阵地搭建起来。从Logo、企业介绍、品牌特色和门店信息开始，完成基础装修与启动设置。再根据经营需要，配置视频、直播、活动、社群、商城、精选产……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00:30–00:37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手机框架由空白加载成企业宝首页，展示基础搭建启动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企业自己的经营阵地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00:37–00:43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商家品牌Logo上传和展示，Logo仅作商家示意非云悦标志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企业Logo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00:43–00:49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品牌介绍、品牌特色、门店信息分层呈现，避免虚构店名电话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企业介绍 · 门店信息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00:49–00:55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手机首页完成基础装修，导航清晰，版式清新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基础装修与启动设置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00:55–01:01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视频、直播两类经营入口从首页依次出现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 · 直播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01:01–01:07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活动、社群、商城入口轻量排布，表现功能整合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 · 社群 · 商城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01:07–01:13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精选产品、AI客服、会员积分、我的关注作为可选配置卡片展示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精选产品 · 会员积分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01:13–01:19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发布视频、活动以及邀请老客户回访经营页面的示意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更新内容 · 邀请客户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01:19–01:25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客户浏览品牌、商品与服务，一部手机呈现经营入口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一个窗口，整合常用工具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03｜商品、内容与活动一起经营｜拓量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01:25–02:13  ·  约48秒  ·  商品上架、内容和活动形成销售触点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搭建完成后，接下来就是上架商品和服务，开始线上经营。比如这家特产店，可以先选择几款主推商品：尝鲜装、家庭组合和节日礼盒。商品上架后，顾客就能在商城查看介绍、了解特色，直接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01:25–01:31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进入商城商品管理示意页，点击新增商品，禁止复制真实后台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先上架商品和服务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01:31–01:37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三款产品图：尝鲜装、家庭组合、节日礼盒依次陈列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尝鲜装 · 家庭组合 · 节日礼盒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01:37–01:43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商品详情展示产地特色、规格、图片、价格为示意，价格不可乱编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清楚展示商品特色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01:43–01:49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顾客浏览商城商品卡，查看详情并下单的示意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浏览 · 了解 · 购买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01:49–01:55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短视频拍摄特产场景：包装、产地、特色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短视频讲产品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01:55–02:01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直播镜头介绍新品，主播不使用数字人脸型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直播介绍新品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02:01–02:07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特产品鉴会或线下沙龙，3–4位顾客参与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活动让顾客了解品牌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02:07–02:13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培训课程与酒店房型的独立小卡片一闪而过，再回到特产店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不同行业，都能经营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04｜经营用户价值，开辟新增收入｜增收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02:13–03:18  ·  约65秒  ·  两条新的经营收入线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企业宝的增收，不只是让商品卖得更多，更重要的是为企业开辟两条新的收入线。第一条，老客户带来的生态分润。商家邀请老客户注册企业宝，系统自动记录客户来源，完成用户关系确权。比如，这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02:13–02:19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章标题以“新增收入机会”展开，不承诺收益金额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增收：两条收入线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02:19–02:25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第一条收入线从“我的老客户”开始，客户在授权下注册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老客户注册 · 关系记录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02:25–02:31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用线条将客户与特产店连接，展示客户来源与关系记录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客户来源可记录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02:31–02:37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同一客户沿线条进入秦来APP的其他商家消费场景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老客走进其他店铺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02:37–02:43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线条扩展到云悦生态其他店铺，节点构成适度稀疏的网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生态内更多消费场景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02:43–02:49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突出条件标记“符合规则的交易贡献”，只显示示意收益箭头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按规则获得贡献分润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02:49–02:55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第二条收入线从生态商家其他客群出发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第二条：生态新客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02:55–03:01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生态客户看到特产店产品，进入企业宝首页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生态客户发现我的店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03:01–03:07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新客浏览特产礼盒并形成订单示意，避免显示虚构数字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带来新的订单机会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03:07–03:13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双向简洁图：我的老客户走向生态；生态客户来到我的店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贡献分润 + 新客订单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03:13–03:18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定格客户关系与生态价值图形，标题点题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从商品经营到用户价值经营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过渡｜互动营销，让客户愿意再来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03:18–03:33  ·  约15秒  ·  从用户价值过渡到促活和成交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配音要点：有了客户，还要让客户愿意参与、持续关注。企业宝提供秒杀、拼团、盲盒、竞拍等互动营销工具，帮助商家激活老客户、吸引新顾客，促进分享和成交，让客户经营更加丰富。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03:18–03:26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简洁商家手机界面，原客户再次查看活动通知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让客户愿意再来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03:26–03:33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秒杀/拼团/盲盒/竞拍四个单色小图标排成轻量矩阵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关注 · 参与 · 分享 · 成交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05｜秒杀｜新品推广 · 吸引首单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03:33–04:00  ·  约27秒  ·  新品推广，促进首购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秒杀，就是商家在限定时间内，以优惠价格推出指定商品的促销活动。它能帮助商家集中推广新品、吸引顾客关注，促进首次购买。比如这家秦皇岛特产店，可以拿出少量新品尝鲜装，设置限时优惠，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03:33–03:39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沿用已认可的秒杀样片视觉：主题标题＋尝鲜装实物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秒杀｜新品推广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03:39–03:45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手机秒杀活动入口显示，突出限时、指定商品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限时活动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03:45–03:50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尝鲜礼盒规格与少量名额的视觉示意，不填虚构价格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新品尝鲜装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03:50–03:55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顾客滑动手机了解活动并按规则下单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吸引关注 · 促进首购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03:55–04:00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门店整理订单并交付，轻转后续服务场景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从第一次体验开始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06｜拼团｜老客分享 · 拓展新客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04:00–04:27  ·  约27秒  ·  老客分享，触达新客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拼团，就是顾客邀请亲友一起购买，满足成团条件后，享受约定的团购优惠。它能帮助商家借助老客户的分享推荐，触达更多新顾客，增加销售机会。比如这家特产店，可以把家庭组合、节日礼盒设置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04:00–04:05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标题“拼团”出现，展示节日礼盒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拼团｜分享拓客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04:05–04:10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手机拼团详情展示成团条件，价格和人数使用“示意”或不显示数值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邀请亲友参团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04:10–04:15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老顾客自然将礼盒活动分享给亲友的手机场景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04:15–04:19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亲友查看产品并参与购买，切忌展示虚构成团数据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拓展新客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04:19–04:23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两个真实感顾客在店内领取或收到礼盒，场景自然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分享促成新订单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04:23–04:27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总结文字落在特产店与亲友传播连线上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老客分享 · 新客触达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07｜盲盒｜趣味互动 · 增加参与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04:27–05:00  ·  约33秒  ·  趣味体验，提高参与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盲盒，就是顾客提前了解商品范围和活动规则，但购买时不知道最终会获得哪一款商品的趣味消费方式。它能帮助商家增加购物的趣味性，让更多特色商品获得关注，也为主题活动带来新的互动方式。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04:27–04:33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特色文创小礼品整齐排开，标题“盲盒”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盲盒｜趣味体验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04:33–04:39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主题盲盒包装与候选小礼品范围同屏展示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提前了解商品范围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04:39–04:45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活动规则概览卡：商品范围/参与方式/随机说明，无虚构概率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规则透明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04:45–04:50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顾客选择主题盲盒，手机界面简洁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自愿参与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04:50–04:55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开启盒子揭晓其中一款文创小礼品的实物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开盒惊喜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04:55–05:00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顾客分享礼品照片，回到主页面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增加互动与关注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08｜竞拍｜特色展示 · 促进互动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05:00–05:29  ·  约29秒  ·  特色商品展示与互动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竞拍，就是顾客在规定时间内，按照公开规则参与出价，并根据成交条件确定购买者的交易方式。它能帮助商家增加特色商品的展示机会，吸引感兴趣的顾客参与互动。比如这家特产店，可以选择限量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05:00–05:06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独立“竞拍”标题与限量特色纪念礼盒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竞拍｜特色商品互动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05:06–05:12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商品详情卡：特色、参与时间、成交条件，避免虚构价格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清楚展示规则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05:12–05:18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有兴趣的顾客查看竞拍页面并自主出价，金额置空或示意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按规则参与出价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05:18–05:24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时间轴与竞价轻动效，保留价和竞拍结果未达到则可能流拍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公开规则，按条件成交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05:24–05:29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礼盒定格近景，随后平滑回单店经营画面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让特色商品被看见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过渡｜从单店互动走向异业联营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05:29–05:37  ·  约8秒  ·  从单店经营过渡到共享生态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配音要点：除了经营自己的客户，企业还可以连接其他商家，把营销和服务延伸到更多消费场景。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05:29–05:33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四种互动电商入口淡出，出现三家商户图标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从单店走向合作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05:33–05:37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商户之间以浅蓝细线连接，转入权益卡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连接更多消费场景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09｜云享联盟卡｜共享客流，异业联营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05:37–06:25  ·  约48秒  ·  通过权益共享促进异业联营，避免将联盟卡等同整个生态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云享联盟卡，是连接云悦共享生态内不同商家与会员权益的一张电子会员卡。商家可以展示自己的商品和服务，设置适用的会员专属优惠，与其他商家联合推广，获得更多被生态顾客发现的机会。比如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05:37–05:43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标题云享联盟卡，电子会员权益卡居中，避免实物卡误解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云享联盟卡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05:43–05:49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在生态商家展示中突出特产店、餐厅、酒店三个入口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联盟展示入口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05:49–05:55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特产店自主设置会员权益卡片，不显示未经核验的固定折扣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会员专属权益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05:55–06:00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游客到秦皇岛入住酒店的轻实拍画面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酒店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06:00–06:05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游客用餐，餐饮场景和本地产品相联系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餐饮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06:05–06:10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游客选购特产礼盒，展示多次消费旅程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特产购物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06:10–06:15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酒店/餐饮/特产三节点权益连接与推荐箭头，避免直接共享用户个人数据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异业联合推广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06:15–06:20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三家合作策划主题活动/消费攻略示意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联合活动 · 组合服务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070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06:20–06:25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顾客获得更完整本地体验，商家获得更多曝光机会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共享客流，协同经营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10｜生态易货｜盘活库存，缓解现金压力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06:25–07:20  ·  暂估约55秒（待音频核准）  ·  先讲问题与价值，再用两条流程展示商品流通和额度采购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配音要点（与配音稿一致）：生态易货，就是企业通过云悦易货商城，让商品在生态内流通，并使用易货额度选购其他商家的商品。 它能帮助商家盘活积压库存、拓宽出货渠道，同时减少部分现金采购支出。 比如这家秦皇岛特产店，按规则缴纳履约保证金，获得等额初始易货额度后，就可以进入易货商城选购商品。 同时，还可以把周转较慢的特产礼盒上架。商品被其他用户兑换后，账户按规则增加相应额度，再用额度采购办公用品、员工福利或客户回馈礼品。 整个过程不需要寻找一对一的换货对象。 让库存流动起来，让采购更加灵活，缓解企业的现金压力。这就是生态易货的价值。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06:25–06:30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由第09章联营过渡至“生态易货”，特产礼盒与易货商城连接。口播：定义易货——商品在生态内流通，可用额度购买其他商家商品。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生态易货｜额度流通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06:30–06:36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左右两侧呈现“周转慢的礼盒”与“办公采购需求”，强调有机会盘活库存、减少部分现金支出，不虚构库存金额。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盘活库存 · 缓解采购压力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06:36–06:42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开通流程：按合同规则缴纳履约保证金→获得等额初始易货额度。画面用通用金额占位，不把保证金当作服务费。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履约保证金 → 等额初始额度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06:42–06:47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手机进入生态易货商城，展示可浏览的商品分类。旧素材 image_rsbm8i 只作可修改参考，必须去除其他品牌。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进入生态易货商城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06:47–06:53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商家选择办公用品、员工福利及客户礼品类商品；用真实授权商品或标注为“示意”的页面，不捏造品牌和价格。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选择所需商品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06:53–06:58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结算页面清晰显示“可用易货额度”，由额度支付完成下单，绝不展示现金钱包、免费提现。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确认可用额度 · 额度下单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06:58–07:04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特产店把周转较慢的礼盒上架易货商城，商品资料与库存展示采用匿名示意。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自家商品上架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07:04–07:10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生态用户在商城兑换特产礼盒，商家按规则获得相应易货额度，账本箭头标注“按规则增加”。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商品兑换 → 额度增加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07:10–07:15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账户增加的额度返回商城，再选择办公采购、员工福利或客户回馈礼品。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额度再利用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07:15–07:20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以“库存流通”和“采购选择”两条清晰路径汇合，口播强调无需一对一找商家直接换货，收束至易货价值。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库存流通 · 采购更灵活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11｜连接云悦共享生态｜五大共享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07:20–08:08  ·  约48秒  ·  用前面商家运营实践解释五种共享，非单独概念宣讲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配音要点：这家特产店的企业宝，不只是一家线上店铺，还连接着更广阔的云悦共享生态。秦来APP是秦皇岛的本地经营入口，也是云悦生态中的一个应用节点。企业可以先在本地经营，再按开放范围与其他生……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07:20–07:25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秦来APP作为本地节点，以其与其他无品牌节点共同进入生态网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本地APP · 生态入口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07:25–07:30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企业宝商家连接本地客户与门店的基础小网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先经营本地生意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07:30–07:35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网络向更多无名称APP节点延伸，不使用未经核验数量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连接更多经营场景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07:35–07:40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五大共享总览，五个平衡分布节点，统一浅蓝线条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五大共享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07:40–07:45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用户共享：合法合规的客户触达与权益连接示意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用户共享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07:45–07:50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商品共享：特产礼盒进入获允许的合作展示渠道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商品共享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07:50–07:55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内容共享：短视频、直播、主题活动信息合作传播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内容共享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07:55–08:00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运营共享：两家商家共同组织主题活动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运营共享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089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08:00–08:04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商业价值共享：来源记录与交易贡献流线，强调“按规则”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商业价值共享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08:04–08:08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五节点汇合到特产店，形成从独立经营到生态协作的结构图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从单店走向生态协同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12｜持续经营与收束｜五大价值回顾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08:08–08:50  ·  约42秒  ·  以购买后的运营路径做复盘，结束为商家合作邀约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回头看，这家特产店的起步并不复杂。先把企业宝搭建好，上架商品和服务，再用视频、直播和活动吸引客户。通过客户关系记录和生态协同，探索新增收入；用秒杀、拼团、盲盒和竞拍，带动客户关…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08:08–08:13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镜头复盘：从空白页到企业宝店铺成型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第一步，搭建经营阵地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08:13–08:18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主推商品在手机商城完成展示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第二步，上架商品和服务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08:18–08:23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视频、直播、活动组合推动顾客触达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第三步，经营内容和活动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08:23–08:28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客户来源与两条收入线的简化双向图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第四步，经营用户价值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095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08:28–08:33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四种互动营销图标与商家的真实场景再现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第五步，促进互动和成交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08:33–08:38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联盟卡、易货商城两功能短画面并排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第六步，参与联营和易货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097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08:38–08:42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五个大字“降本 拓量 增收 联营 易货”依次淡入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企业宝五大价值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08:42–08:46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客户在手机浏览商家并与店主交谈，营造咨询意愿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欢迎了解企业宝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099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08:46–08:50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行动呼吁文字出现在生态星空淡蓝网络前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找到适合自己的运营方式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2"/>
        <w:spacing w:before="240"/>
      </w:pPr>
      <w:r>
        <w:rPr>
          <w:rFonts w:ascii="Noto Sans CJK SC" w:hAnsi="Noto Sans CJK SC" w:eastAsia="Noto Sans CJK SC"/>
          <w:b/>
          <w:color w:val="112A52"/>
          <w:sz w:val="22"/>
        </w:rPr>
        <w:t>正式片尾｜邀约与感谢</w:t>
      </w:r>
    </w:p>
    <w:p>
      <w:pPr>
        <w:keepNext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26199"/>
          <w:sz w:val="16"/>
        </w:rPr>
        <w:t>08:50–08:58  ·  约8秒  ·  完成视觉停留，保留品牌署名</w:t>
      </w:r>
    </w:p>
    <w:p>
      <w:pPr>
        <w:keepNext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配音要点：感谢观看，期待与您合作。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</w:trPr>
        <w:tc>
          <w:tcPr>
            <w:tcW w:type="dxa" w:w="922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镜号</w:t>
            </w:r>
          </w:p>
        </w:tc>
        <w:tc>
          <w:tcPr>
            <w:tcW w:type="dxa" w:w="1469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时间码</w:t>
            </w:r>
          </w:p>
        </w:tc>
        <w:tc>
          <w:tcPr>
            <w:tcW w:type="dxa" w:w="501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画面与动作</w:t>
            </w:r>
          </w:p>
        </w:tc>
        <w:tc>
          <w:tcPr>
            <w:tcW w:type="dxa" w:w="1901"/>
            <w:shd w:fill="E3EFF8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t>屏幕关键文字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100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r>
              <w:t>08:50–08:54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结束版面用云悦Logo＋“感谢观看 · 期待与您合作”留白稳定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shd w:fill="F5F9FC"/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感谢观看 · 期待与您合作</w:t>
            </w:r>
          </w:p>
        </w:tc>
      </w:tr>
      <w:tr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101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r>
              <w:t>08:54–08:58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片尾底部两行小署名渐入，不朗读人名与制作单位；淡出</w:t>
            </w:r>
          </w:p>
        </w:tc>
        <w:tc>
          <w:tcPr>
            <w:tcW w:type="dxa" w:w="2369"/>
            <w:tcMar>
              <w:top w:w="85" w:type="dxa"/>
              <w:start w:w="110" w:type="dxa"/>
              <w:bottom w:w="85" w:type="dxa"/>
              <w:end w:w="110" w:type="dxa"/>
            </w:tcMar>
            <w:vAlign w:val="center"/>
          </w:tcPr>
          <w:p>
            <w:pPr>
              <w:spacing w:after="0" w:line="283" w:lineRule="auto"/>
            </w:pPr>
            <w:r>
              <w:rPr>
                <w:rFonts w:ascii="Noto Sans CJK SC" w:hAnsi="Noto Sans CJK SC" w:eastAsia="Noto Sans CJK SC"/>
                <w:color w:val="21344B"/>
                <w:sz w:val="16"/>
              </w:rPr>
              <w:t>策划制作｜云燕工作室</w:t>
              <w:br/>
              <w:t>讲解｜王老师</w:t>
            </w:r>
          </w:p>
        </w:tc>
      </w:tr>
    </w:tbl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647483"/>
          <w:sz w:val="16"/>
        </w:rPr>
        <w:t>镜头提示：只在画面上保留核心经营动作与少量短词；画面不承担冗长配音字幕。字幕单独制作，与本章实际配音对齐。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五、正式片头片尾的精确要求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片头：云悦节点Logo轻淡入，主标题“企业宝运营演示”，副标题“从线上经营到共享生态协同”；不加云燕工作室大Logo、不加头像。约7–10秒，配音不超过一句。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片尾：承接五大价值总结，以“欢迎进一步了解企业宝，找到适合自己的运营方式”作为业务邀约；单独感谢版面呈现“感谢观看 · 期待与您合作”，底部两行小字：策划制作｜云燕工作室 / 讲解｜王老师。仅“感谢观看，期待与您合作”需要配音。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六、给HeyGen的执行交接说明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1. 必须同时上传本版《正式配音稿V6.2》和《视频方案与逐镜分镜V6.2》。优先以正式配音稿全文为准；分镜提供参考镜头，不能自动改写或删减文案。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2. 先读取全部章节、两段过渡、正式片头片尾与署名，再出可审阅的故事板，逐项核对六种功能与五大共享。用户确认故事板及积分估算前，不要渲染。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3. 以前已认可的秒杀片段作为视觉基准，尽可能引用其成熟素材和镜头语言；如果新会话不能跨项目复用，先说明需要用户上传MP4，而不是假装已调用原资源。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4. 素材优先：云悦真实透明Logo、已认可的秒杀样片、企业宝/秦来APP实际前台截图、经营场景与产品摄影。六张旧版价值卡只作文案与配色参考，不将2:3竖卡粗暴铺进16:9镜头。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5. 正式渲染后优先在AI Studio检查第02章功能展示、第04章两条收入线、第09章联盟权益、第10章额度结算、第11章五大共享，再校对字幕、音色和片尾署名。</w:t>
      </w:r>
    </w:p>
    <w:p>
      <w:pPr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6. 如Video Agent新会话读不到旧分镜，按本版两份文档重建，不使用旧版V6.1的第09+10重复章节和旧时码。分镜数量与镜头秒数按真实音频校正，不靠拉长镜头或加快配音凑时长。</w:t>
      </w: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七、正式生成前质检清单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内容顺序完整：01–12章，前置片头、两段过渡和独立片尾均在。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“买来后如何运营”连续：搭建→上架→运营客户→营销→联盟→易货→生态→邀约。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五大经营价值明确，五大共享单独解释；不能被营销工具清单淹没。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第04章两条收入线的流向正确，没有无条件保证分润或永久个人数据所有权承诺。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秒杀、拼团、盲盒、竞拍、云享联盟卡、易货六项均有独立场景。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联盟卡是权益连接工具，不将会员权益卡与企业宝、易货保证金混为一谈。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易货显示额度结算，不显示商家双边直接换货或兑换成现金的虚假场景。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片头云悦主品牌清晰，片尾小字号“云燕工作室”“王老师”，无头像。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音色为真实“王老师”，语速自然；字幕没有背景、逐字特效或重复文字。</w:t>
      </w:r>
    </w:p>
    <w:p>
      <w:pPr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☐  不虚构商户数、平台节点、金额、获客率、交易订单；涉及实际权益显示“以平台规则为准”。</w:t>
      </w:r>
    </w:p>
    <w:p>
      <w:pPr>
        <w:spacing w:before="20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备注：本版时间轴为制片预排。V6.2.1仅调整第10章的配音与071–080镜，同时将11、12章及片尾整体顺延12秒；101镜编号未变。新稿约55秒为占位估计，真实音频可能需要进一步调整和增补镜头，不能据此认定HeyGen已经完成正式故事板或渲染。</w:t>
      </w:r>
    </w:p>
    <w:p>
      <w:pPr>
        <w:pStyle w:val="Heading1"/>
      </w:pPr>
      <w:r>
        <w:t>八、V6.2.1 易货同步记录（不作为配音）</w:t>
      </w:r>
    </w:p>
    <w:p>
      <w:r>
        <w:t>第10章以本版《05_正式配音稿_V6.2.1》为唯一配音依据；本文件对应调整071—080镜共10镜，镜号不变。两条场景路径分别为“商家自家商品上架→生态用户兑换→按规则增加额度”和“履约保证金取得初始额度→商城选品→确认额度→额度下单”。</w:t>
      </w:r>
    </w:p>
    <w:p>
      <w:r>
        <w:t>旧版第10章规划为43秒。本次预留55秒，其后章节顺延12秒，整片由08:46调整为暂估08:58。此时间码未经音频锁定；如果王老师1.1倍真实旁白超过55秒，应优先微调镜头，并在必要时增加1—2镜。调整前应先显示费用及计划，不要自动生成。</w:t>
      </w:r>
    </w:p>
    <w:p>
      <w:r>
        <w:t>HeyGen原会话素材是否可直接复用仍待其核实；静态图片与参考视频不能直接等同于已完成的可编辑动态镜头。V6.2.1为外部制作文档更新，不代表HeyGen服务端已重新应用101镜故事板。</w:t>
      </w:r>
    </w:p>
    <w:p>
      <w:r>
        <w:br w:type="page"/>
      </w:r>
    </w:p>
    <w:p>
      <w:pPr>
        <w:pStyle w:val="Heading1"/>
      </w:pPr>
      <w:r>
        <w:t>九、HeyGen 42主场景制作蓝图｜同步归档</w:t>
      </w:r>
    </w:p>
    <w:p>
      <w:pPr>
        <w:pStyle w:val="Subtitle"/>
      </w:pPr>
      <w:r>
        <w:rPr>
          <w:color w:val="2A6A9A"/>
          <w:sz w:val="20"/>
        </w:rPr>
        <w:t>适用版本：V6.2.1 · 蓝图 blueprint_5ak3vo · 已应用 · 2026年10月20日归档</w:t>
      </w:r>
    </w:p>
    <w:p>
      <w:r>
        <w:rPr>
          <w:b/>
          <w:color w:val="173D62"/>
        </w:rPr>
        <w:t>版本边界：</w:t>
      </w:r>
      <w:r>
        <w:t>正式配音文字完全保留V6.2.1；原101镜编号、章序及主要业务逻辑保持不变。HeyGen曾有23个主场景，现为42个主场景以减少长时间静态画面。42不是取代101镜，也不意味着已经完成42段动画。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38"/>
        <w:gridCol w:w="4738"/>
      </w:tblGrid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原始完整配音稿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05_正式配音稿_V6.2.1（内容冻结，逐字不变）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原101镜分镜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第1–8节，镜号001–101全部保留；其时间码是08:58的旧预排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HeyGen正式主场景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42个，场景0–41；42段合计570秒≈09:30的蓝图预排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渲染状态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场景蓝图已应用、视觉方向说明已优化；必须根据HeyGen实际任务判断素材/配音/视频是否已生成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时间校准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场景0片头暂列5秒，场景41片尾暂列3秒；制片要求分别补至约7秒、8秒，实际音频为准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成本与画质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优先复用已有素材，采用准确的UI与二维动画；高成本AI实景只用于必要的特写，不把42次生成误认为免费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字幕与品牌</w:t>
            </w:r>
          </w:p>
        </w:tc>
        <w:tc>
          <w:tcPr>
            <w:tcW w:type="dxa" w:w="6803"/>
            <w:vAlign w:val="center"/>
            <w:shd w:fill="F3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7"/>
              </w:rPr>
              <w:t>视频生成阶段不烘焙旁白字幕；后期在AI Studio单独处理。Logo为云悦真实节点素材；旁白为王老师1.1倍、无数字人</w:t>
            </w:r>
          </w:p>
        </w:tc>
      </w:tr>
    </w:tbl>
    <w:p>
      <w:pPr>
        <w:pStyle w:val="Heading2"/>
      </w:pPr>
      <w:r>
        <w:t>42场景 × 101镜完整索引</w:t>
      </w:r>
    </w:p>
    <w:p>
      <w:r>
        <w:t>说明：时段来自HeyGen已应用蓝图的预排，场景内可有2–3个连续画面变化；下表是对视觉描述的忠实摘要，详细101镜动作仍以本文件前文逐镜表为准。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rPr>
          <w:tblHeader w:val="true"/>
          <w:cantSplit/>
        </w:trPr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场景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名称／对应镜号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蓝图时段</w:t>
            </w:r>
          </w:p>
        </w:tc>
        <w:tc>
          <w:tcPr>
            <w:tcW w:type="dxa" w:w="2369"/>
            <w:vAlign w:val="center"/>
            <w:shd w:fill="D9EAF5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7"/>
              </w:rPr>
              <w:t>视觉变化要点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01（蓝图0）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片头</w:t>
              <w:br/>
              <w:t>001–002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00:00–00:05</w:t>
              <w:br/>
              <w:t>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节点Logo与“企业宝运营演示”封面淡入；标题下方展开生态协同副标题；后续补至约7秒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02（蓝图1）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经营起点A</w:t>
              <w:br/>
              <w:t>003–004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00:05–00:14</w:t>
              <w:br/>
              <w:t>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海滨城市与匿名特产店实景，建立经营情境；禁用真实店名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03（蓝图2）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经营起点B</w:t>
              <w:br/>
              <w:t>005–007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00:14–00:29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店主整理礼盒、顾客浏览，手机经营页面从实景中出现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04（蓝图3）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搭建阵地A</w:t>
              <w:br/>
              <w:t>008–011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00:29–00:41</w:t>
              <w:br/>
              <w:t>12s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手机线框加载，逐层展现企业介绍、品牌特色、门店信息与基础装修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05（蓝图4）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搭建阵地B</w:t>
              <w:br/>
              <w:t>012–015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00:41–00:54</w:t>
              <w:br/>
              <w:t>13s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视频、直播、活动、社群、商城、精选产品、AI客服、会员积分及“我的关注”入口递进出现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06（蓝图5）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一个窗口A</w:t>
              <w:br/>
              <w:t>016 前段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00:54–01:11</w:t>
              <w:br/>
              <w:t>17s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统一入口的商家端管理与顾客端浏览、报名、购物双向动效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07（蓝图6）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一个窗口B</w:t>
              <w:br/>
              <w:t>016 后段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01:11–01:32</w:t>
              <w:br/>
              <w:t>21s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分散经营工具的四条路径汇聚进企业宝，强调降低重复投入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08（蓝图7）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上架商品A</w:t>
              <w:br/>
              <w:t>017–018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01:32–01:46</w:t>
              <w:br/>
              <w:t>14s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商品上架示意，尝鲜装／家庭组合／节日礼盒商品卡依次落位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09（蓝图8）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上架商品B</w:t>
              <w:br/>
              <w:t>019–020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01:46–01:53</w:t>
              <w:br/>
              <w:t>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商品详情卡、浏览与下单示意，不编造真实价格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10（蓝图9）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内容活动A</w:t>
              <w:br/>
              <w:t>021–023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01:53–02:04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短视频展示产地和礼盒，直播介绍新品，双屏联动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11（蓝图10）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内容活动B</w:t>
              <w:br/>
              <w:t>024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02:04–02:24</w:t>
              <w:br/>
              <w:t>20s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线下品鉴、课程服务和酒店房型等多场景示意，汇聚商品内容活动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12（蓝图11）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收入线一A</w:t>
              <w:br/>
              <w:t>025–026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02:24–02:35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两条收入线章节开启；老客户获授权注册与关系记录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13（蓝图12）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收入线一B</w:t>
              <w:br/>
              <w:t>027–028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02:35–02:42</w:t>
              <w:br/>
              <w:t>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客户来源与特产店关联，客户跨场景到其他生态店铺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14（蓝图13）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收入线一C</w:t>
              <w:br/>
              <w:t>029–030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02:42–02:55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符合规则的交易贡献沿关系链回流分润，无虚构金额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15（蓝图14）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收入线二A</w:t>
              <w:br/>
              <w:t>031–032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02:55–03:04</w:t>
              <w:br/>
              <w:t>9s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生态其他商家客户浏览并发现该企业宝，转化为新客入口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16（蓝图15）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收入线二B</w:t>
              <w:br/>
              <w:t>033–034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03:04–03:17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新客浏览与购买订单示意、老路径与生态导流路径比较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17（蓝图16）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收入线二C</w:t>
              <w:br/>
              <w:t>035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03:17–03:30</w:t>
              <w:br/>
              <w:t>13s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贡献分润与新客订单两条流向收束，转向用户价值经营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18（蓝图17）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互动过渡</w:t>
              <w:br/>
              <w:t>036–037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03:30–03:49</w:t>
              <w:br/>
              <w:t>19s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客户从看到活动到参与；秒杀／拼团／盲盒／竞拍四类工具矩阵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19（蓝图18）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秒杀A</w:t>
              <w:br/>
              <w:t>038–040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03:49–04:01</w:t>
              <w:br/>
              <w:t>12s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新品尝鲜装、限时活动、倒计时与活动规则示意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20（蓝图19）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秒杀B</w:t>
              <w:br/>
              <w:t>041–042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04:01–04:16</w:t>
              <w:br/>
              <w:t>15s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活动带来首购机会与后续复购连接，不保证成交数据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21（蓝图20）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拼团A</w:t>
              <w:br/>
              <w:t>043–045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04:16–04:30</w:t>
              <w:br/>
              <w:t>14s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展示成团条件、老客邀请亲友参团流程，规则为示意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22（蓝图21）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拼团B</w:t>
              <w:br/>
              <w:t>046–048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04:30–04:46</w:t>
              <w:br/>
              <w:t>16s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亲友参团、礼盒交付，商家—老客—新客推荐路径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23（蓝图22）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盲盒A</w:t>
              <w:br/>
              <w:t>049–051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04:46–05:04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商品范围与规则先行，主题盲盒包装组合与透明说明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24（蓝图23）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盲盒B</w:t>
              <w:br/>
              <w:t>052–054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05:04–05:21</w:t>
              <w:br/>
              <w:t>17s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自愿参与、开盒体验、分享及再次关注的轻量动效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25（蓝图24）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竞拍A</w:t>
              <w:br/>
              <w:t>055–057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05:21–05:36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特色礼盒与竞拍规则、参与条件、出价界面示意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26（蓝图25）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竞拍B</w:t>
              <w:br/>
              <w:t>058–059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05:36–05:51</w:t>
              <w:br/>
              <w:t>15s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倒计时及按规则成交或流拍提示，不许承诺收益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27（蓝图26）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异业过渡</w:t>
              <w:br/>
              <w:t>060–061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05:51–05:59</w:t>
              <w:br/>
              <w:t>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酒店、餐饮、特产店协同连线，过渡到云享联盟卡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28（蓝图27）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联盟卡上A</w:t>
              <w:br/>
              <w:t>062–064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05:59–06:17</w:t>
              <w:br/>
              <w:t>18s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电子联盟卡、合作商家入口与适用会员权益，不造折扣数字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29（蓝图28）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联盟卡上B</w:t>
              <w:br/>
              <w:t>065–068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06:17–06:32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游客住宿、就餐、特产购物，异业相互推荐与活动协作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30（蓝图29）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联盟卡下</w:t>
              <w:br/>
              <w:t>069–070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06:32–06:51</w:t>
              <w:br/>
              <w:t>19s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联合权益组合服务与共享客流；删除未经确认的“秦皇岛城市游礼·消费攻略”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31（蓝图30）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生态易货上A</w:t>
              <w:br/>
              <w:t>071–072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06:51–07:09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待流通礼盒与企业采购需求并列，突出库存周转与现金压力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32（蓝图31）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生态易货上B</w:t>
              <w:br/>
              <w:t>073–074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07:09–07:20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履约保证金→等额初始易货额度→商城入口，明确额度非现金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33（蓝图32）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生态易货下A</w:t>
              <w:br/>
              <w:t>075–077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07:20–07:35</w:t>
              <w:br/>
              <w:t>15s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商城选品、确认可用额度、使用额度下单；可用于福利和采购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34（蓝图33）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生态易货下B</w:t>
              <w:br/>
              <w:t>078–080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07:35–07:47</w:t>
              <w:br/>
              <w:t>12s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自家商品上架→用户兑换→额度增加→继续使用额度的循环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35（蓝图34）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五大共享上</w:t>
              <w:br/>
              <w:t>081–083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07:47–08:07</w:t>
              <w:br/>
              <w:t>20s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秦来本地APP作为入口并连接云悦共享生态开放节点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36（蓝图35）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五大共享下A</w:t>
              <w:br/>
              <w:t>084–086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08:07–08:20</w:t>
              <w:br/>
              <w:t>13s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用户、商品、内容三种共享逐项高亮；以商家真实场景解释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37（蓝图36）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五大共享下B</w:t>
              <w:br/>
              <w:t>087–090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08:20–08:38</w:t>
              <w:br/>
              <w:t>18s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运营与商业价值共享逐项高亮，五大共享汇聚为生态合作图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38（蓝图37）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价值回顾上A</w:t>
              <w:br/>
              <w:t>091–092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08:38–08:49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回顾企业宝基础搭建与商品服务上架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39（蓝图38）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价值回顾上B</w:t>
              <w:br/>
              <w:t>093–094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08:49–09:06</w:t>
              <w:br/>
              <w:t>17s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内容活动、客户关系、两条增收路径与互动工具回顾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40（蓝图39）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价值回顾下A</w:t>
              <w:br/>
              <w:t>095–097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09:06–09:17</w:t>
              <w:br/>
              <w:t>11s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联营、易货与“降本·拓量·增收·联营·易货”五大价值收束</w:t>
            </w:r>
          </w:p>
        </w:tc>
      </w:tr>
      <w:tr>
        <w:trPr>
          <w:cantSplit/>
        </w:trPr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41（蓝图40）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价值回顾下B</w:t>
              <w:br/>
              <w:t>098–099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09:17–09:27</w:t>
              <w:br/>
              <w:t>10s</w:t>
            </w:r>
          </w:p>
        </w:tc>
        <w:tc>
          <w:tcPr>
            <w:tcW w:type="dxa" w:w="2369"/>
            <w:vAlign w:val="center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经营者与客户的温暖互动、企业宝合作邀约</w:t>
            </w:r>
          </w:p>
        </w:tc>
      </w:tr>
      <w:tr>
        <w:trPr>
          <w:cantSplit/>
        </w:trPr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42（蓝图41）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/>
                <w:color w:val="173D62"/>
                <w:sz w:val="16"/>
              </w:rPr>
              <w:t>片尾</w:t>
              <w:br/>
              <w:t>100–101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6"/>
              </w:rPr>
              <w:t>09:27–09:30</w:t>
              <w:br/>
              <w:t>3s</w:t>
            </w:r>
          </w:p>
        </w:tc>
        <w:tc>
          <w:tcPr>
            <w:tcW w:type="dxa" w:w="2369"/>
            <w:vAlign w:val="center"/>
            <w:shd w:fill="F4F8FC"/>
          </w:tcPr>
          <w:p>
            <w:pPr>
              <w:spacing w:after="0" w:before="0"/>
            </w:pPr>
            <w:r>
              <w:rPr>
                <w:rFonts w:ascii="Noto Sans CJK SC" w:hAnsi="Noto Sans CJK SC"/>
                <w:b w:val="0"/>
                <w:sz w:val="15"/>
              </w:rPr>
              <w:t>真实云悦Logo、感谢观看、期待合作；底部小字“策划制作｜云燕工作室”“讲解｜王老师”；后续补至约8秒</w:t>
            </w:r>
          </w:p>
        </w:tc>
      </w:tr>
    </w:tbl>
    <w:p>
      <w:pPr>
        <w:pStyle w:val="Heading1"/>
      </w:pPr>
      <w:r>
        <w:t>十、GPT＋HeyGen协同制片｜可复用制作流程</w:t>
      </w:r>
    </w:p>
    <w:p>
      <w:pPr>
        <w:spacing w:after="80"/>
      </w:pPr>
      <w:r>
        <w:rPr>
          <w:b/>
          <w:color w:val="173D62"/>
        </w:rPr>
        <w:t>01  内容锁定｜</w:t>
      </w:r>
      <w:r>
        <w:t>以配音稿V6.2.1和101镜分镜为真实内容依据；GPT负责审读逻辑与标注镜头，不自动改写已审定台词。</w:t>
      </w:r>
    </w:p>
    <w:p>
      <w:pPr>
        <w:spacing w:after="80"/>
      </w:pPr>
      <w:r>
        <w:rPr>
          <w:b/>
          <w:color w:val="173D62"/>
        </w:rPr>
        <w:t>02  素材分流｜</w:t>
      </w:r>
      <w:r>
        <w:t>真实门店/商品/人物交互用授权实拍或HeyGen实景素材；手机界面、增长路径、联盟卡、易货额度、五大共享，优先用可编辑UI动画和信息可视化。</w:t>
      </w:r>
    </w:p>
    <w:p>
      <w:pPr>
        <w:spacing w:after="80"/>
      </w:pPr>
      <w:r>
        <w:rPr>
          <w:b/>
          <w:color w:val="173D62"/>
        </w:rPr>
        <w:t>03  按批制作｜</w:t>
      </w:r>
      <w:r>
        <w:t>以42个主场景管理进度，每次选一小批进行成本与质量核验；先在HeyGen生产“高价值动态素材”，其余可用程序动画合成。</w:t>
      </w:r>
    </w:p>
    <w:p>
      <w:pPr>
        <w:spacing w:after="80"/>
      </w:pPr>
      <w:r>
        <w:rPr>
          <w:b/>
          <w:color w:val="173D62"/>
        </w:rPr>
        <w:t>04  配音资产｜</w:t>
      </w:r>
      <w:r>
        <w:t>使用HeyGen中已确认的王老师音色，保存可授权的原始配音音频；配音一经定稿不为画面节奏随意重录或改速。</w:t>
      </w:r>
    </w:p>
    <w:p>
      <w:pPr>
        <w:spacing w:after="80"/>
      </w:pPr>
      <w:r>
        <w:rPr>
          <w:b/>
          <w:color w:val="173D62"/>
        </w:rPr>
        <w:t>05  统一剪辑｜</w:t>
      </w:r>
      <w:r>
        <w:t>使用HeyGen AI Studio或视频合成工作流按最终音频时间线合成1080p/30fps；如果采用外部合成，需先取得可用MP4和音频文件。</w:t>
      </w:r>
    </w:p>
    <w:p>
      <w:pPr>
        <w:spacing w:after="80"/>
      </w:pPr>
      <w:r>
        <w:rPr>
          <w:b/>
          <w:color w:val="173D62"/>
        </w:rPr>
        <w:t>06  字幕审核｜</w:t>
      </w:r>
      <w:r>
        <w:t>可编辑整句字幕单独上轨；参考Noto Sans Bold、约56号、深蓝灰、X960/Y920；需逐镜检查中文断词、字幕重复与安全边距。</w:t>
      </w:r>
    </w:p>
    <w:p>
      <w:pPr>
        <w:spacing w:after="80"/>
      </w:pPr>
      <w:r>
        <w:rPr>
          <w:b/>
          <w:color w:val="173D62"/>
        </w:rPr>
        <w:t>07  交付核查｜</w:t>
      </w:r>
      <w:r>
        <w:t>按12章内容、42个主场景、101镜内容覆盖率核对；检查片头/片尾、Logo、易货额度规则、双收入路径与实际字幕。</w:t>
      </w:r>
    </w:p>
    <w:p>
      <w:pPr>
        <w:pStyle w:val="Heading1"/>
      </w:pPr>
      <w:r>
        <w:t>十一、蓝图变更与待验证事项</w:t>
      </w:r>
    </w:p>
    <w:p>
      <w:pPr>
        <w:pStyle w:val="ListBullet"/>
        <w:spacing w:after="80"/>
      </w:pPr>
      <w:r>
        <w:t>内容未变：42场景调整仅是制作拆分与视觉细化，正式配音稿和原101镜编号无新增删除。新版场景蓝图的配音片段由原稿分段而成。</w:t>
      </w:r>
    </w:p>
    <w:p>
      <w:pPr>
        <w:pStyle w:val="ListBullet"/>
        <w:spacing w:after="80"/>
      </w:pPr>
      <w:r>
        <w:t>变化已确认：第29个主场景（蓝图索引29，“联盟卡下”）移除不在正式稿中的“秦皇岛城市游礼·消费攻略”；画面仅采用通用“联合权益·示意”等。其他场景也移除未确认的具体折扣、成团人数及易货额度数字等细节。</w:t>
      </w:r>
    </w:p>
    <w:p>
      <w:pPr>
        <w:pStyle w:val="ListBullet"/>
        <w:spacing w:after="80"/>
      </w:pPr>
      <w:r>
        <w:t>时间未锁定：原版08:58是逐镜预排，HeyGen42场景版09:30是自动预排；因王老师1.1倍语速、片头/片尾停顿调整，必须用实际音频时间轴重新校正。</w:t>
      </w:r>
    </w:p>
    <w:p>
      <w:pPr>
        <w:pStyle w:val="ListBullet"/>
        <w:spacing w:after="80"/>
      </w:pPr>
      <w:r>
        <w:t>后期待确认：目前蓝图字体预设Inter Bold，中文实际显示有待检验；视频内字幕关闭，等进入AI Studio统一制作，避免原22秒样片中曾发生的句尾反复闪现。</w:t>
      </w:r>
    </w:p>
    <w:p>
      <w:pPr>
        <w:pStyle w:val="ListBullet"/>
        <w:spacing w:after="80"/>
      </w:pPr>
      <w:r>
        <w:t>费用与渲染状态：本归档文件不是已完成视频的证明。素材生产与渲染的计费、完成状态，以HeyGen会话任务和实际生成文件为准。</w:t>
      </w:r>
    </w:p>
    <w:p>
      <w:pPr>
        <w:pStyle w:val="ListBullet"/>
        <w:spacing w:after="80"/>
      </w:pPr>
      <w:r>
        <w:t>命名惯例：日后改动文案需单独升级配音稿版本；仅调整场景拆分、画面、字幕、音频时间轴时，不应伪称配音正文已改变。</w:t>
      </w:r>
    </w:p>
    <w:p>
      <w:r>
        <w:br w:type="page"/>
      </w:r>
    </w:p>
    <w:p>
      <w:pPr>
        <w:pStyle w:val="Heading1"/>
      </w:pPr>
      <w:r>
        <w:t>续制附录｜四页修补与原23—26</w:t>
      </w:r>
    </w:p>
    <w:p>
      <w:r>
        <w:t>本批共8个MP4，分两个文件夹：01_REPLACE_Current10-13里的4段只替换现有4页画面；02_APPEND_Original23-26里的4段追加为预计第27—30页。不是新增8页。</w:t>
      </w:r>
    </w:p>
    <w:p>
      <w:r>
        <w:t>平台回传最新draft_yqf4du为26页，原18—22已接入；现有第21页2秒无旁白过渡按A保留。尚未直接读取最新平台，原拼团两页文件名识别与配音时长仍待平台核实。本批新片已本地制作，不等于已更新HeyGen。操作后预计30页。</w:t>
      </w:r>
    </w:p>
    <w:p>
      <w:r>
        <w:t>四个替换页：当前10/原10-a（4秒）＝旧食品礼盒前2秒＋用户酒庄片10—12秒葡萄园；当前11/原10-b（10.4秒）＝新食品镜头介绍4.4秒＋茶品鉴6秒；当前12/原11-a（329帧/10.9667秒）＝原培训实拍V7合成；当前13/原11-b（10秒）＝原酒店实拍V7合成。所有片均加V7背景、真实独立Logo、主标题与必要线条、底部140像素安全区。</w:t>
      </w:r>
    </w:p>
    <w:p>
      <w:r>
        <w:t>用户酒庄原片30秒、1280×736，自带音轨和烧录字幕；只剪取10—12秒并对上方干净区域取景，保留动态，不带入原音或字幕。此为通用产品产地展示，不当成秦皇岛匿名商家或截图中商品的真实产地。</w:t>
      </w:r>
    </w:p>
    <w:p>
      <w:r>
        <w:t>原10-b新实拍展示真人面向手机介绍食品，与品鉴组合，是通用内容生产/产品介绍情境；并非真实直播平台录屏，不虚称直播已开通、正在直播或真实新品发布。冻结旁白中的直播表述保持不变，真实直播界面仍未提供。</w:t>
      </w:r>
    </w:p>
    <w:p>
      <w:r>
        <w:t>原23/049—051镜（18秒）：陶艺小物实拍＋商品范围/活动规则/随机说明/自愿参与线条；原24/052—054镜（17秒）：新开盒实拍＋透明规则/开盒体验/分享关注；原25/055—057镜（15秒）：陶艺商品实拍＋规定时间/公开规则/参与出价/成交条件；原26/058—059镜（15秒）：制作者整理陶艺商品实拍＋符合条件成交或可能流拍分支。</w:t>
      </w:r>
    </w:p>
    <w:p>
      <w:r>
        <w:t>新片时长按旧42场景蓝图预排，均未与实际配音实测同步。实拍不是秦皇岛真实文创商品、实际盲盒随机开盒、成交/竞拍平台操作或真实订单；不标注虚构概率、金额、折扣、名额、竞价记录。没有真实功能页面时使用业务关系动画，不伪装产品录屏，不宣称101镜逐镜视觉全部还原。</w:t>
      </w:r>
    </w:p>
    <w:p>
      <w:r>
        <w:t>全文旁白与101镜原表格保留用户冻结稿，文档附录记录本批实施与偏差，不改正文。原27—42仍待后续制作；本批样式修补已在文件层完成，需平台实际替换后才能标记已应用。字幕、实际音频及全片时长统一留最终检查，片尾不是纯静帧补时。</w:t>
      </w:r>
    </w:p>
    <w:p>
      <w:pPr>
        <w:pStyle w:val="Heading2"/>
      </w:pPr>
      <w:r>
        <w:t>原10a｜展示产品与产地</w:t>
      </w:r>
    </w:p>
    <w:p>
      <w:r>
        <w:t>文件：01_REPLACE_Current10-13/REPLACE_Current10_Original10a_V7_4s.mp4</w:t>
        <w:br/>
        <w:t>完整时长：4.000000秒，120帧；音频未实测。</w:t>
      </w:r>
    </w:p>
    <w:p>
      <w:r>
        <w:t>冻结旁白：</w:t>
        <w:br/>
        <w:t>商家还可以通过短视频展示产品和产地，</w:t>
      </w:r>
    </w:p>
    <w:p>
      <w:pPr>
        <w:pStyle w:val="Heading2"/>
      </w:pPr>
      <w:r>
        <w:t>原10b｜新品介绍与品鉴交流</w:t>
      </w:r>
    </w:p>
    <w:p>
      <w:r>
        <w:t>文件：01_REPLACE_Current10-13/REPLACE_Current11_Original10b_V7_10p4s.mp4</w:t>
        <w:br/>
        <w:t>完整时长：10.400000秒，312帧；音频未实测。</w:t>
      </w:r>
    </w:p>
    <w:p>
      <w:r>
        <w:t>冻结旁白：</w:t>
        <w:br/>
        <w:t>通过直播介绍新品，或者策划品鉴会、线下沙龙，让更多顾客了解自己的商品。</w:t>
      </w:r>
    </w:p>
    <w:p>
      <w:pPr>
        <w:pStyle w:val="Heading2"/>
      </w:pPr>
      <w:r>
        <w:t>原11a｜课程与服务</w:t>
      </w:r>
    </w:p>
    <w:p>
      <w:r>
        <w:t>文件：01_REPLACE_Current10-13/REPLACE_Current12_Original11a_V7_10p967s.mp4</w:t>
        <w:br/>
        <w:t>完整时长：10.966667秒，329帧；音频未实测。</w:t>
      </w:r>
    </w:p>
    <w:p>
      <w:r>
        <w:t>冻结旁白：</w:t>
        <w:br/>
        <w:t>不仅是零售商家，培训机构可以上架课程和服务，</w:t>
      </w:r>
    </w:p>
    <w:p>
      <w:pPr>
        <w:pStyle w:val="Heading2"/>
      </w:pPr>
      <w:r>
        <w:t>原11b｜房型与体验</w:t>
      </w:r>
    </w:p>
    <w:p>
      <w:r>
        <w:t>文件：01_REPLACE_Current10-13/REPLACE_Current13_Original11b_V7_10s.mp4</w:t>
        <w:br/>
        <w:t>完整时长：10.000000秒，300帧；音频未实测。</w:t>
      </w:r>
    </w:p>
    <w:p>
      <w:r>
        <w:t>冻结旁白：</w:t>
        <w:br/>
        <w:t>酒店可以展示房型和体验项目，不同行业都能找到适合自己的经营方式。</w:t>
      </w:r>
    </w:p>
    <w:p>
      <w:pPr>
        <w:pStyle w:val="Heading2"/>
      </w:pPr>
      <w:r>
        <w:t>原23｜盲盒：规则先行</w:t>
      </w:r>
    </w:p>
    <w:p>
      <w:r>
        <w:t>文件：02_APPEND_Original23-26/APPEND_Original23_V7_Mixed_18s.mp4</w:t>
        <w:br/>
        <w:t>完整时长：18.000000秒，540帧；音频未实测。</w:t>
      </w:r>
    </w:p>
    <w:p>
      <w:r>
        <w:t>冻结旁白：</w:t>
        <w:br/>
        <w:t>盲盒，就是顾客提前了解商品范围和活动规则，但购买时不知道最终会获得哪一款商品的趣味消费方式。</w:t>
        <w:br/>
        <w:t>它能帮助商家增加购物的趣味性，让更多特色商品获得关注，也为主题活动带来新的互动方式。</w:t>
      </w:r>
    </w:p>
    <w:p>
      <w:pPr>
        <w:pStyle w:val="Heading2"/>
      </w:pPr>
      <w:r>
        <w:t>原24｜开盒体验与分享</w:t>
      </w:r>
    </w:p>
    <w:p>
      <w:r>
        <w:t>文件：02_APPEND_Original23-26/APPEND_Original24_V7_Mixed_17s.mp4</w:t>
        <w:br/>
        <w:t>完整时长：17.000000秒，510帧；音频未实测。</w:t>
      </w:r>
    </w:p>
    <w:p>
      <w:r>
        <w:t>冻结旁白：</w:t>
        <w:br/>
        <w:t>比如这家特产店，可以将几款秦皇岛特色文创小礼品设计成主题盲盒，让顾客在规则透明的前提下体验开盒的惊喜。</w:t>
        <w:br/>
        <w:t>让购物多一点乐趣，也为客户分享和再次参与创造机会。</w:t>
      </w:r>
    </w:p>
    <w:p>
      <w:pPr>
        <w:pStyle w:val="Heading2"/>
      </w:pPr>
      <w:r>
        <w:t>原25｜竞拍：特色商品互动</w:t>
      </w:r>
    </w:p>
    <w:p>
      <w:r>
        <w:t>文件：02_APPEND_Original23-26/APPEND_Original25_V7_Mixed_15s.mp4</w:t>
        <w:br/>
        <w:t>完整时长：15.000000秒，450帧；音频未实测。</w:t>
      </w:r>
    </w:p>
    <w:p>
      <w:r>
        <w:t>冻结旁白：</w:t>
        <w:br/>
        <w:t>竞拍，就是顾客在规定时间内，按照公开规则参与出价，并根据成交条件确定购买者的交易方式。</w:t>
        <w:br/>
        <w:t>它能帮助商家增加特色商品的展示机会，吸引感兴趣的顾客参与互动。</w:t>
      </w:r>
    </w:p>
    <w:p>
      <w:pPr>
        <w:pStyle w:val="Heading2"/>
      </w:pPr>
      <w:r>
        <w:t>原26｜公开规则，按条件成交</w:t>
      </w:r>
    </w:p>
    <w:p>
      <w:r>
        <w:t>文件：02_APPEND_Original23-26/APPEND_Original26_V7_Mixed_15s.mp4</w:t>
        <w:br/>
        <w:t>完整时长：15.000000秒，450帧；音频未实测。</w:t>
      </w:r>
    </w:p>
    <w:p>
      <w:r>
        <w:t>冻结旁白：</w:t>
        <w:br/>
        <w:t>比如这家特产店，可以选择限量纪念礼盒或特色文创商品，开展主题竞拍活动。</w:t>
        <w:br/>
        <w:t>让有特色的商品获得更多关注，也为商家提供一种差异化的营销和销售方式。</w:t>
      </w:r>
    </w:p>
    <w:p>
      <w:pPr>
        <w:pStyle w:val="Heading1"/>
      </w:pPr>
      <w:r>
        <w:t>当前/计划页面对应表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69"/>
        <w:gridCol w:w="2369"/>
        <w:gridCol w:w="2369"/>
        <w:gridCol w:w="2369"/>
      </w:tblGrid>
      <w:tr>
        <w:tc>
          <w:tcPr>
            <w:tcW w:type="dxa" w:w="2369"/>
          </w:tcPr>
          <w:p>
            <w:r>
              <w:t>当前/预计页</w:t>
            </w:r>
          </w:p>
        </w:tc>
        <w:tc>
          <w:tcPr>
            <w:tcW w:type="dxa" w:w="2369"/>
          </w:tcPr>
          <w:p>
            <w:r>
              <w:t>原场景</w:t>
            </w:r>
          </w:p>
        </w:tc>
        <w:tc>
          <w:tcPr>
            <w:tcW w:type="dxa" w:w="2369"/>
          </w:tcPr>
          <w:p>
            <w:r>
              <w:t>内容</w:t>
            </w:r>
          </w:p>
        </w:tc>
        <w:tc>
          <w:tcPr>
            <w:tcW w:type="dxa" w:w="2369"/>
          </w:tcPr>
          <w:p>
            <w:r>
              <w:t>执行状态</w:t>
            </w:r>
          </w:p>
        </w:tc>
      </w:tr>
      <w:tr>
        <w:tc>
          <w:tcPr>
            <w:tcW w:type="dxa" w:w="2369"/>
          </w:tcPr>
          <w:p>
            <w:r>
              <w:t>1</w:t>
            </w:r>
          </w:p>
        </w:tc>
        <w:tc>
          <w:tcPr>
            <w:tcW w:type="dxa" w:w="2369"/>
          </w:tcPr>
          <w:p>
            <w:r>
              <w:t>1</w:t>
            </w:r>
          </w:p>
        </w:tc>
        <w:tc>
          <w:tcPr>
            <w:tcW w:type="dxa" w:w="2369"/>
          </w:tcPr>
          <w:p>
            <w:r>
              <w:t>片头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2</w:t>
            </w:r>
          </w:p>
        </w:tc>
        <w:tc>
          <w:tcPr>
            <w:tcW w:type="dxa" w:w="2369"/>
          </w:tcPr>
          <w:p>
            <w:r>
              <w:t>2</w:t>
            </w:r>
          </w:p>
        </w:tc>
        <w:tc>
          <w:tcPr>
            <w:tcW w:type="dxa" w:w="2369"/>
          </w:tcPr>
          <w:p>
            <w:r>
              <w:t>经营起点A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3</w:t>
            </w:r>
          </w:p>
        </w:tc>
        <w:tc>
          <w:tcPr>
            <w:tcW w:type="dxa" w:w="2369"/>
          </w:tcPr>
          <w:p>
            <w:r>
              <w:t>3</w:t>
            </w:r>
          </w:p>
        </w:tc>
        <w:tc>
          <w:tcPr>
            <w:tcW w:type="dxa" w:w="2369"/>
          </w:tcPr>
          <w:p>
            <w:r>
              <w:t>经营起点B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4</w:t>
            </w:r>
          </w:p>
        </w:tc>
        <w:tc>
          <w:tcPr>
            <w:tcW w:type="dxa" w:w="2369"/>
          </w:tcPr>
          <w:p>
            <w:r>
              <w:t>4</w:t>
            </w:r>
          </w:p>
        </w:tc>
        <w:tc>
          <w:tcPr>
            <w:tcW w:type="dxa" w:w="2369"/>
          </w:tcPr>
          <w:p>
            <w:r>
              <w:t>搭建阵地A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5</w:t>
            </w:r>
          </w:p>
        </w:tc>
        <w:tc>
          <w:tcPr>
            <w:tcW w:type="dxa" w:w="2369"/>
          </w:tcPr>
          <w:p>
            <w:r>
              <w:t>5</w:t>
            </w:r>
          </w:p>
        </w:tc>
        <w:tc>
          <w:tcPr>
            <w:tcW w:type="dxa" w:w="2369"/>
          </w:tcPr>
          <w:p>
            <w:r>
              <w:t>搭建阵地B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6</w:t>
            </w:r>
          </w:p>
        </w:tc>
        <w:tc>
          <w:tcPr>
            <w:tcW w:type="dxa" w:w="2369"/>
          </w:tcPr>
          <w:p>
            <w:r>
              <w:t>6</w:t>
            </w:r>
          </w:p>
        </w:tc>
        <w:tc>
          <w:tcPr>
            <w:tcW w:type="dxa" w:w="2369"/>
          </w:tcPr>
          <w:p>
            <w:r>
              <w:t>一个窗口A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7</w:t>
            </w:r>
          </w:p>
        </w:tc>
        <w:tc>
          <w:tcPr>
            <w:tcW w:type="dxa" w:w="2369"/>
          </w:tcPr>
          <w:p>
            <w:r>
              <w:t>7</w:t>
            </w:r>
          </w:p>
        </w:tc>
        <w:tc>
          <w:tcPr>
            <w:tcW w:type="dxa" w:w="2369"/>
          </w:tcPr>
          <w:p>
            <w:r>
              <w:t>一个窗口B</w:t>
            </w:r>
          </w:p>
        </w:tc>
        <w:tc>
          <w:tcPr>
            <w:tcW w:type="dxa" w:w="2369"/>
          </w:tcPr>
          <w:p>
            <w:r>
              <w:t>保留；未逐场独立复核</w:t>
            </w:r>
          </w:p>
        </w:tc>
      </w:tr>
      <w:tr>
        <w:tc>
          <w:tcPr>
            <w:tcW w:type="dxa" w:w="2369"/>
          </w:tcPr>
          <w:p>
            <w:r>
              <w:t>8</w:t>
            </w:r>
          </w:p>
        </w:tc>
        <w:tc>
          <w:tcPr>
            <w:tcW w:type="dxa" w:w="2369"/>
          </w:tcPr>
          <w:p>
            <w:r>
              <w:t>8</w:t>
            </w:r>
          </w:p>
        </w:tc>
        <w:tc>
          <w:tcPr>
            <w:tcW w:type="dxa" w:w="2369"/>
          </w:tcPr>
          <w:p>
            <w:r>
              <w:t>上架商品和服务</w:t>
            </w:r>
          </w:p>
        </w:tc>
        <w:tc>
          <w:tcPr>
            <w:tcW w:type="dxa" w:w="2369"/>
          </w:tcPr>
          <w:p>
            <w:r>
              <w:t>用户已观看当前预览；后台截图动画，非新增流程录屏</w:t>
            </w:r>
          </w:p>
        </w:tc>
      </w:tr>
      <w:tr>
        <w:tc>
          <w:tcPr>
            <w:tcW w:type="dxa" w:w="2369"/>
          </w:tcPr>
          <w:p>
            <w:r>
              <w:t>9</w:t>
            </w:r>
          </w:p>
        </w:tc>
        <w:tc>
          <w:tcPr>
            <w:tcW w:type="dxa" w:w="2369"/>
          </w:tcPr>
          <w:p>
            <w:r>
              <w:t>9</w:t>
            </w:r>
          </w:p>
        </w:tc>
        <w:tc>
          <w:tcPr>
            <w:tcW w:type="dxa" w:w="2369"/>
          </w:tcPr>
          <w:p>
            <w:r>
              <w:t>在商城浏览商品</w:t>
            </w:r>
          </w:p>
        </w:tc>
        <w:tc>
          <w:tcPr>
            <w:tcW w:type="dxa" w:w="2369"/>
          </w:tcPr>
          <w:p>
            <w:r>
              <w:t>商城首页与商品卡片，非商品详情或实际购买操作</w:t>
            </w:r>
          </w:p>
        </w:tc>
      </w:tr>
      <w:tr>
        <w:tc>
          <w:tcPr>
            <w:tcW w:type="dxa" w:w="2369"/>
          </w:tcPr>
          <w:p>
            <w:r>
              <w:t>10</w:t>
            </w:r>
          </w:p>
        </w:tc>
        <w:tc>
          <w:tcPr>
            <w:tcW w:type="dxa" w:w="2369"/>
          </w:tcPr>
          <w:p>
            <w:r>
              <w:t>10-a</w:t>
            </w:r>
          </w:p>
        </w:tc>
        <w:tc>
          <w:tcPr>
            <w:tcW w:type="dxa" w:w="2369"/>
          </w:tcPr>
          <w:p>
            <w:r>
              <w:t>礼盒包装</w:t>
            </w:r>
          </w:p>
        </w:tc>
        <w:tc>
          <w:tcPr>
            <w:tcW w:type="dxa" w:w="2369"/>
          </w:tcPr>
          <w:p>
            <w:r>
              <w:t>本批V7修补文件已完成，平台尚待替换；保留原旁白和位置</w:t>
            </w:r>
          </w:p>
        </w:tc>
      </w:tr>
      <w:tr>
        <w:tc>
          <w:tcPr>
            <w:tcW w:type="dxa" w:w="2369"/>
          </w:tcPr>
          <w:p>
            <w:r>
              <w:t>11</w:t>
            </w:r>
          </w:p>
        </w:tc>
        <w:tc>
          <w:tcPr>
            <w:tcW w:type="dxa" w:w="2369"/>
          </w:tcPr>
          <w:p>
            <w:r>
              <w:t>10-b</w:t>
            </w:r>
          </w:p>
        </w:tc>
        <w:tc>
          <w:tcPr>
            <w:tcW w:type="dxa" w:w="2369"/>
          </w:tcPr>
          <w:p>
            <w:r>
              <w:t>品鉴交流</w:t>
            </w:r>
          </w:p>
        </w:tc>
        <w:tc>
          <w:tcPr>
            <w:tcW w:type="dxa" w:w="2369"/>
          </w:tcPr>
          <w:p>
            <w:r>
              <w:t>本批V7修补文件已完成，平台尚待替换；保留原旁白和位置</w:t>
            </w:r>
          </w:p>
        </w:tc>
      </w:tr>
      <w:tr>
        <w:tc>
          <w:tcPr>
            <w:tcW w:type="dxa" w:w="2369"/>
          </w:tcPr>
          <w:p>
            <w:r>
              <w:t>12</w:t>
            </w:r>
          </w:p>
        </w:tc>
        <w:tc>
          <w:tcPr>
            <w:tcW w:type="dxa" w:w="2369"/>
          </w:tcPr>
          <w:p>
            <w:r>
              <w:t>11-a</w:t>
            </w:r>
          </w:p>
        </w:tc>
        <w:tc>
          <w:tcPr>
            <w:tcW w:type="dxa" w:w="2369"/>
          </w:tcPr>
          <w:p>
            <w:r>
              <w:t>小班培训</w:t>
            </w:r>
          </w:p>
        </w:tc>
        <w:tc>
          <w:tcPr>
            <w:tcW w:type="dxa" w:w="2369"/>
          </w:tcPr>
          <w:p>
            <w:r>
              <w:t>本批V7修补文件已完成，平台尚待替换；保留原旁白和位置</w:t>
            </w:r>
          </w:p>
        </w:tc>
      </w:tr>
      <w:tr>
        <w:tc>
          <w:tcPr>
            <w:tcW w:type="dxa" w:w="2369"/>
          </w:tcPr>
          <w:p>
            <w:r>
              <w:t>13</w:t>
            </w:r>
          </w:p>
        </w:tc>
        <w:tc>
          <w:tcPr>
            <w:tcW w:type="dxa" w:w="2369"/>
          </w:tcPr>
          <w:p>
            <w:r>
              <w:t>11-b</w:t>
            </w:r>
          </w:p>
        </w:tc>
        <w:tc>
          <w:tcPr>
            <w:tcW w:type="dxa" w:w="2369"/>
          </w:tcPr>
          <w:p>
            <w:r>
              <w:t>酒店房间</w:t>
            </w:r>
          </w:p>
        </w:tc>
        <w:tc>
          <w:tcPr>
            <w:tcW w:type="dxa" w:w="2369"/>
          </w:tcPr>
          <w:p>
            <w:r>
              <w:t>本批V7修补文件已完成，平台尚待替换；保留原旁白和位置</w:t>
            </w:r>
          </w:p>
        </w:tc>
      </w:tr>
      <w:tr>
        <w:tc>
          <w:tcPr>
            <w:tcW w:type="dxa" w:w="2369"/>
          </w:tcPr>
          <w:p>
            <w:r>
              <w:t>14</w:t>
            </w:r>
          </w:p>
        </w:tc>
        <w:tc>
          <w:tcPr>
            <w:tcW w:type="dxa" w:w="2369"/>
          </w:tcPr>
          <w:p>
            <w:r>
              <w:t>11-c</w:t>
            </w:r>
          </w:p>
        </w:tc>
        <w:tc>
          <w:tcPr>
            <w:tcW w:type="dxa" w:w="2369"/>
          </w:tcPr>
          <w:p>
            <w:r>
              <w:t>经营收束</w:t>
            </w:r>
          </w:p>
        </w:tc>
        <w:tc>
          <w:tcPr>
            <w:tcW w:type="dxa" w:w="2369"/>
          </w:tcPr>
          <w:p>
            <w:r>
              <w:t>原11-c已用户回传替换正常；保留不重做</w:t>
            </w:r>
          </w:p>
        </w:tc>
      </w:tr>
      <w:tr>
        <w:tc>
          <w:tcPr>
            <w:tcW w:type="dxa" w:w="2369"/>
          </w:tcPr>
          <w:p>
            <w:r>
              <w:t>15</w:t>
            </w:r>
          </w:p>
        </w:tc>
        <w:tc>
          <w:tcPr>
            <w:tcW w:type="dxa" w:w="2369"/>
          </w:tcPr>
          <w:p>
            <w:r>
              <w:t>12</w:t>
            </w:r>
          </w:p>
        </w:tc>
        <w:tc>
          <w:tcPr>
            <w:tcW w:type="dxa" w:w="2369"/>
          </w:tcPr>
          <w:p>
            <w:r>
              <w:t>增收：两条新收入线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16</w:t>
            </w:r>
          </w:p>
        </w:tc>
        <w:tc>
          <w:tcPr>
            <w:tcW w:type="dxa" w:w="2369"/>
          </w:tcPr>
          <w:p>
            <w:r>
              <w:t>13</w:t>
            </w:r>
          </w:p>
        </w:tc>
        <w:tc>
          <w:tcPr>
            <w:tcW w:type="dxa" w:w="2369"/>
          </w:tcPr>
          <w:p>
            <w:r>
              <w:t>第一条收入线：生态分润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17</w:t>
            </w:r>
          </w:p>
        </w:tc>
        <w:tc>
          <w:tcPr>
            <w:tcW w:type="dxa" w:w="2369"/>
          </w:tcPr>
          <w:p>
            <w:r>
              <w:t>14</w:t>
            </w:r>
          </w:p>
        </w:tc>
        <w:tc>
          <w:tcPr>
            <w:tcW w:type="dxa" w:w="2369"/>
          </w:tcPr>
          <w:p>
            <w:r>
              <w:t>老客户走向生态，贡献按规则回流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18</w:t>
            </w:r>
          </w:p>
        </w:tc>
        <w:tc>
          <w:tcPr>
            <w:tcW w:type="dxa" w:w="2369"/>
          </w:tcPr>
          <w:p>
            <w:r>
              <w:t>15</w:t>
            </w:r>
          </w:p>
        </w:tc>
        <w:tc>
          <w:tcPr>
            <w:tcW w:type="dxa" w:w="2369"/>
          </w:tcPr>
          <w:p>
            <w:r>
              <w:t>第二条收入线：生态新客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19</w:t>
            </w:r>
          </w:p>
        </w:tc>
        <w:tc>
          <w:tcPr>
            <w:tcW w:type="dxa" w:w="2369"/>
          </w:tcPr>
          <w:p>
            <w:r>
              <w:t>16</w:t>
            </w:r>
          </w:p>
        </w:tc>
        <w:tc>
          <w:tcPr>
            <w:tcW w:type="dxa" w:w="2369"/>
          </w:tcPr>
          <w:p>
            <w:r>
              <w:t>从单店客流到生态协同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20</w:t>
            </w:r>
          </w:p>
        </w:tc>
        <w:tc>
          <w:tcPr>
            <w:tcW w:type="dxa" w:w="2369"/>
          </w:tcPr>
          <w:p>
            <w:r>
              <w:t>17</w:t>
            </w:r>
          </w:p>
        </w:tc>
        <w:tc>
          <w:tcPr>
            <w:tcW w:type="dxa" w:w="2369"/>
          </w:tcPr>
          <w:p>
            <w:r>
              <w:t>从商品经营到用户价值经营</w:t>
            </w:r>
          </w:p>
        </w:tc>
        <w:tc>
          <w:tcPr>
            <w:tcW w:type="dxa" w:w="2369"/>
          </w:tcPr>
          <w:p>
            <w:r>
              <w:t>已确认收入线素材；保留</w:t>
            </w:r>
          </w:p>
        </w:tc>
      </w:tr>
      <w:tr>
        <w:tc>
          <w:tcPr>
            <w:tcW w:type="dxa" w:w="2369"/>
          </w:tcPr>
          <w:p>
            <w:r>
              <w:t>21</w:t>
            </w:r>
          </w:p>
        </w:tc>
        <w:tc>
          <w:tcPr>
            <w:tcW w:type="dxa" w:w="2369"/>
          </w:tcPr>
          <w:p>
            <w:r>
              <w:t>过渡</w:t>
            </w:r>
          </w:p>
        </w:tc>
        <w:tc>
          <w:tcPr>
            <w:tcW w:type="dxa" w:w="2369"/>
          </w:tcPr>
          <w:p>
            <w:r>
              <w:t>连接更多互动可能</w:t>
            </w:r>
          </w:p>
        </w:tc>
        <w:tc>
          <w:tcPr>
            <w:tcW w:type="dxa" w:w="2369"/>
          </w:tcPr>
          <w:p>
            <w:r>
              <w:t>选择A确认：2秒无旁白，保持不变</w:t>
            </w:r>
          </w:p>
        </w:tc>
      </w:tr>
      <w:tr>
        <w:tc>
          <w:tcPr>
            <w:tcW w:type="dxa" w:w="2369"/>
          </w:tcPr>
          <w:p>
            <w:r>
              <w:t>22</w:t>
            </w:r>
          </w:p>
        </w:tc>
        <w:tc>
          <w:tcPr>
            <w:tcW w:type="dxa" w:w="2369"/>
          </w:tcPr>
          <w:p>
            <w:r>
              <w:t>18</w:t>
            </w:r>
          </w:p>
        </w:tc>
        <w:tc>
          <w:tcPr>
            <w:tcW w:type="dxa" w:w="2369"/>
          </w:tcPr>
          <w:p>
            <w:r>
              <w:t>已制作原18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23</w:t>
            </w:r>
          </w:p>
        </w:tc>
        <w:tc>
          <w:tcPr>
            <w:tcW w:type="dxa" w:w="2369"/>
          </w:tcPr>
          <w:p>
            <w:r>
              <w:t>19</w:t>
            </w:r>
          </w:p>
        </w:tc>
        <w:tc>
          <w:tcPr>
            <w:tcW w:type="dxa" w:w="2369"/>
          </w:tcPr>
          <w:p>
            <w:r>
              <w:t>已制作原19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24</w:t>
            </w:r>
          </w:p>
        </w:tc>
        <w:tc>
          <w:tcPr>
            <w:tcW w:type="dxa" w:w="2369"/>
          </w:tcPr>
          <w:p>
            <w:r>
              <w:t>20</w:t>
            </w:r>
          </w:p>
        </w:tc>
        <w:tc>
          <w:tcPr>
            <w:tcW w:type="dxa" w:w="2369"/>
          </w:tcPr>
          <w:p>
            <w:r>
              <w:t>已制作原20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25</w:t>
            </w:r>
          </w:p>
        </w:tc>
        <w:tc>
          <w:tcPr>
            <w:tcW w:type="dxa" w:w="2369"/>
          </w:tcPr>
          <w:p>
            <w:r>
              <w:t>21</w:t>
            </w:r>
          </w:p>
        </w:tc>
        <w:tc>
          <w:tcPr>
            <w:tcW w:type="dxa" w:w="2369"/>
          </w:tcPr>
          <w:p>
            <w:r>
              <w:t>已制作原21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26</w:t>
            </w:r>
          </w:p>
        </w:tc>
        <w:tc>
          <w:tcPr>
            <w:tcW w:type="dxa" w:w="2369"/>
          </w:tcPr>
          <w:p>
            <w:r>
              <w:t>22</w:t>
            </w:r>
          </w:p>
        </w:tc>
        <w:tc>
          <w:tcPr>
            <w:tcW w:type="dxa" w:w="2369"/>
          </w:tcPr>
          <w:p>
            <w:r>
              <w:t>已制作原22</w:t>
            </w:r>
          </w:p>
        </w:tc>
        <w:tc>
          <w:tcPr>
            <w:tcW w:type="dxa" w:w="2369"/>
          </w:tcPr>
          <w:p>
            <w:r>
              <w:t>平台回传已接入；文件名识别与音画同步待最终核实</w:t>
            </w:r>
          </w:p>
        </w:tc>
      </w:tr>
      <w:tr>
        <w:tc>
          <w:tcPr>
            <w:tcW w:type="dxa" w:w="2369"/>
          </w:tcPr>
          <w:p>
            <w:r>
              <w:t>27</w:t>
            </w:r>
          </w:p>
        </w:tc>
        <w:tc>
          <w:tcPr>
            <w:tcW w:type="dxa" w:w="2369"/>
          </w:tcPr>
          <w:p>
            <w:r>
              <w:t>23</w:t>
            </w:r>
          </w:p>
        </w:tc>
        <w:tc>
          <w:tcPr>
            <w:tcW w:type="dxa" w:w="2369"/>
          </w:tcPr>
          <w:p>
            <w:r>
              <w:t>盲盒：规则先行</w:t>
            </w:r>
          </w:p>
        </w:tc>
        <w:tc>
          <w:tcPr>
            <w:tcW w:type="dxa" w:w="2369"/>
          </w:tcPr>
          <w:p>
            <w:r>
              <w:t>本批文件完成，待追加，不能当平台已执行</w:t>
            </w:r>
          </w:p>
        </w:tc>
      </w:tr>
      <w:tr>
        <w:tc>
          <w:tcPr>
            <w:tcW w:type="dxa" w:w="2369"/>
          </w:tcPr>
          <w:p>
            <w:r>
              <w:t>28</w:t>
            </w:r>
          </w:p>
        </w:tc>
        <w:tc>
          <w:tcPr>
            <w:tcW w:type="dxa" w:w="2369"/>
          </w:tcPr>
          <w:p>
            <w:r>
              <w:t>24</w:t>
            </w:r>
          </w:p>
        </w:tc>
        <w:tc>
          <w:tcPr>
            <w:tcW w:type="dxa" w:w="2369"/>
          </w:tcPr>
          <w:p>
            <w:r>
              <w:t>开盒体验与分享</w:t>
            </w:r>
          </w:p>
        </w:tc>
        <w:tc>
          <w:tcPr>
            <w:tcW w:type="dxa" w:w="2369"/>
          </w:tcPr>
          <w:p>
            <w:r>
              <w:t>本批文件完成，待追加，不能当平台已执行</w:t>
            </w:r>
          </w:p>
        </w:tc>
      </w:tr>
      <w:tr>
        <w:tc>
          <w:tcPr>
            <w:tcW w:type="dxa" w:w="2369"/>
          </w:tcPr>
          <w:p>
            <w:r>
              <w:t>29</w:t>
            </w:r>
          </w:p>
        </w:tc>
        <w:tc>
          <w:tcPr>
            <w:tcW w:type="dxa" w:w="2369"/>
          </w:tcPr>
          <w:p>
            <w:r>
              <w:t>25</w:t>
            </w:r>
          </w:p>
        </w:tc>
        <w:tc>
          <w:tcPr>
            <w:tcW w:type="dxa" w:w="2369"/>
          </w:tcPr>
          <w:p>
            <w:r>
              <w:t>竞拍：特色商品互动</w:t>
            </w:r>
          </w:p>
        </w:tc>
        <w:tc>
          <w:tcPr>
            <w:tcW w:type="dxa" w:w="2369"/>
          </w:tcPr>
          <w:p>
            <w:r>
              <w:t>本批文件完成，待追加，不能当平台已执行</w:t>
            </w:r>
          </w:p>
        </w:tc>
      </w:tr>
      <w:tr>
        <w:tc>
          <w:tcPr>
            <w:tcW w:type="dxa" w:w="2369"/>
          </w:tcPr>
          <w:p>
            <w:r>
              <w:t>30</w:t>
            </w:r>
          </w:p>
        </w:tc>
        <w:tc>
          <w:tcPr>
            <w:tcW w:type="dxa" w:w="2369"/>
          </w:tcPr>
          <w:p>
            <w:r>
              <w:t>26</w:t>
            </w:r>
          </w:p>
        </w:tc>
        <w:tc>
          <w:tcPr>
            <w:tcW w:type="dxa" w:w="2369"/>
          </w:tcPr>
          <w:p>
            <w:r>
              <w:t>公开规则，按条件成交</w:t>
            </w:r>
          </w:p>
        </w:tc>
        <w:tc>
          <w:tcPr>
            <w:tcW w:type="dxa" w:w="2369"/>
          </w:tcPr>
          <w:p>
            <w:r>
              <w:t>本批文件完成，待追加，不能当平台已执行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81" w:right="1195" w:bottom="1037" w:left="1238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3"/>
        <w:sz w:val="16"/>
      </w:rPr>
      <w:t>V6.2  ·  制片方案与逐镜分镜  ·  面向企业客户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3"/>
        <w:sz w:val="16"/>
      </w:rPr>
      <w:t>云悦共享生态    /    企业宝运营演示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134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619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2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