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第21页承接句与第27—30页对应修订</w:t>
      </w:r>
    </w:p>
    <w:p>
      <w:r>
        <w:t>用户最新要求：第21页新增一句生态共创共享承接话；原27—30页的竞拍标题/内容对应需要优化核对。</w:t>
      </w:r>
    </w:p>
    <w:p>
      <w:r>
        <w:t>本包视频REPLACE_Current21_Transition_V7_4s.mp4为新制作4秒动态画面，替换旧2秒过渡，页面总数不增加。延续原“连接更多互动可能”标题及客户关系→生态连接→互动营销。不是将旧片循环或冻结加长。视频无音轨；新增台词“融入生态，共创共享，不再独行。”尚未生成语音，需HeyGen按现有声音处理或报告费用。</w:t>
      </w:r>
    </w:p>
    <w:p>
      <w:r>
        <w:t>用户所述第27—28页已在讲竞拍，与交付文件/冻结稿的盲盒顺序不一致；当前没有实际全片导出，不能确定是音频、视频绑定还是页面识别出错。执行指令要求先逐页核对，不能仅凭描述改标题而跳过盲盒。</w:t>
      </w:r>
    </w:p>
    <w:p>
      <w:r>
        <w:t>正确映射：27=原23盲盒规则先行（18秒）；28=原24开盒体验与分享（17秒）；29=原25竞拍特色商品互动（15秒）；30=原26公开规则按条件成交（15秒）。旧4个新场景视频不用重复上传；若媒体库找不到，可从上一交付包重新定位。</w:t>
      </w:r>
    </w:p>
    <w:p>
      <w:r>
        <w:t>本地视频已完整解码与首中尾抽帧检查；未实时完整观看；未实际测量新旁白。平台尚未执行修订，不能宣称第21页已发声或27—30错配已修复。</w:t>
      </w:r>
    </w:p>
    <w:p>
      <w:pPr>
        <w:pStyle w:val="Heading1"/>
      </w:pPr>
      <w:r>
        <w:t>本次授权的工作稿增补</w:t>
      </w:r>
    </w:p>
    <w:p>
      <w:r>
        <w:t>在原17后额外过渡页新增：“融入生态，共创共享，不再独行。”原V6.2.1冻结稿保留不改，新版本以此修订记录区分；不增加对收益或经营结果的承诺。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