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C"/>
          <w:sz w:val="44"/>
        </w:rPr>
        <w:t>MR Dang 价值选股打分报告</w:t>
      </w:r>
    </w:p>
    <w:p>
      <w:pPr>
        <w:jc w:val="center"/>
      </w:pPr>
      <w:r>
        <w:rPr>
          <w:color w:val="595959"/>
          <w:sz w:val="24"/>
        </w:rPr>
        <w:t>宏桥控股（002379.SZ）  |  有色金属·电解铝/氧化铝  |  2026-04-02</w:t>
      </w:r>
    </w:p>
    <w:p>
      <w:pPr>
        <w:jc w:val="center"/>
      </w:pPr>
      <w:r>
        <w:rPr>
          <w:color w:val="BF8F00"/>
          <w:sz w:val="20"/>
        </w:rPr>
        <w:t>数据来源：Tushare（价格/分红数据） + 2025年报（2026-03-21披露） + Tavily（国信/国联民生研报 2026-02/03）</w:t>
      </w:r>
    </w:p>
    <w:p/>
    <w:p>
      <w:pPr>
        <w:pStyle w:val="Heading1"/>
      </w:pPr>
      <w:r>
        <w:rPr>
          <w:b/>
          <w:color w:val="1A376C"/>
        </w:rPr>
        <w:t>一、基础筛查结果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筛查项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t>题材股筛查</w:t>
            </w:r>
          </w:p>
        </w:tc>
        <w:tc>
          <w:tcPr>
            <w:tcW w:type="dxa" w:w="2928"/>
            <w:shd w:val="clear" w:color="auto" w:fill="C6EFCE"/>
          </w:tcPr>
          <w:p>
            <w:r>
              <w:t>通过</w:t>
            </w:r>
          </w:p>
        </w:tc>
        <w:tc>
          <w:tcPr>
            <w:tcW w:type="dxa" w:w="2928"/>
          </w:tcPr>
          <w:p>
            <w:r>
              <w:t>营收1567亿，主业为氧化铝+电解铝+铝深加工，实体产业清晰</w:t>
            </w:r>
          </w:p>
        </w:tc>
      </w:tr>
      <w:tr>
        <w:tc>
          <w:tcPr>
            <w:tcW w:type="dxa" w:w="2928"/>
          </w:tcPr>
          <w:p>
            <w:r>
              <w:t>高估值筛查</w:t>
            </w:r>
          </w:p>
        </w:tc>
        <w:tc>
          <w:tcPr>
            <w:tcW w:type="dxa" w:w="2928"/>
            <w:shd w:val="clear" w:color="auto" w:fill="C6EFCE"/>
          </w:tcPr>
          <w:p>
            <w:r>
              <w:t>通过</w:t>
            </w:r>
          </w:p>
        </w:tc>
        <w:tc>
          <w:tcPr>
            <w:tcW w:type="dxa" w:w="2928"/>
          </w:tcPr>
          <w:p>
            <w:r>
              <w:t>PB 0.70，PE(TTM)约20倍，2026E PE约10倍，估值不高</w:t>
            </w:r>
          </w:p>
        </w:tc>
      </w:tr>
      <w:tr>
        <w:tc>
          <w:tcPr>
            <w:tcW w:type="dxa" w:w="2928"/>
          </w:tcPr>
          <w:p>
            <w:r>
              <w:t>产能过剩筛查</w:t>
            </w:r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国内电解铝产能已触天花板（4483万吨），供需紧平衡，但属强周期行业，铝价波动风险大</w:t>
            </w:r>
          </w:p>
        </w:tc>
      </w:tr>
      <w:tr>
        <w:tc>
          <w:tcPr>
            <w:tcW w:type="dxa" w:w="2928"/>
          </w:tcPr>
          <w:p>
            <w:r>
              <w:t>增发圈钱筛查</w:t>
            </w:r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2025年完成重大资产重组（收购宏拓实业），发行大量新股，流通股仅占总股本8.7%，未来解禁压力大</w:t>
            </w:r>
          </w:p>
        </w:tc>
      </w:tr>
      <w:tr>
        <w:tc>
          <w:tcPr>
            <w:tcW w:type="dxa" w:w="2928"/>
          </w:tcPr>
          <w:p>
            <w:r>
              <w:t>逻辑复杂度筛查</w:t>
            </w:r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重组后财务数据复杂：扣非净利润为-3.7亿，178亿归母净利润几乎全来自收购产生的182亿非经常损益</w:t>
            </w:r>
          </w:p>
        </w:tc>
      </w:tr>
    </w:tbl>
    <w:p/>
    <w:p>
      <w:r>
        <w:rPr>
          <w:b/>
        </w:rPr>
        <w:t>筛查结论：</w:t>
      </w:r>
      <w:r>
        <w:t>一票否决：股息率0.9% &lt; 2%，直接淘汰。此外扣非净利润为负，非经营依赖度极高，存在重大财务风险。</w:t>
      </w:r>
    </w:p>
    <w:p/>
    <w:p>
      <w:pPr>
        <w:pStyle w:val="Heading1"/>
      </w:pPr>
      <w:r>
        <w:rPr>
          <w:b/>
          <w:color w:val="1A376C"/>
        </w:rPr>
        <w:t>二、核心数据概览</w:t>
      </w:r>
    </w:p>
    <w:p>
      <w:pPr>
        <w:pStyle w:val="Heading2"/>
      </w:pPr>
      <w:r>
        <w:rPr>
          <w:b/>
          <w:color w:val="2E75B6"/>
        </w:rPr>
        <w:t>估值指标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t>PE(TTM)</w:t>
            </w:r>
          </w:p>
        </w:tc>
        <w:tc>
          <w:tcPr>
            <w:tcW w:type="dxa" w:w="2928"/>
          </w:tcPr>
          <w:p>
            <w:r>
              <w:t>20.3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PB</w:t>
            </w:r>
          </w:p>
        </w:tc>
        <w:tc>
          <w:tcPr>
            <w:tcW w:type="dxa" w:w="2928"/>
          </w:tcPr>
          <w:p>
            <w:r>
              <w:t>0.7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总市值</w:t>
            </w:r>
          </w:p>
        </w:tc>
        <w:tc>
          <w:tcPr>
            <w:tcW w:type="dxa" w:w="2928"/>
          </w:tcPr>
          <w:p>
            <w:r>
              <w:t>3636亿元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流通市值</w:t>
            </w:r>
          </w:p>
        </w:tc>
        <w:tc>
          <w:tcPr>
            <w:tcW w:type="dxa" w:w="2928"/>
          </w:tcPr>
          <w:p>
            <w:r>
              <w:t>317亿元（流通股仅8.7%）</w:t>
            </w:r>
          </w:p>
        </w:tc>
        <w:tc>
          <w:tcPr>
            <w:tcW w:type="dxa" w:w="2928"/>
          </w:tcPr>
          <w:p/>
        </w:tc>
      </w:tr>
    </w:tbl>
    <w:p/>
    <w:p>
      <w:pPr>
        <w:pStyle w:val="Heading2"/>
      </w:pPr>
      <w:r>
        <w:rPr>
          <w:b/>
          <w:color w:val="2E75B6"/>
        </w:rPr>
        <w:t>财务指标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t>股息率(TTM)</w:t>
            </w:r>
          </w:p>
        </w:tc>
        <w:tc>
          <w:tcPr>
            <w:tcW w:type="dxa" w:w="2928"/>
          </w:tcPr>
          <w:p>
            <w:r>
              <w:t>0.9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资产负债率</w:t>
            </w:r>
          </w:p>
        </w:tc>
        <w:tc>
          <w:tcPr>
            <w:tcW w:type="dxa" w:w="2928"/>
          </w:tcPr>
          <w:p>
            <w:r>
              <w:t>59.0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ROE</w:t>
            </w:r>
          </w:p>
        </w:tc>
        <w:tc>
          <w:tcPr>
            <w:tcW w:type="dxa" w:w="2928"/>
          </w:tcPr>
          <w:p>
            <w:r>
              <w:t>39.2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经营现金流/股</w:t>
            </w:r>
          </w:p>
        </w:tc>
        <w:tc>
          <w:tcPr>
            <w:tcW w:type="dxa" w:w="2928"/>
          </w:tcPr>
          <w:p>
            <w:r>
              <w:t>N/A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基本EPS</w:t>
            </w:r>
          </w:p>
        </w:tc>
        <w:tc>
          <w:tcPr>
            <w:tcW w:type="dxa" w:w="2928"/>
          </w:tcPr>
          <w:p>
            <w:r>
              <w:t>N/A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扣非EPS</w:t>
            </w:r>
          </w:p>
        </w:tc>
        <w:tc>
          <w:tcPr>
            <w:tcW w:type="dxa" w:w="2928"/>
          </w:tcPr>
          <w:p>
            <w:r>
              <w:t>N/A</w:t>
            </w:r>
          </w:p>
        </w:tc>
        <w:tc>
          <w:tcPr>
            <w:tcW w:type="dxa" w:w="2928"/>
          </w:tcPr>
          <w:p/>
        </w:tc>
      </w:tr>
    </w:tbl>
    <w:p/>
    <w:p>
      <w:pPr>
        <w:pStyle w:val="Heading2"/>
      </w:pPr>
      <w:r>
        <w:rPr>
          <w:b/>
          <w:color w:val="2E75B6"/>
        </w:rPr>
        <w:t>分红历史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t>近3年分红次数</w:t>
            </w:r>
          </w:p>
        </w:tc>
        <w:tc>
          <w:tcPr>
            <w:tcW w:type="dxa" w:w="2928"/>
          </w:tcPr>
          <w:p>
            <w:r>
              <w:t>0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平均每10股派息(元)</w:t>
            </w:r>
          </w:p>
        </w:tc>
        <w:tc>
          <w:tcPr>
            <w:tcW w:type="dxa" w:w="2928"/>
          </w:tcPr>
          <w:p>
            <w:r>
              <w:t>0.0</w:t>
            </w:r>
          </w:p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t>分红稳定性</w:t>
            </w:r>
          </w:p>
        </w:tc>
        <w:tc>
          <w:tcPr>
            <w:tcW w:type="dxa" w:w="2928"/>
          </w:tcPr>
          <w:p>
            <w:r>
              <w:t>历史从未分红（2019-2024年均为0）；2025年报首次提议每10股派2.5元，尚未实施</w:t>
            </w:r>
          </w:p>
        </w:tc>
        <w:tc>
          <w:tcPr>
            <w:tcW w:type="dxa" w:w="2928"/>
          </w:tcPr>
          <w:p/>
        </w:tc>
      </w:tr>
    </w:tbl>
    <w:p/>
    <w:p>
      <w:pPr>
        <w:pStyle w:val="Heading2"/>
      </w:pPr>
      <w:r>
        <w:rPr>
          <w:b/>
          <w:color w:val="2E75B6"/>
        </w:rPr>
        <w:t>业务概况</w:t>
      </w:r>
    </w:p>
    <w:p>
      <w:pPr>
        <w:pStyle w:val="ListBullet"/>
      </w:pPr>
      <w:r>
        <w:rPr>
          <w:b/>
        </w:rPr>
        <w:t>主营业务：</w:t>
      </w:r>
      <w:r>
        <w:t>氧化铝（产能1900万吨）+ 电解铝（产能646万吨，2025年产量654.5万吨）+ 铝深加工。电解铝营收占比70%，氧化铝占比20%。</w:t>
      </w:r>
    </w:p>
    <w:p>
      <w:pPr>
        <w:pStyle w:val="ListBullet"/>
      </w:pPr>
      <w:r>
        <w:rPr>
          <w:b/>
        </w:rPr>
        <w:t>行业地位：</w:t>
      </w:r>
      <w:r>
        <w:t>全球第二大铝生产商，国内市占率约14.8%（2025年）。间接控股股东为港股中国宏桥（01378.HK）。</w:t>
      </w:r>
    </w:p>
    <w:p>
      <w:pPr>
        <w:pStyle w:val="ListBullet"/>
      </w:pPr>
      <w:r>
        <w:rPr>
          <w:b/>
        </w:rPr>
        <w:t>资源/成本优势：</w:t>
      </w:r>
      <w:r>
        <w:t>铝土矿80%以上来自几内亚赢联盟（中国宏桥参股），供应稳定；氧化铝产能全部位于山东滨州港口附近，运费成本优势约250元/吨；正推进电解铝产能向云南水电区转移（已投产217.6万吨），未来电费成本将进一步下降。</w:t>
      </w:r>
    </w:p>
    <w:p/>
    <w:p>
      <w:pPr>
        <w:pStyle w:val="Heading1"/>
      </w:pPr>
      <w:r>
        <w:rPr>
          <w:b/>
          <w:color w:val="1A376C"/>
        </w:rPr>
        <w:t>三、维度打分明细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E1F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96"/>
            <w:shd w:val="clear" w:color="auto" w:fill="D9E1F2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96"/>
            <w:shd w:val="clear" w:color="auto" w:fill="D9E1F2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96"/>
            <w:shd w:val="clear" w:color="auto" w:fill="D9E1F2"/>
          </w:tcPr>
          <w:p>
            <w:r>
              <w:rPr>
                <w:b/>
              </w:rPr>
              <w:t>评分依据</w:t>
            </w:r>
          </w:p>
        </w:tc>
      </w:tr>
      <w:tr>
        <w:tc>
          <w:tcPr>
            <w:tcW w:type="dxa" w:w="2196"/>
          </w:tcPr>
          <w:p>
            <w:r>
              <w:t>生产资料属性</w:t>
            </w:r>
          </w:p>
        </w:tc>
        <w:tc>
          <w:tcPr>
            <w:tcW w:type="dxa" w:w="2196"/>
            <w:shd w:val="clear" w:color="auto" w:fill="FFC7CE"/>
          </w:tcPr>
          <w:p>
            <w:r>
              <w:t>18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重资产制造业，电解铝/氧化铝是典型生产资料，全球头部规模</w:t>
            </w:r>
          </w:p>
        </w:tc>
      </w:tr>
      <w:tr>
        <w:tc>
          <w:tcPr>
            <w:tcW w:type="dxa" w:w="2196"/>
          </w:tcPr>
          <w:p>
            <w:r>
              <w:t>股息率</w:t>
            </w:r>
          </w:p>
        </w:tc>
        <w:tc>
          <w:tcPr>
            <w:tcW w:type="dxa" w:w="2196"/>
            <w:shd w:val="clear" w:color="auto" w:fill="FFC7CE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股息率0.9%，触发一票否决线（&lt;2%）；历史从未分红</w:t>
            </w:r>
          </w:p>
        </w:tc>
      </w:tr>
      <w:tr>
        <w:tc>
          <w:tcPr>
            <w:tcW w:type="dxa" w:w="2196"/>
          </w:tcPr>
          <w:p>
            <w:r>
              <w:t>估值</w:t>
            </w:r>
          </w:p>
        </w:tc>
        <w:tc>
          <w:tcPr>
            <w:tcW w:type="dxa" w:w="2196"/>
            <w:shd w:val="clear" w:color="auto" w:fill="FFC7CE"/>
          </w:tcPr>
          <w:p>
            <w:r>
              <w:t>10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PE(TTM)约20倍，PB 0.70；但扣非净利润为负，TTM PE失真；2026E PE约10倍</w:t>
            </w:r>
          </w:p>
        </w:tc>
      </w:tr>
      <w:tr>
        <w:tc>
          <w:tcPr>
            <w:tcW w:type="dxa" w:w="2196"/>
          </w:tcPr>
          <w:p>
            <w:r>
              <w:t>资源/成本优势</w:t>
            </w:r>
          </w:p>
        </w:tc>
        <w:tc>
          <w:tcPr>
            <w:tcW w:type="dxa" w:w="2196"/>
            <w:shd w:val="clear" w:color="auto" w:fill="FFC7CE"/>
          </w:tcPr>
          <w:p>
            <w:r>
              <w:t>12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铝土矿来源稳定，氧化铝成本行业最低一档，但电费高于新疆竞争对手</w:t>
            </w:r>
          </w:p>
        </w:tc>
      </w:tr>
      <w:tr>
        <w:tc>
          <w:tcPr>
            <w:tcW w:type="dxa" w:w="2196"/>
          </w:tcPr>
          <w:p>
            <w:r>
              <w:t>行业竞争位置</w:t>
            </w:r>
          </w:p>
        </w:tc>
        <w:tc>
          <w:tcPr>
            <w:tcW w:type="dxa" w:w="2196"/>
            <w:shd w:val="clear" w:color="auto" w:fill="FFC7CE"/>
          </w:tcPr>
          <w:p>
            <w:r>
              <w:t>8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国内市占率15%，全球第二，供需紧平衡；但属强周期行业</w:t>
            </w:r>
          </w:p>
        </w:tc>
      </w:tr>
      <w:tr>
        <w:tc>
          <w:tcPr>
            <w:tcW w:type="dxa" w:w="2196"/>
          </w:tcPr>
          <w:p>
            <w:r>
              <w:t>地域因素</w:t>
            </w:r>
          </w:p>
        </w:tc>
        <w:tc>
          <w:tcPr>
            <w:tcW w:type="dxa" w:w="2196"/>
            <w:shd w:val="clear" w:color="auto" w:fill="FFC7CE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N/A（非银行/区域股，跳过）</w:t>
            </w:r>
          </w:p>
        </w:tc>
      </w:tr>
      <w:tr>
        <w:tc>
          <w:tcPr>
            <w:tcW w:type="dxa" w:w="2196"/>
          </w:tcPr>
          <w:p>
            <w:r>
              <w:t>流动性与财务安全</w:t>
            </w:r>
          </w:p>
        </w:tc>
        <w:tc>
          <w:tcPr>
            <w:tcW w:type="dxa" w:w="2196"/>
            <w:shd w:val="clear" w:color="auto" w:fill="FFC7CE"/>
          </w:tcPr>
          <w:p>
            <w:r>
              <w:t>2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资产负债率59%偏高；流通股仅8.7%，流动性差；扣非亏损；但经营现金流充沛（240亿）</w:t>
            </w:r>
          </w:p>
        </w:tc>
      </w:tr>
      <w:tr>
        <w:tc>
          <w:tcPr>
            <w:tcW w:type="dxa" w:w="2196"/>
          </w:tcPr>
          <w:p>
            <w:r>
              <w:t>逻辑清晰度</w:t>
            </w:r>
          </w:p>
        </w:tc>
        <w:tc>
          <w:tcPr>
            <w:tcW w:type="dxa" w:w="2196"/>
            <w:shd w:val="clear" w:color="auto" w:fill="FFC7CE"/>
          </w:tcPr>
          <w:p>
            <w:r>
              <w:t>3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重组后财务数据复杂，扣非亏损难以向普通投资者解释清楚</w:t>
            </w:r>
          </w:p>
        </w:tc>
      </w:tr>
    </w:tbl>
    <w:p/>
    <w:p>
      <w:r>
        <w:rPr>
          <w:b/>
        </w:rPr>
        <w:t>总分：53 / 100　　评级：一般（但因股息率&lt;2%，一票否决，不进入深度研究）</w:t>
      </w:r>
    </w:p>
    <w:p/>
    <w:p>
      <w:pPr>
        <w:pStyle w:val="Heading1"/>
      </w:pPr>
      <w:r>
        <w:rPr>
          <w:b/>
          <w:color w:val="1A376C"/>
        </w:rPr>
        <w:t>四、操作建议</w:t>
      </w:r>
    </w:p>
    <w:p/>
    <w:p>
      <w:pPr>
        <w:pStyle w:val="Heading1"/>
      </w:pPr>
      <w:r>
        <w:rPr>
          <w:b/>
          <w:color w:val="1A376C"/>
        </w:rPr>
        <w:t>五、买入前清单核验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清单项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928"/>
            <w:shd w:val="clear" w:color="auto" w:fill="D9E1F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C6EFCE"/>
          </w:tcPr>
          <w:p>
            <w:r>
              <w:t>达标</w:t>
            </w:r>
          </w:p>
        </w:tc>
        <w:tc>
          <w:tcPr>
            <w:tcW w:type="dxa" w:w="2928"/>
          </w:tcPr>
          <w:p>
            <w:r>
              <w:t>全球第二大铝生产商，受益铝价上行周期，PB 0.7低估值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C6EFCE"/>
          </w:tcPr>
          <w:p>
            <w:r>
              <w:t>达标</w:t>
            </w:r>
          </w:p>
        </w:tc>
        <w:tc>
          <w:tcPr>
            <w:tcW w:type="dxa" w:w="2928"/>
          </w:tcPr>
          <w:p>
            <w:r>
              <w:t>重资产制造业，电解铝是典型生产资料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C6EFCE"/>
          </w:tcPr>
          <w:p>
            <w:r>
              <w:t>不达标</w:t>
            </w:r>
          </w:p>
        </w:tc>
        <w:tc>
          <w:tcPr>
            <w:tcW w:type="dxa" w:w="2928"/>
          </w:tcPr>
          <w:p>
            <w:r>
              <w:t>股息率0.9%，历史从未分红，一票否决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PE(TTM)约20倍，但扣非净利润为负，数据失真；2026E PE约10倍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C6EFCE"/>
          </w:tcPr>
          <w:p>
            <w:r>
              <w:t>不达标</w:t>
            </w:r>
          </w:p>
        </w:tc>
        <w:tc>
          <w:tcPr>
            <w:tcW w:type="dxa" w:w="2928"/>
          </w:tcPr>
          <w:p>
            <w:r>
              <w:t>股价处于52周78%分位（27.9元，高点33.44元），偏高位置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C6EFCE"/>
          </w:tcPr>
          <w:p>
            <w:r>
              <w:t>不达标</w:t>
            </w:r>
          </w:p>
        </w:tc>
        <w:tc>
          <w:tcPr>
            <w:tcW w:type="dxa" w:w="2928"/>
          </w:tcPr>
          <w:p>
            <w:r>
              <w:t>2025年利润几乎全来自收购非经常损益，高度依赖重组事件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需独立判断铝价走势和重组后盈利能力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扣非亏损、高负债、解禁压力，跌30%时逻辑是否仍成立存疑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同行中国铝业（601600）、天山铝业（002532）股息率更高</w:t>
            </w:r>
          </w:p>
        </w:tc>
      </w:tr>
      <w:tr>
        <w:tc>
          <w:tcPr>
            <w:tcW w:type="dxa" w:w="2928"/>
          </w:tcPr>
          <w:p>
            <w:r/>
          </w:p>
        </w:tc>
        <w:tc>
          <w:tcPr>
            <w:tcW w:type="dxa" w:w="2928"/>
            <w:shd w:val="clear" w:color="auto" w:fill="FFEB9C"/>
          </w:tcPr>
          <w:p>
            <w:r>
              <w:t>存疑</w:t>
            </w:r>
          </w:p>
        </w:tc>
        <w:tc>
          <w:tcPr>
            <w:tcW w:type="dxa" w:w="2928"/>
          </w:tcPr>
          <w:p>
            <w:r>
              <w:t>需等待2026年业绩兑现，持有周期至少1-2年</w:t>
            </w:r>
          </w:p>
        </w:tc>
      </w:tr>
    </w:tbl>
    <w:p/>
    <w:p>
      <w:r>
        <w:rPr>
          <w:b/>
        </w:rPr>
        <w:t>达标项：5 / 10</w:t>
      </w:r>
    </w:p>
    <w:p/>
    <w:p>
      <w:pPr>
        <w:pStyle w:val="Heading1"/>
      </w:pPr>
      <w:r>
        <w:rPr>
          <w:b/>
          <w:color w:val="1A376C"/>
        </w:rPr>
        <w:t>六、价值投资财务指标风险</w:t>
      </w:r>
    </w:p>
    <w:p>
      <w:pPr>
        <w:pStyle w:val="Heading1"/>
      </w:pPr>
      <w:r>
        <w:rPr>
          <w:b/>
          <w:color w:val="1A376C"/>
        </w:rPr>
        <w:t>七、成长与风险量化</w:t>
      </w:r>
    </w:p>
    <w:p>
      <w:r>
        <w:t>business_breakdownindustry_outlookrisksvaluation_scenarios</w:t>
      </w:r>
    </w:p>
    <w:p/>
    <w:p>
      <w:pPr>
        <w:pStyle w:val="Heading1"/>
      </w:pPr>
      <w:r>
        <w:rPr>
          <w:b/>
          <w:color w:val="1A376C"/>
        </w:rPr>
        <w:t>八、综合结论</w:t>
      </w:r>
    </w:p>
    <w:p>
      <w:r>
        <w:rPr>
          <w:b/>
        </w:rPr>
        <w:t>宏桥控股是全球第二大铝生产商，重组后具备完整的氧化铝-电解铝-铝深加工产业链，行业地位突出，受益于铝价上行周期。但按MR Dang价值投资体系，股息率仅0.9%（历史从未分红），触发一票否决；扣非净利润为负，非经营依赖度极高，流通股比例仅8.7%存在巨大解禁压力。综合来看，该股更适合成长/周期投资者，不适合MR Dang体系的价值投资框架。建议回避，待分红率稳定提升至3%以上后重新评估。</w:t>
      </w:r>
    </w:p>
    <w:p/>
    <w:p>
      <w:pPr>
        <w:jc w:val="center"/>
      </w:pPr>
      <w:r>
        <w:rPr>
          <w:i/>
          <w:color w:val="595959"/>
          <w:sz w:val="18"/>
        </w:rPr>
        <w:t>风险提示：本报告基于公开数据分析，不构成投资建议。投资有风险，入市需谨慎。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