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industry-analyst / SKILL.md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行业分析师（Industry Analyst）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基于肖璟《如何快速了解一个行业》的完整行研框架，帮助用户系统性地分析任何行业。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当用户说"分析这个行业""帮我做行研""这个赛道怎么样""这个行业值不值得投""我想了解XX行业""帮我做一个行业报告"时触发。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创业赛道评估、求职行业选择、投资标的筛选等场景。基于《如何快速了解一个行业》（肖璟著）的完整方法论，覆盖产业生命周期判断、商业模式可行性、市场规模测算、护城河分析、竞争格局与盈利性、估值逻辑、PEST外部因素分析和景气度跟踪，输出结构化的分析报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核心分析框架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全书框架以</w:t>
      </w:r>
      <w:r>
        <w:rPr>
          <w:rFonts w:eastAsia="等线" w:ascii="Arial" w:cs="Arial" w:hAnsi="Arial"/>
          <w:b w:val="true"/>
          <w:sz w:val="22"/>
        </w:rPr>
        <w:t>产业生命周期</w:t>
      </w:r>
      <w:r>
        <w:rPr>
          <w:rFonts w:eastAsia="等线" w:ascii="Arial" w:cs="Arial" w:hAnsi="Arial"/>
          <w:sz w:val="22"/>
        </w:rPr>
        <w:t>为轴心，共八个维度：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第一步：定义行业边界</w:t>
              <w:br/>
              <w:t>第二步：判断产业生命周期阶段（用渗透率）</w:t>
              <w:br/>
              <w:t>第三步：按阶段选择分析重点</w:t>
              <w:br/>
              <w:t xml:space="preserve">  → 导入期：可行性（商业模式）</w:t>
              <w:br/>
              <w:t xml:space="preserve">  → 成长期：规模性（市场空间）</w:t>
              <w:br/>
              <w:t xml:space="preserve">  → 成熟期：防守性（护城河）+ 盈利性（竞争格局）</w:t>
              <w:br/>
              <w:t xml:space="preserve">  → 衰退期：替代品威胁</w:t>
              <w:br/>
              <w:t>第四步：估值逻辑</w:t>
              <w:br/>
              <w:t>第五步：PEST 外部因素</w:t>
              <w:br/>
            </w:r>
            <w:r>
              <w:rPr>
                <w:rFonts w:eastAsia="Consolas" w:ascii="Consolas" w:cs="Consolas" w:hAnsi="Consolas"/>
                <w:sz w:val="22"/>
              </w:rPr>
              <w:t>第六步：景气度跟踪指标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执行流程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Step 0：厘清用户意图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在开始分析前，先问用户一个问题（最多一个）：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"你分析这个行业，主要是为了：投资选股、创业选赛道、择业找方向，还是其他目的？"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不同目的对应不同的分析侧重（见下方"输出侧重"）。如果用户已经说明，直接跳过。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Step 1：定义行业边界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首先明确分析对象的颗粒度，避免口径混乱。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横向维度</w:t>
      </w:r>
      <w:r>
        <w:rPr>
          <w:rFonts w:eastAsia="等线" w:ascii="Arial" w:cs="Arial" w:hAnsi="Arial"/>
          <w:sz w:val="22"/>
        </w:rPr>
        <w:t>：明确分析的是哪个层级的行业（一级/二级/三级）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参考国内常用分类体系：《申万行业分类标准》（三级）、《国民经济行业分类》、证监会《上市公司行业分类指引》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海外可参考 GICS（标普/MSCI）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纵向维度</w:t>
      </w:r>
      <w:r>
        <w:rPr>
          <w:rFonts w:eastAsia="等线" w:ascii="Arial" w:cs="Arial" w:hAnsi="Arial"/>
          <w:sz w:val="22"/>
        </w:rPr>
        <w:t>：梳理产业链上下游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列出主要环节：原材料 → 中间品 → 终端产品 → 渠道 → 用户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标注本次重点分析的环节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：一句话明确"本次分析的行业定义是……（含哪些环节/不含哪些）"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Step 2：判断产业生命周期阶段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</w:t>
      </w:r>
      <w:r>
        <w:rPr>
          <w:rFonts w:eastAsia="等线" w:ascii="Arial" w:cs="Arial" w:hAnsi="Arial"/>
          <w:b w:val="true"/>
          <w:sz w:val="22"/>
        </w:rPr>
        <w:t>渗透率</w:t>
      </w:r>
      <w:r>
        <w:rPr>
          <w:rFonts w:eastAsia="等线" w:ascii="Arial" w:cs="Arial" w:hAnsi="Arial"/>
          <w:sz w:val="22"/>
        </w:rPr>
        <w:t>作为核心判断标准（而非时间或增速斜率）：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：真实产业生命周期并非线性S曲线，有三种非线性可能：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在导入期直接失败消亡（伪需求）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成熟期开辟第二增长曲线，重回成长期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成熟期进入"稳定市场周期化"（如银行、白酒）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Step 3：按阶段选择分析重点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 Step 2 的判断，聚焦核心分析维度。详见下方各维度说明。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3A：可行性分析（导入期必做，其他阶段选做）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需求是真实存在的吗？（区分真需求 vs 伪需求）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用户愿意付费吗？价格敏感度如何？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供给端（商业模式验证）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是否能"卖出去"：获客成本、转化率、用户留存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是否能"赚到钱"：单位经济模型（Unit Economics） 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毛利是否为正？毛利率是否可提升？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LTV（客户终身价值）&gt; CAC（获客成本）× 3 倍？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是否能"规模复制"：商业模式是否可复制到更多用户/地区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判断结论</w:t>
      </w:r>
      <w:r>
        <w:rPr>
          <w:rFonts w:eastAsia="等线" w:ascii="Arial" w:cs="Arial" w:hAnsi="Arial"/>
          <w:sz w:val="22"/>
        </w:rPr>
        <w:t>：商业模式可行 / 有条件可行（需满足XX前提）/ 不可行（原因）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3B：规模性分析（成长期必做）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三个口径的市场规模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TAM（潜在市场）</w:t>
      </w:r>
      <w:r>
        <w:rPr>
          <w:rFonts w:eastAsia="等线" w:ascii="Arial" w:cs="Arial" w:hAnsi="Arial"/>
          <w:sz w:val="22"/>
        </w:rPr>
        <w:t>：理论上所有可能的用户×付费额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SAM（可服务市场）</w:t>
      </w:r>
      <w:r>
        <w:rPr>
          <w:rFonts w:eastAsia="等线" w:ascii="Arial" w:cs="Arial" w:hAnsi="Arial"/>
          <w:sz w:val="22"/>
        </w:rPr>
        <w:t>：当前技术/渠道/政策条件下能触达的用户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SOM（可获得市场）</w:t>
      </w:r>
      <w:r>
        <w:rPr>
          <w:rFonts w:eastAsia="等线" w:ascii="Arial" w:cs="Arial" w:hAnsi="Arial"/>
          <w:sz w:val="22"/>
        </w:rPr>
        <w:t>：公司/行业在3~5年内实际可拿到的份额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两种测算方法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自上而下（Top-down）</w:t>
      </w:r>
      <w:r>
        <w:rPr>
          <w:rFonts w:eastAsia="等线" w:ascii="Arial" w:cs="Arial" w:hAnsi="Arial"/>
          <w:sz w:val="22"/>
        </w:rPr>
        <w:t>：总市场 × 渗透率假设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自下而上（Bottom-up）</w:t>
      </w:r>
      <w:r>
        <w:rPr>
          <w:rFonts w:eastAsia="等线" w:ascii="Arial" w:cs="Arial" w:hAnsi="Arial"/>
          <w:sz w:val="22"/>
        </w:rPr>
        <w:t>：单用户/单单价 × 用户数量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未来3~5年市场规模预测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参考成熟市场同类行业的历史经验（如用美国/欧洲对应行业比照）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参考政策目标和上市公司指引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给出高/中/低三种情景假设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3C：防守性分析（成熟期必做）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护城河的两种构建方式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资源垄断</w:t>
      </w:r>
      <w:r>
        <w:rPr>
          <w:rFonts w:eastAsia="等线" w:ascii="Arial" w:cs="Arial" w:hAnsi="Arial"/>
          <w:sz w:val="22"/>
        </w:rPr>
        <w:t>：独占生产要素（稀缺资源、牌照、数据、专利等）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竞争优势</w:t>
      </w:r>
      <w:r>
        <w:rPr>
          <w:rFonts w:eastAsia="等线" w:ascii="Arial" w:cs="Arial" w:hAnsi="Arial"/>
          <w:sz w:val="22"/>
        </w:rPr>
        <w:t>：通过市场行为建立的壁垒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四类竞争优势护城河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26" style="width:414pt;height:155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判断护城河宽度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宽护城河：多种壁垒叠加，竞争者难以复制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窄护城河：壁垒单一，竞争者可在3~5年内追上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无护城河：同质化竞争，价格是唯一维度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3D：盈利性分析（成熟期必做）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产能周期与竞争格局演化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供不应求 → 利润高，吸引进入者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产能激增 → 价格战开始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产能出清 → 弱者退场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格局改善 → 寡头享受超额利润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纵向格局：产业链利润分配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关键分析工具：</w:t>
      </w:r>
      <w:r>
        <w:rPr>
          <w:rFonts w:eastAsia="等线" w:ascii="Arial" w:cs="Arial" w:hAnsi="Arial"/>
          <w:b w:val="true"/>
          <w:sz w:val="22"/>
        </w:rPr>
        <w:t>波特五力 × 议价能力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议价能力来自两个层面：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议价意愿</w:t>
      </w:r>
      <w:r>
        <w:rPr>
          <w:rFonts w:eastAsia="等线" w:ascii="Arial" w:cs="Arial" w:hAnsi="Arial"/>
          <w:sz w:val="22"/>
        </w:rPr>
        <w:t>：是否有动机向上下游要价（与客户关系、品牌定位有关）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议价能力</w:t>
      </w:r>
      <w:r>
        <w:rPr>
          <w:rFonts w:eastAsia="等线" w:ascii="Arial" w:cs="Arial" w:hAnsi="Arial"/>
          <w:sz w:val="22"/>
        </w:rPr>
        <w:t>：是否有条件向上下游要价（集中度、替代品稀缺性有关）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财务指标验证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毛利率（定价权）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应收/应付账款周转（占用上下游资金的能力）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净资产收益率 ROE（资本效率）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Step 4：估值逻辑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不同阶段对应不同估值框架：</w:t>
      </w:r>
    </w:p>
    <w:p>
      <w:pPr>
        <w:spacing w:before="120" w:after="120" w:line="288" w:lineRule="auto"/>
        <w:ind w:left="0"/>
      </w:pPr>
      <w:r>
        <w:object>
          <v:shape id="_x0000_i1027" style="width:414pt;height:182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基础公式</w:t>
      </w:r>
      <w:r>
        <w:rPr>
          <w:rFonts w:eastAsia="等线" w:ascii="Arial" w:cs="Arial" w:hAnsi="Arial"/>
          <w:sz w:val="22"/>
        </w:rPr>
        <w:t>：公司市值 = 净利润 × 市盈率（P/E）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估值倍数由两个因素决定：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赔率</w:t>
      </w:r>
      <w:r>
        <w:rPr>
          <w:rFonts w:eastAsia="等线" w:ascii="Arial" w:cs="Arial" w:hAnsi="Arial"/>
          <w:sz w:val="22"/>
        </w:rPr>
        <w:t>：潜在收益空间（基本面好坏）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概率</w:t>
      </w:r>
      <w:r>
        <w:rPr>
          <w:rFonts w:eastAsia="等线" w:ascii="Arial" w:cs="Arial" w:hAnsi="Arial"/>
          <w:sz w:val="22"/>
        </w:rPr>
        <w:t>：市场预期实现的可能性（确定性）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Step 5：PEST 外部因素分析</w:t>
      </w:r>
      <w:bookmarkEnd w:id="12"/>
    </w:p>
    <w:p>
      <w:pPr>
        <w:spacing w:before="120" w:after="120" w:line="288" w:lineRule="auto"/>
        <w:ind w:left="0"/>
      </w:pPr>
      <w:r>
        <w:object>
          <v:shape id="_x0000_i1028" style="width:414pt;height:192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重点分析：</w:t>
      </w:r>
      <w:r>
        <w:rPr>
          <w:rFonts w:eastAsia="等线" w:ascii="Arial" w:cs="Arial" w:hAnsi="Arial"/>
          <w:b w:val="true"/>
          <w:sz w:val="22"/>
        </w:rPr>
        <w:t>哪些外部因素当前正在成为催化剂（加速行业发展）或是压制因素（阻碍行业发展）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Step 6：景气度跟踪指标设计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分析报告完成后，建议设计一套高频跟踪指标，用于持续验证判断。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景气度指标类型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</w:t>
      </w:r>
      <w:r>
        <w:rPr>
          <w:rFonts w:eastAsia="等线" w:ascii="Arial" w:cs="Arial" w:hAnsi="Arial"/>
          <w:sz w:val="22"/>
        </w:rPr>
        <w:t>：销量、出货量、订单量、用户增长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</w:t>
      </w:r>
      <w:r>
        <w:rPr>
          <w:rFonts w:eastAsia="等线" w:ascii="Arial" w:cs="Arial" w:hAnsi="Arial"/>
          <w:sz w:val="22"/>
        </w:rPr>
        <w:t>：出厂价、原材料价格、终端零售价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利</w:t>
      </w:r>
      <w:r>
        <w:rPr>
          <w:rFonts w:eastAsia="等线" w:ascii="Arial" w:cs="Arial" w:hAnsi="Arial"/>
          <w:sz w:val="22"/>
        </w:rPr>
        <w:t>：毛利率、净利率变化趋势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库存</w:t>
      </w:r>
      <w:r>
        <w:rPr>
          <w:rFonts w:eastAsia="等线" w:ascii="Arial" w:cs="Arial" w:hAnsi="Arial"/>
          <w:sz w:val="22"/>
        </w:rPr>
        <w:t>：渠道库存周转天数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</w:t>
      </w:r>
      <w:r>
        <w:rPr>
          <w:rFonts w:eastAsia="等线" w:ascii="Arial" w:cs="Arial" w:hAnsi="Arial"/>
          <w:sz w:val="22"/>
        </w:rPr>
        <w:t>：PMI采购经理指数、行业景气调查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月度：国家统计局、行业协会数据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季度：上市公司财报（关注头部公司）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高频：Wind、同花顺、海关数据、电商销售数据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输出格式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根据用户目的，调整输出侧重：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投资选股</w:t>
      </w:r>
      <w:r>
        <w:rPr>
          <w:rFonts w:eastAsia="等线" w:ascii="Arial" w:cs="Arial" w:hAnsi="Arial"/>
          <w:sz w:val="22"/>
        </w:rPr>
        <w:t xml:space="preserve">：重点输出 → 生命周期阶段 + 竞争格局 + 估值逻辑 + 景气度指标 </w:t>
      </w:r>
      <w:r>
        <w:rPr>
          <w:rFonts w:eastAsia="等线" w:ascii="Arial" w:cs="Arial" w:hAnsi="Arial"/>
          <w:b w:val="true"/>
          <w:sz w:val="22"/>
        </w:rPr>
        <w:t>创业选赛道</w:t>
      </w:r>
      <w:r>
        <w:rPr>
          <w:rFonts w:eastAsia="等线" w:ascii="Arial" w:cs="Arial" w:hAnsi="Arial"/>
          <w:sz w:val="22"/>
        </w:rPr>
        <w:t xml:space="preserve">：重点输出 → 可行性 + 市场规模 + 护城河构建路径 </w:t>
      </w:r>
      <w:r>
        <w:rPr>
          <w:rFonts w:eastAsia="等线" w:ascii="Arial" w:cs="Arial" w:hAnsi="Arial"/>
          <w:b w:val="true"/>
          <w:sz w:val="22"/>
        </w:rPr>
        <w:t>择业找方向</w:t>
      </w:r>
      <w:r>
        <w:rPr>
          <w:rFonts w:eastAsia="等线" w:ascii="Arial" w:cs="Arial" w:hAnsi="Arial"/>
          <w:sz w:val="22"/>
        </w:rPr>
        <w:t xml:space="preserve">：重点输出 → 生命周期阶段 + 行业前景 + 龙头公司格局 </w:t>
      </w:r>
      <w:r>
        <w:rPr>
          <w:rFonts w:eastAsia="等线" w:ascii="Arial" w:cs="Arial" w:hAnsi="Arial"/>
          <w:b w:val="true"/>
          <w:sz w:val="22"/>
        </w:rPr>
        <w:t>行研报告</w:t>
      </w:r>
      <w:r>
        <w:rPr>
          <w:rFonts w:eastAsia="等线" w:ascii="Arial" w:cs="Arial" w:hAnsi="Arial"/>
          <w:sz w:val="22"/>
        </w:rPr>
        <w:t>：输出完整框架，所有维度覆盖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报告结构模板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一、行业定义与范围</w:t>
              <w:br/>
              <w:t>二、产业生命周期判断（现在处于哪个阶段，依据是什么）</w:t>
              <w:br/>
              <w:t>三、[按阶段]核心分析维度</w:t>
              <w:br/>
              <w:t>四、外部因素（PEST）</w:t>
              <w:br/>
              <w:t>五、估值参考</w:t>
              <w:br/>
              <w:t>六、景气度跟踪指标</w:t>
              <w:br/>
            </w:r>
            <w:r>
              <w:rPr>
                <w:rFonts w:eastAsia="Consolas" w:ascii="Consolas" w:cs="Consolas" w:hAnsi="Consolas"/>
                <w:sz w:val="22"/>
              </w:rPr>
              <w:t>七、综合结论与风险提示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重要原则</w:t>
      </w:r>
      <w:bookmarkEnd w:id="15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动态视角</w:t>
      </w:r>
      <w:r>
        <w:rPr>
          <w:rFonts w:eastAsia="等线" w:ascii="Arial" w:cs="Arial" w:hAnsi="Arial"/>
          <w:sz w:val="22"/>
        </w:rPr>
        <w:t>：行业是动态演化的，分析结论需定期更新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颗粒度一致</w:t>
      </w:r>
      <w:r>
        <w:rPr>
          <w:rFonts w:eastAsia="等线" w:ascii="Arial" w:cs="Arial" w:hAnsi="Arial"/>
          <w:sz w:val="22"/>
        </w:rPr>
        <w:t>：全程保持行业边界定义一致，避免口径偷换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模糊的正确 &gt; 精确的错误</w:t>
      </w:r>
      <w:r>
        <w:rPr>
          <w:rFonts w:eastAsia="等线" w:ascii="Arial" w:cs="Arial" w:hAnsi="Arial"/>
          <w:sz w:val="22"/>
        </w:rPr>
        <w:t>：市场规模测算给出合理区间，不要过度追求精确数字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结论要可证伪</w:t>
      </w:r>
      <w:r>
        <w:rPr>
          <w:rFonts w:eastAsia="等线" w:ascii="Arial" w:cs="Arial" w:hAnsi="Arial"/>
          <w:sz w:val="22"/>
        </w:rPr>
        <w:t>：分析判断要附上"如果XX发生，结论需要修正"的条件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景气度跟踪</w:t>
      </w:r>
      <w:r>
        <w:rPr>
          <w:rFonts w:eastAsia="等线" w:ascii="Arial" w:cs="Arial" w:hAnsi="Arial"/>
          <w:sz w:val="22"/>
        </w:rPr>
        <w:t>：分析是起点，持续跟踪才能验证判断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40863">
    <w:lvl>
      <w:numFmt w:val="bullet"/>
      <w:suff w:val="tab"/>
      <w:lvlText w:val="•"/>
      <w:rPr>
        <w:color w:val="3370ff"/>
      </w:rPr>
    </w:lvl>
  </w:abstractNum>
  <w:abstractNum w:abstractNumId="1640864">
    <w:lvl>
      <w:numFmt w:val="bullet"/>
      <w:suff w:val="tab"/>
      <w:lvlText w:val="•"/>
      <w:rPr>
        <w:color w:val="3370ff"/>
      </w:rPr>
    </w:lvl>
  </w:abstractNum>
  <w:abstractNum w:abstractNumId="1640865">
    <w:lvl>
      <w:numFmt w:val="bullet"/>
      <w:suff w:val="tab"/>
      <w:lvlText w:val="•"/>
      <w:rPr>
        <w:color w:val="3370ff"/>
      </w:rPr>
    </w:lvl>
  </w:abstractNum>
  <w:abstractNum w:abstractNumId="1640866">
    <w:lvl>
      <w:numFmt w:val="bullet"/>
      <w:suff w:val="tab"/>
      <w:lvlText w:val="•"/>
      <w:rPr>
        <w:color w:val="3370ff"/>
      </w:rPr>
    </w:lvl>
  </w:abstractNum>
  <w:abstractNum w:abstractNumId="1640867">
    <w:lvl>
      <w:start w:val="1"/>
      <w:numFmt w:val="decimal"/>
      <w:suff w:val="tab"/>
      <w:lvlText w:val="%1."/>
      <w:rPr>
        <w:color w:val="3370ff"/>
      </w:rPr>
    </w:lvl>
  </w:abstractNum>
  <w:abstractNum w:abstractNumId="1640868">
    <w:lvl>
      <w:start w:val="2"/>
      <w:numFmt w:val="decimal"/>
      <w:suff w:val="tab"/>
      <w:lvlText w:val="%1."/>
      <w:rPr>
        <w:color w:val="3370ff"/>
      </w:rPr>
    </w:lvl>
  </w:abstractNum>
  <w:abstractNum w:abstractNumId="1640869">
    <w:lvl>
      <w:start w:val="3"/>
      <w:numFmt w:val="decimal"/>
      <w:suff w:val="tab"/>
      <w:lvlText w:val="%1."/>
      <w:rPr>
        <w:color w:val="3370ff"/>
      </w:rPr>
    </w:lvl>
  </w:abstractNum>
  <w:abstractNum w:abstractNumId="1640870">
    <w:lvl>
      <w:numFmt w:val="bullet"/>
      <w:suff w:val="tab"/>
      <w:lvlText w:val="•"/>
      <w:rPr>
        <w:color w:val="3370ff"/>
      </w:rPr>
    </w:lvl>
  </w:abstractNum>
  <w:abstractNum w:abstractNumId="1640871">
    <w:lvl>
      <w:numFmt w:val="bullet"/>
      <w:suff w:val="tab"/>
      <w:lvlText w:val="•"/>
      <w:rPr>
        <w:color w:val="3370ff"/>
      </w:rPr>
    </w:lvl>
  </w:abstractNum>
  <w:abstractNum w:abstractNumId="1640872">
    <w:lvl>
      <w:start w:val="1"/>
      <w:numFmt w:val="decimal"/>
      <w:suff w:val="tab"/>
      <w:lvlText w:val="%1."/>
      <w:rPr>
        <w:color w:val="3370ff"/>
      </w:rPr>
    </w:lvl>
  </w:abstractNum>
  <w:abstractNum w:abstractNumId="1640873">
    <w:lvl>
      <w:start w:val="2"/>
      <w:numFmt w:val="decimal"/>
      <w:suff w:val="tab"/>
      <w:lvlText w:val="%1."/>
      <w:rPr>
        <w:color w:val="3370ff"/>
      </w:rPr>
    </w:lvl>
  </w:abstractNum>
  <w:abstractNum w:abstractNumId="1640874">
    <w:lvl>
      <w:numFmt w:val="bullet"/>
      <w:suff w:val="tab"/>
      <w:lvlText w:val="￮"/>
      <w:rPr>
        <w:color w:val="3370ff"/>
      </w:rPr>
    </w:lvl>
  </w:abstractNum>
  <w:abstractNum w:abstractNumId="1640875">
    <w:lvl>
      <w:numFmt w:val="bullet"/>
      <w:suff w:val="tab"/>
      <w:lvlText w:val="￮"/>
      <w:rPr>
        <w:color w:val="3370ff"/>
      </w:rPr>
    </w:lvl>
  </w:abstractNum>
  <w:abstractNum w:abstractNumId="1640876">
    <w:lvl>
      <w:start w:val="3"/>
      <w:numFmt w:val="decimal"/>
      <w:suff w:val="tab"/>
      <w:lvlText w:val="%1."/>
      <w:rPr>
        <w:color w:val="3370ff"/>
      </w:rPr>
    </w:lvl>
  </w:abstractNum>
  <w:abstractNum w:abstractNumId="1640877">
    <w:lvl>
      <w:numFmt w:val="bullet"/>
      <w:suff w:val="tab"/>
      <w:lvlText w:val="•"/>
      <w:rPr>
        <w:color w:val="3370ff"/>
      </w:rPr>
    </w:lvl>
  </w:abstractNum>
  <w:abstractNum w:abstractNumId="1640878">
    <w:lvl>
      <w:numFmt w:val="bullet"/>
      <w:suff w:val="tab"/>
      <w:lvlText w:val="•"/>
      <w:rPr>
        <w:color w:val="3370ff"/>
      </w:rPr>
    </w:lvl>
  </w:abstractNum>
  <w:abstractNum w:abstractNumId="1640879">
    <w:lvl>
      <w:numFmt w:val="bullet"/>
      <w:suff w:val="tab"/>
      <w:lvlText w:val="•"/>
      <w:rPr>
        <w:color w:val="3370ff"/>
      </w:rPr>
    </w:lvl>
  </w:abstractNum>
  <w:abstractNum w:abstractNumId="1640880">
    <w:lvl>
      <w:start w:val="1"/>
      <w:numFmt w:val="decimal"/>
      <w:suff w:val="tab"/>
      <w:lvlText w:val="%1."/>
      <w:rPr>
        <w:color w:val="3370ff"/>
      </w:rPr>
    </w:lvl>
  </w:abstractNum>
  <w:abstractNum w:abstractNumId="1640881">
    <w:lvl>
      <w:start w:val="2"/>
      <w:numFmt w:val="decimal"/>
      <w:suff w:val="tab"/>
      <w:lvlText w:val="%1."/>
      <w:rPr>
        <w:color w:val="3370ff"/>
      </w:rPr>
    </w:lvl>
  </w:abstractNum>
  <w:abstractNum w:abstractNumId="1640882">
    <w:lvl>
      <w:numFmt w:val="bullet"/>
      <w:suff w:val="tab"/>
      <w:lvlText w:val="•"/>
      <w:rPr>
        <w:color w:val="3370ff"/>
      </w:rPr>
    </w:lvl>
  </w:abstractNum>
  <w:abstractNum w:abstractNumId="1640883">
    <w:lvl>
      <w:numFmt w:val="bullet"/>
      <w:suff w:val="tab"/>
      <w:lvlText w:val="•"/>
      <w:rPr>
        <w:color w:val="3370ff"/>
      </w:rPr>
    </w:lvl>
  </w:abstractNum>
  <w:abstractNum w:abstractNumId="1640884">
    <w:lvl>
      <w:numFmt w:val="bullet"/>
      <w:suff w:val="tab"/>
      <w:lvlText w:val="•"/>
      <w:rPr>
        <w:color w:val="3370ff"/>
      </w:rPr>
    </w:lvl>
  </w:abstractNum>
  <w:abstractNum w:abstractNumId="1640885">
    <w:lvl>
      <w:start w:val="1"/>
      <w:numFmt w:val="decimal"/>
      <w:suff w:val="tab"/>
      <w:lvlText w:val="%1."/>
      <w:rPr>
        <w:color w:val="3370ff"/>
      </w:rPr>
    </w:lvl>
  </w:abstractNum>
  <w:abstractNum w:abstractNumId="1640886">
    <w:lvl>
      <w:start w:val="2"/>
      <w:numFmt w:val="decimal"/>
      <w:suff w:val="tab"/>
      <w:lvlText w:val="%1."/>
      <w:rPr>
        <w:color w:val="3370ff"/>
      </w:rPr>
    </w:lvl>
  </w:abstractNum>
  <w:abstractNum w:abstractNumId="1640887">
    <w:lvl>
      <w:numFmt w:val="bullet"/>
      <w:suff w:val="tab"/>
      <w:lvlText w:val="•"/>
      <w:rPr>
        <w:color w:val="3370ff"/>
      </w:rPr>
    </w:lvl>
  </w:abstractNum>
  <w:abstractNum w:abstractNumId="1640888">
    <w:lvl>
      <w:numFmt w:val="bullet"/>
      <w:suff w:val="tab"/>
      <w:lvlText w:val="•"/>
      <w:rPr>
        <w:color w:val="3370ff"/>
      </w:rPr>
    </w:lvl>
  </w:abstractNum>
  <w:abstractNum w:abstractNumId="1640889">
    <w:lvl>
      <w:numFmt w:val="bullet"/>
      <w:suff w:val="tab"/>
      <w:lvlText w:val="•"/>
      <w:rPr>
        <w:color w:val="3370ff"/>
      </w:rPr>
    </w:lvl>
  </w:abstractNum>
  <w:abstractNum w:abstractNumId="1640890">
    <w:lvl>
      <w:start w:val="1"/>
      <w:numFmt w:val="decimal"/>
      <w:suff w:val="tab"/>
      <w:lvlText w:val="%1."/>
      <w:rPr>
        <w:color w:val="3370ff"/>
      </w:rPr>
    </w:lvl>
  </w:abstractNum>
  <w:abstractNum w:abstractNumId="1640891">
    <w:lvl>
      <w:start w:val="2"/>
      <w:numFmt w:val="decimal"/>
      <w:suff w:val="tab"/>
      <w:lvlText w:val="%1."/>
      <w:rPr>
        <w:color w:val="3370ff"/>
      </w:rPr>
    </w:lvl>
  </w:abstractNum>
  <w:abstractNum w:abstractNumId="1640892">
    <w:lvl>
      <w:start w:val="3"/>
      <w:numFmt w:val="decimal"/>
      <w:suff w:val="tab"/>
      <w:lvlText w:val="%1."/>
      <w:rPr>
        <w:color w:val="3370ff"/>
      </w:rPr>
    </w:lvl>
  </w:abstractNum>
  <w:abstractNum w:abstractNumId="1640893">
    <w:lvl>
      <w:start w:val="4"/>
      <w:numFmt w:val="decimal"/>
      <w:suff w:val="tab"/>
      <w:lvlText w:val="%1."/>
      <w:rPr>
        <w:color w:val="3370ff"/>
      </w:rPr>
    </w:lvl>
  </w:abstractNum>
  <w:abstractNum w:abstractNumId="1640894">
    <w:lvl>
      <w:numFmt w:val="bullet"/>
      <w:suff w:val="tab"/>
      <w:lvlText w:val="•"/>
      <w:rPr>
        <w:color w:val="3370ff"/>
      </w:rPr>
    </w:lvl>
  </w:abstractNum>
  <w:abstractNum w:abstractNumId="1640895">
    <w:lvl>
      <w:numFmt w:val="bullet"/>
      <w:suff w:val="tab"/>
      <w:lvlText w:val="•"/>
      <w:rPr>
        <w:color w:val="3370ff"/>
      </w:rPr>
    </w:lvl>
  </w:abstractNum>
  <w:abstractNum w:abstractNumId="1640896">
    <w:lvl>
      <w:numFmt w:val="bullet"/>
      <w:suff w:val="tab"/>
      <w:lvlText w:val="•"/>
      <w:rPr>
        <w:color w:val="3370ff"/>
      </w:rPr>
    </w:lvl>
  </w:abstractNum>
  <w:abstractNum w:abstractNumId="1640897">
    <w:lvl>
      <w:numFmt w:val="bullet"/>
      <w:suff w:val="tab"/>
      <w:lvlText w:val="•"/>
      <w:rPr>
        <w:color w:val="3370ff"/>
      </w:rPr>
    </w:lvl>
  </w:abstractNum>
  <w:abstractNum w:abstractNumId="1640898">
    <w:lvl>
      <w:numFmt w:val="bullet"/>
      <w:suff w:val="tab"/>
      <w:lvlText w:val="•"/>
      <w:rPr>
        <w:color w:val="3370ff"/>
      </w:rPr>
    </w:lvl>
  </w:abstractNum>
  <w:abstractNum w:abstractNumId="1640899">
    <w:lvl>
      <w:numFmt w:val="bullet"/>
      <w:suff w:val="tab"/>
      <w:lvlText w:val="•"/>
      <w:rPr>
        <w:color w:val="3370ff"/>
      </w:rPr>
    </w:lvl>
  </w:abstractNum>
  <w:abstractNum w:abstractNumId="1640900">
    <w:lvl>
      <w:numFmt w:val="bullet"/>
      <w:suff w:val="tab"/>
      <w:lvlText w:val="•"/>
      <w:rPr>
        <w:color w:val="3370ff"/>
      </w:rPr>
    </w:lvl>
  </w:abstractNum>
  <w:abstractNum w:abstractNumId="1640901">
    <w:lvl>
      <w:numFmt w:val="bullet"/>
      <w:suff w:val="tab"/>
      <w:lvlText w:val="•"/>
      <w:rPr>
        <w:color w:val="3370ff"/>
      </w:rPr>
    </w:lvl>
  </w:abstractNum>
  <w:abstractNum w:abstractNumId="1640902">
    <w:lvl>
      <w:numFmt w:val="bullet"/>
      <w:suff w:val="tab"/>
      <w:lvlText w:val="•"/>
      <w:rPr>
        <w:color w:val="3370ff"/>
      </w:rPr>
    </w:lvl>
  </w:abstractNum>
  <w:abstractNum w:abstractNumId="1640903">
    <w:lvl>
      <w:numFmt w:val="bullet"/>
      <w:suff w:val="tab"/>
      <w:lvlText w:val="•"/>
      <w:rPr>
        <w:color w:val="3370ff"/>
      </w:rPr>
    </w:lvl>
  </w:abstractNum>
  <w:abstractNum w:abstractNumId="1640904">
    <w:lvl>
      <w:numFmt w:val="bullet"/>
      <w:suff w:val="tab"/>
      <w:lvlText w:val="•"/>
      <w:rPr>
        <w:color w:val="3370ff"/>
      </w:rPr>
    </w:lvl>
  </w:abstractNum>
  <w:abstractNum w:abstractNumId="1640905">
    <w:lvl>
      <w:numFmt w:val="bullet"/>
      <w:suff w:val="tab"/>
      <w:lvlText w:val="•"/>
      <w:rPr>
        <w:color w:val="3370ff"/>
      </w:rPr>
    </w:lvl>
  </w:abstractNum>
  <w:abstractNum w:abstractNumId="1640906">
    <w:lvl>
      <w:numFmt w:val="bullet"/>
      <w:suff w:val="tab"/>
      <w:lvlText w:val="•"/>
      <w:rPr>
        <w:color w:val="3370ff"/>
      </w:rPr>
    </w:lvl>
  </w:abstractNum>
  <w:abstractNum w:abstractNumId="1640907">
    <w:lvl>
      <w:numFmt w:val="bullet"/>
      <w:suff w:val="tab"/>
      <w:lvlText w:val="•"/>
      <w:rPr>
        <w:color w:val="3370ff"/>
      </w:rPr>
    </w:lvl>
  </w:abstractNum>
  <w:abstractNum w:abstractNumId="1640908">
    <w:lvl>
      <w:numFmt w:val="bullet"/>
      <w:suff w:val="tab"/>
      <w:lvlText w:val="•"/>
      <w:rPr>
        <w:color w:val="3370ff"/>
      </w:rPr>
    </w:lvl>
  </w:abstractNum>
  <w:abstractNum w:abstractNumId="1640909">
    <w:lvl>
      <w:start w:val="1"/>
      <w:numFmt w:val="decimal"/>
      <w:suff w:val="tab"/>
      <w:lvlText w:val="%1."/>
      <w:rPr>
        <w:color w:val="3370ff"/>
      </w:rPr>
    </w:lvl>
  </w:abstractNum>
  <w:abstractNum w:abstractNumId="1640910">
    <w:lvl>
      <w:start w:val="2"/>
      <w:numFmt w:val="decimal"/>
      <w:suff w:val="tab"/>
      <w:lvlText w:val="%1."/>
      <w:rPr>
        <w:color w:val="3370ff"/>
      </w:rPr>
    </w:lvl>
  </w:abstractNum>
  <w:abstractNum w:abstractNumId="1640911">
    <w:lvl>
      <w:start w:val="3"/>
      <w:numFmt w:val="decimal"/>
      <w:suff w:val="tab"/>
      <w:lvlText w:val="%1."/>
      <w:rPr>
        <w:color w:val="3370ff"/>
      </w:rPr>
    </w:lvl>
  </w:abstractNum>
  <w:abstractNum w:abstractNumId="1640912">
    <w:lvl>
      <w:start w:val="4"/>
      <w:numFmt w:val="decimal"/>
      <w:suff w:val="tab"/>
      <w:lvlText w:val="%1."/>
      <w:rPr>
        <w:color w:val="3370ff"/>
      </w:rPr>
    </w:lvl>
  </w:abstractNum>
  <w:abstractNum w:abstractNumId="1640913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640863"/>
  </w:num>
  <w:num w:numId="2">
    <w:abstractNumId w:val="1640864"/>
  </w:num>
  <w:num w:numId="3">
    <w:abstractNumId w:val="1640865"/>
  </w:num>
  <w:num w:numId="4">
    <w:abstractNumId w:val="1640866"/>
  </w:num>
  <w:num w:numId="5">
    <w:abstractNumId w:val="1640867"/>
  </w:num>
  <w:num w:numId="6">
    <w:abstractNumId w:val="1640868"/>
  </w:num>
  <w:num w:numId="7">
    <w:abstractNumId w:val="1640869"/>
  </w:num>
  <w:num w:numId="8">
    <w:abstractNumId w:val="1640870"/>
  </w:num>
  <w:num w:numId="9">
    <w:abstractNumId w:val="1640871"/>
  </w:num>
  <w:num w:numId="10">
    <w:abstractNumId w:val="1640872"/>
  </w:num>
  <w:num w:numId="11">
    <w:abstractNumId w:val="1640873"/>
  </w:num>
  <w:num w:numId="12">
    <w:abstractNumId w:val="1640874"/>
  </w:num>
  <w:num w:numId="13">
    <w:abstractNumId w:val="1640875"/>
  </w:num>
  <w:num w:numId="14">
    <w:abstractNumId w:val="1640876"/>
  </w:num>
  <w:num w:numId="15">
    <w:abstractNumId w:val="1640877"/>
  </w:num>
  <w:num w:numId="16">
    <w:abstractNumId w:val="1640878"/>
  </w:num>
  <w:num w:numId="17">
    <w:abstractNumId w:val="1640879"/>
  </w:num>
  <w:num w:numId="18">
    <w:abstractNumId w:val="1640880"/>
  </w:num>
  <w:num w:numId="19">
    <w:abstractNumId w:val="1640881"/>
  </w:num>
  <w:num w:numId="20">
    <w:abstractNumId w:val="1640882"/>
  </w:num>
  <w:num w:numId="21">
    <w:abstractNumId w:val="1640883"/>
  </w:num>
  <w:num w:numId="22">
    <w:abstractNumId w:val="1640884"/>
  </w:num>
  <w:num w:numId="23">
    <w:abstractNumId w:val="1640885"/>
  </w:num>
  <w:num w:numId="24">
    <w:abstractNumId w:val="1640886"/>
  </w:num>
  <w:num w:numId="25">
    <w:abstractNumId w:val="1640887"/>
  </w:num>
  <w:num w:numId="26">
    <w:abstractNumId w:val="1640888"/>
  </w:num>
  <w:num w:numId="27">
    <w:abstractNumId w:val="1640889"/>
  </w:num>
  <w:num w:numId="28">
    <w:abstractNumId w:val="1640890"/>
  </w:num>
  <w:num w:numId="29">
    <w:abstractNumId w:val="1640891"/>
  </w:num>
  <w:num w:numId="30">
    <w:abstractNumId w:val="1640892"/>
  </w:num>
  <w:num w:numId="31">
    <w:abstractNumId w:val="1640893"/>
  </w:num>
  <w:num w:numId="32">
    <w:abstractNumId w:val="1640894"/>
  </w:num>
  <w:num w:numId="33">
    <w:abstractNumId w:val="1640895"/>
  </w:num>
  <w:num w:numId="34">
    <w:abstractNumId w:val="1640896"/>
  </w:num>
  <w:num w:numId="35">
    <w:abstractNumId w:val="1640897"/>
  </w:num>
  <w:num w:numId="36">
    <w:abstractNumId w:val="1640898"/>
  </w:num>
  <w:num w:numId="37">
    <w:abstractNumId w:val="1640899"/>
  </w:num>
  <w:num w:numId="38">
    <w:abstractNumId w:val="1640900"/>
  </w:num>
  <w:num w:numId="39">
    <w:abstractNumId w:val="1640901"/>
  </w:num>
  <w:num w:numId="40">
    <w:abstractNumId w:val="1640902"/>
  </w:num>
  <w:num w:numId="41">
    <w:abstractNumId w:val="1640903"/>
  </w:num>
  <w:num w:numId="42">
    <w:abstractNumId w:val="1640904"/>
  </w:num>
  <w:num w:numId="43">
    <w:abstractNumId w:val="1640905"/>
  </w:num>
  <w:num w:numId="44">
    <w:abstractNumId w:val="1640906"/>
  </w:num>
  <w:num w:numId="45">
    <w:abstractNumId w:val="1640907"/>
  </w:num>
  <w:num w:numId="46">
    <w:abstractNumId w:val="1640908"/>
  </w:num>
  <w:num w:numId="47">
    <w:abstractNumId w:val="1640909"/>
  </w:num>
  <w:num w:numId="48">
    <w:abstractNumId w:val="1640910"/>
  </w:num>
  <w:num w:numId="49">
    <w:abstractNumId w:val="1640911"/>
  </w:num>
  <w:num w:numId="50">
    <w:abstractNumId w:val="1640912"/>
  </w:num>
  <w:num w:numId="51">
    <w:abstractNumId w:val="16409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2026-05-13T15:25:57Z</dcterms:created>
  <dc:creator>Apache POI</dc:creator>
</cp:coreProperties>
</file>