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E76A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bookmarkStart w:id="1" w:name="_GoBack"/>
      <w:bookmarkEnd w:id="1"/>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-586740</wp:posOffset>
            </wp:positionV>
            <wp:extent cx="1971675" cy="575310"/>
            <wp:effectExtent l="0" t="0" r="0" b="0"/>
            <wp:wrapTopAndBottom/>
            <wp:docPr id="3" name="图片 3"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5f8194bf58c3f65bfdb8fa98540f37"/>
                    <pic:cNvPicPr>
                      <a:picLocks noChangeAspect="1"/>
                    </pic:cNvPicPr>
                  </pic:nvPicPr>
                  <pic:blipFill>
                    <a:blip r:embed="rId7"/>
                    <a:srcRect l="17385" t="30318" r="19387" b="36175"/>
                    <a:stretch>
                      <a:fillRect/>
                    </a:stretch>
                  </pic:blipFill>
                  <pic:spPr>
                    <a:xfrm>
                      <a:off x="0" y="0"/>
                      <a:ext cx="1971675" cy="575310"/>
                    </a:xfrm>
                    <a:prstGeom prst="rect">
                      <a:avLst/>
                    </a:prstGeom>
                  </pic:spPr>
                </pic:pic>
              </a:graphicData>
            </a:graphic>
          </wp:anchor>
        </w:drawing>
      </w:r>
      <w:r>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t xml:space="preserve">  政策分析</w:t>
      </w:r>
    </w:p>
    <w:p w14:paraId="6BCFA2D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0C839C4F">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F34A96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7314B4F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65806A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BC89D9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56DA24DC">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30419E4B">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44"/>
          <w:szCs w:val="44"/>
          <w:shd w:val="clear" w:fill="FFFFFF"/>
          <w:lang w:val="en-US" w:eastAsia="zh-CN"/>
        </w:rPr>
      </w:pPr>
    </w:p>
    <w:p w14:paraId="49438A2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default" w:ascii="方正小标宋简体" w:hAnsi="方正小标宋简体" w:eastAsia="方正小标宋简体" w:cs="方正小标宋简体"/>
          <w:b/>
          <w:bCs/>
          <w:i w:val="0"/>
          <w:iCs w:val="0"/>
          <w:caps w:val="0"/>
          <w:color w:val="333333"/>
          <w:spacing w:val="0"/>
          <w:sz w:val="32"/>
          <w:szCs w:val="32"/>
          <w:shd w:val="clear" w:fill="FFFFFF"/>
          <w:lang w:val="en-US" w:eastAsia="zh-CN"/>
        </w:rPr>
      </w:pPr>
      <w:r>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2025年11月</w:t>
      </w:r>
    </w:p>
    <w:p w14:paraId="7751AAB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32" w:beforeAutospacing="0" w:after="372" w:afterAutospacing="0" w:line="480" w:lineRule="auto"/>
        <w:ind w:left="0" w:right="0" w:firstLine="0" w:firstLineChars="0"/>
        <w:jc w:val="center"/>
        <w:textAlignment w:val="auto"/>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sectPr>
          <w:headerReference r:id="rId3" w:type="default"/>
          <w:pgSz w:w="11906" w:h="16838"/>
          <w:pgMar w:top="1440" w:right="1800" w:bottom="1440" w:left="1800" w:header="851" w:footer="992" w:gutter="0"/>
          <w:pgNumType w:fmt="decimal"/>
          <w:cols w:space="425" w:num="1"/>
          <w:docGrid w:type="lines" w:linePitch="312" w:charSpace="0"/>
        </w:sectPr>
      </w:pPr>
      <w:r>
        <w:rPr>
          <w:rStyle w:val="8"/>
          <w:rFonts w:hint="eastAsia" w:ascii="方正小标宋简体" w:hAnsi="方正小标宋简体" w:eastAsia="方正小标宋简体" w:cs="方正小标宋简体"/>
          <w:b/>
          <w:bCs/>
          <w:i w:val="0"/>
          <w:iCs w:val="0"/>
          <w:caps w:val="0"/>
          <w:color w:val="333333"/>
          <w:spacing w:val="0"/>
          <w:sz w:val="32"/>
          <w:szCs w:val="32"/>
          <w:shd w:val="clear" w:fill="FFFFFF"/>
          <w:lang w:val="en-US" w:eastAsia="zh-CN"/>
        </w:rPr>
        <w:t>项目管理科</w:t>
      </w:r>
    </w:p>
    <w:sdt>
      <w:sdtPr>
        <w:rPr>
          <w:rFonts w:ascii="宋体" w:hAnsi="宋体" w:eastAsia="宋体" w:cstheme="minorBidi"/>
          <w:b/>
          <w:bCs/>
          <w:kern w:val="2"/>
          <w:sz w:val="44"/>
          <w:szCs w:val="44"/>
          <w:lang w:val="en-US" w:eastAsia="zh-CN" w:bidi="ar-SA"/>
        </w:rPr>
        <w:id w:val="147451446"/>
        <w15:color w:val="DBDBDB"/>
        <w:docPartObj>
          <w:docPartGallery w:val="Table of Contents"/>
          <w:docPartUnique/>
        </w:docPartObj>
      </w:sdtPr>
      <w:sdtEndPr>
        <w:rPr>
          <w:rFonts w:asciiTheme="minorHAnsi" w:hAnsiTheme="minorHAnsi" w:eastAsiaTheme="minorEastAsia" w:cstheme="minorBidi"/>
          <w:b/>
          <w:bCs/>
          <w:kern w:val="2"/>
          <w:sz w:val="21"/>
          <w:szCs w:val="24"/>
          <w:lang w:val="en-US" w:eastAsia="zh-CN" w:bidi="ar-SA"/>
        </w:rPr>
      </w:sdtEndPr>
      <w:sdtContent>
        <w:p w14:paraId="221E0659">
          <w:pPr>
            <w:keepNext w:val="0"/>
            <w:keepLines w:val="0"/>
            <w:pageBreakBefore w:val="0"/>
            <w:widowControl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r>
            <w:rPr>
              <w:rFonts w:ascii="宋体" w:hAnsi="宋体" w:eastAsia="宋体"/>
              <w:b/>
              <w:bCs/>
              <w:sz w:val="44"/>
              <w:szCs w:val="44"/>
            </w:rPr>
            <w:t>目录</w:t>
          </w:r>
        </w:p>
        <w:p w14:paraId="54087BEF">
          <w:pPr>
            <w:keepNext w:val="0"/>
            <w:keepLines w:val="0"/>
            <w:pageBreakBefore w:val="0"/>
            <w:kinsoku/>
            <w:wordWrap/>
            <w:overflowPunct/>
            <w:topLinePunct w:val="0"/>
            <w:autoSpaceDE/>
            <w:autoSpaceDN/>
            <w:bidi w:val="0"/>
            <w:adjustRightInd/>
            <w:snapToGrid/>
            <w:spacing w:before="132" w:after="372" w:line="480" w:lineRule="auto"/>
            <w:ind w:left="0" w:leftChars="0" w:right="0" w:rightChars="0" w:firstLine="0" w:firstLineChars="0"/>
            <w:jc w:val="center"/>
            <w:textAlignment w:val="auto"/>
            <w:rPr>
              <w:rFonts w:ascii="宋体" w:hAnsi="宋体" w:eastAsia="宋体"/>
              <w:b/>
              <w:bCs/>
              <w:sz w:val="44"/>
              <w:szCs w:val="44"/>
            </w:rPr>
          </w:pPr>
        </w:p>
        <w:p w14:paraId="04908912">
          <w:pPr>
            <w:pStyle w:val="9"/>
            <w:keepNext w:val="0"/>
            <w:keepLines w:val="0"/>
            <w:pageBreakBefore w:val="0"/>
            <w:widowControl/>
            <w:tabs>
              <w:tab w:val="right" w:leader="dot" w:pos="8306"/>
            </w:tabs>
            <w:kinsoku/>
            <w:wordWrap/>
            <w:overflowPunct/>
            <w:topLinePunct w:val="0"/>
            <w:autoSpaceDE/>
            <w:autoSpaceDN/>
            <w:bidi w:val="0"/>
            <w:adjustRightInd/>
            <w:snapToGrid/>
            <w:spacing w:before="132" w:after="372" w:line="360" w:lineRule="auto"/>
            <w:ind w:firstLine="0" w:firstLineChars="0"/>
            <w:textAlignment w:val="auto"/>
            <w:rPr>
              <w:rFonts w:hint="eastAsia" w:ascii="黑体" w:hAnsi="黑体" w:eastAsia="黑体" w:cs="黑体"/>
              <w:sz w:val="32"/>
              <w:szCs w:val="32"/>
              <w:lang w:val="en-US" w:eastAsia="zh-CN"/>
            </w:rPr>
          </w:pPr>
          <w:r>
            <w:fldChar w:fldCharType="begin"/>
          </w:r>
          <w:r>
            <w:instrText xml:space="preserve">TOC \o "1-1" \h \u </w:instrText>
          </w:r>
          <w:r>
            <w:fldChar w:fldCharType="separate"/>
          </w: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第一部分 教育部办公厅关于印发《进一步加强</w:t>
          </w:r>
        </w:p>
        <w:p w14:paraId="5C79982D">
          <w:pPr>
            <w:pStyle w:val="9"/>
            <w:keepNext w:val="0"/>
            <w:keepLines w:val="0"/>
            <w:pageBreakBefore w:val="0"/>
            <w:widowControl/>
            <w:tabs>
              <w:tab w:val="right" w:leader="dot" w:pos="8306"/>
            </w:tabs>
            <w:kinsoku/>
            <w:wordWrap/>
            <w:overflowPunct/>
            <w:topLinePunct w:val="0"/>
            <w:autoSpaceDE/>
            <w:autoSpaceDN/>
            <w:bidi w:val="0"/>
            <w:adjustRightInd/>
            <w:snapToGrid/>
            <w:spacing w:before="132" w:after="372" w:line="360" w:lineRule="auto"/>
            <w:ind w:firstLine="0" w:firstLineChars="0"/>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中小学生心理健康工作十条措施》的通知</w:t>
          </w:r>
          <w:r>
            <w:rPr>
              <w:rFonts w:hint="eastAsia" w:ascii="黑体" w:hAnsi="黑体" w:eastAsia="黑体" w:cs="黑体"/>
              <w:sz w:val="32"/>
              <w:szCs w:val="32"/>
            </w:rPr>
            <w:tab/>
          </w:r>
          <w:r>
            <w:rPr>
              <w:rFonts w:hint="eastAsia" w:ascii="黑体" w:hAnsi="黑体" w:eastAsia="黑体" w:cs="黑体"/>
              <w:sz w:val="32"/>
              <w:szCs w:val="32"/>
              <w:lang w:val="en-US" w:eastAsia="zh-CN"/>
            </w:rPr>
            <w:t>1</w:t>
          </w:r>
          <w:r>
            <w:rPr>
              <w:rFonts w:hint="eastAsia" w:ascii="黑体" w:hAnsi="黑体" w:eastAsia="黑体" w:cs="黑体"/>
              <w:sz w:val="32"/>
              <w:szCs w:val="32"/>
            </w:rPr>
            <w:fldChar w:fldCharType="end"/>
          </w:r>
        </w:p>
        <w:p w14:paraId="423B7E1A">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_Toc8378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6</w:t>
          </w:r>
        </w:p>
        <w:p w14:paraId="1B63F4C5">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_Toc25162 </w:instrText>
          </w:r>
          <w:r>
            <w:rPr>
              <w:rFonts w:hint="eastAsia" w:ascii="黑体" w:hAnsi="黑体" w:eastAsia="黑体" w:cs="黑体"/>
              <w:sz w:val="32"/>
              <w:szCs w:val="32"/>
            </w:rPr>
            <w:fldChar w:fldCharType="separate"/>
          </w:r>
          <w:r>
            <w:rPr>
              <w:rFonts w:hint="eastAsia" w:ascii="黑体" w:hAnsi="黑体" w:eastAsia="黑体" w:cs="黑体"/>
              <w:sz w:val="32"/>
              <w:szCs w:val="32"/>
              <w:lang w:val="en-US" w:eastAsia="zh-CN"/>
            </w:rPr>
            <w:t>第二部分 浙江省体育局关于印发《浙江省体育赛事活动赛风赛纪管理实施细则》的通知（节选）</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9</w:t>
          </w:r>
        </w:p>
        <w:p w14:paraId="1CB1109A">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default" w:ascii="黑体" w:hAnsi="黑体" w:eastAsia="黑体" w:cs="黑体"/>
              <w:sz w:val="32"/>
              <w:szCs w:val="32"/>
              <w:lang w:val="en-US" w:eastAsia="zh-CN"/>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 HYPERLINK \l _Toc17425 </w:instrText>
          </w:r>
          <w:r>
            <w:rPr>
              <w:rFonts w:hint="eastAsia" w:ascii="黑体" w:hAnsi="黑体" w:eastAsia="黑体" w:cs="黑体"/>
              <w:sz w:val="32"/>
              <w:szCs w:val="32"/>
            </w:rPr>
            <w:fldChar w:fldCharType="separate"/>
          </w:r>
          <w:r>
            <w:rPr>
              <w:rFonts w:hint="eastAsia" w:ascii="黑体" w:hAnsi="黑体" w:eastAsia="黑体" w:cs="黑体"/>
              <w:i w:val="0"/>
              <w:iCs w:val="0"/>
              <w:caps w:val="0"/>
              <w:spacing w:val="0"/>
              <w:sz w:val="32"/>
              <w:szCs w:val="32"/>
              <w:shd w:val="clear" w:fill="FFFFFF"/>
              <w:lang w:val="en-US" w:eastAsia="zh-CN"/>
            </w:rPr>
            <w:t>思考分析</w:t>
          </w:r>
          <w:r>
            <w:rPr>
              <w:rFonts w:hint="eastAsia" w:ascii="黑体" w:hAnsi="黑体" w:eastAsia="黑体" w:cs="黑体"/>
              <w:sz w:val="32"/>
              <w:szCs w:val="32"/>
            </w:rPr>
            <w:tab/>
          </w:r>
          <w:r>
            <w:rPr>
              <w:rFonts w:hint="eastAsia" w:ascii="黑体" w:hAnsi="黑体" w:eastAsia="黑体" w:cs="黑体"/>
              <w:sz w:val="32"/>
              <w:szCs w:val="32"/>
            </w:rPr>
            <w:fldChar w:fldCharType="end"/>
          </w:r>
          <w:r>
            <w:rPr>
              <w:rFonts w:hint="eastAsia" w:ascii="黑体" w:hAnsi="黑体" w:eastAsia="黑体" w:cs="黑体"/>
              <w:sz w:val="32"/>
              <w:szCs w:val="32"/>
              <w:lang w:val="en-US" w:eastAsia="zh-CN"/>
            </w:rPr>
            <w:t>15</w:t>
          </w:r>
        </w:p>
        <w:p w14:paraId="4FA0AC9F">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1DB9AA22">
          <w:pPr>
            <w:pStyle w:val="9"/>
            <w:keepNext w:val="0"/>
            <w:keepLines w:val="0"/>
            <w:pageBreakBefore w:val="0"/>
            <w:tabs>
              <w:tab w:val="right" w:leader="dot" w:pos="8306"/>
            </w:tabs>
            <w:kinsoku/>
            <w:wordWrap/>
            <w:overflowPunct/>
            <w:topLinePunct w:val="0"/>
            <w:autoSpaceDE/>
            <w:autoSpaceDN/>
            <w:bidi w:val="0"/>
            <w:adjustRightInd/>
            <w:snapToGrid/>
            <w:spacing w:before="132" w:after="372" w:line="480" w:lineRule="auto"/>
            <w:ind w:firstLine="0" w:firstLineChars="0"/>
            <w:textAlignment w:val="auto"/>
            <w:rPr>
              <w:rFonts w:hint="eastAsia" w:ascii="黑体" w:hAnsi="黑体" w:eastAsia="黑体" w:cs="黑体"/>
              <w:sz w:val="32"/>
              <w:szCs w:val="32"/>
              <w:lang w:val="en-US" w:eastAsia="zh-CN"/>
            </w:rPr>
          </w:pPr>
        </w:p>
        <w:p w14:paraId="2354405F">
          <w:pPr>
            <w:keepNext w:val="0"/>
            <w:keepLines w:val="0"/>
            <w:pageBreakBefore w:val="0"/>
            <w:kinsoku/>
            <w:wordWrap/>
            <w:overflowPunct/>
            <w:topLinePunct w:val="0"/>
            <w:autoSpaceDE/>
            <w:autoSpaceDN/>
            <w:bidi w:val="0"/>
            <w:adjustRightInd/>
            <w:snapToGrid/>
            <w:spacing w:line="480" w:lineRule="auto"/>
            <w:ind w:firstLine="0" w:firstLineChars="0"/>
            <w:textAlignment w:val="auto"/>
            <w:rPr>
              <w:rStyle w:val="10"/>
              <w:rFonts w:hint="eastAsia" w:ascii="方正小标宋简体" w:hAnsi="方正小标宋简体" w:eastAsia="方正小标宋简体" w:cs="方正小标宋简体"/>
              <w:sz w:val="44"/>
              <w:szCs w:val="44"/>
            </w:rPr>
            <w:sectPr>
              <w:footerReference r:id="rId4" w:type="default"/>
              <w:pgSz w:w="11906" w:h="16838"/>
              <w:pgMar w:top="1440" w:right="1800" w:bottom="1440" w:left="1800" w:header="851" w:footer="992" w:gutter="0"/>
              <w:pgNumType w:start="1"/>
              <w:cols w:space="425" w:num="1"/>
              <w:docGrid w:type="lines" w:linePitch="312" w:charSpace="0"/>
            </w:sectPr>
          </w:pPr>
          <w:r>
            <w:fldChar w:fldCharType="end"/>
          </w:r>
        </w:p>
      </w:sdtContent>
    </w:sdt>
    <w:p w14:paraId="14ACC89A">
      <w:pPr>
        <w:keepNext w:val="0"/>
        <w:keepLines w:val="0"/>
        <w:pageBreakBefore w:val="0"/>
        <w:widowControl w:val="0"/>
        <w:kinsoku/>
        <w:wordWrap/>
        <w:overflowPunct/>
        <w:topLinePunct w:val="0"/>
        <w:autoSpaceDE/>
        <w:autoSpaceDN/>
        <w:bidi w:val="0"/>
        <w:adjustRightInd/>
        <w:snapToGrid/>
        <w:jc w:val="left"/>
        <w:textAlignment w:val="auto"/>
        <w:rPr>
          <w:rFonts w:hint="eastAsia" w:ascii="华文仿宋" w:hAnsi="华文仿宋" w:eastAsia="华文仿宋" w:cs="华文仿宋"/>
          <w:sz w:val="30"/>
          <w:szCs w:val="30"/>
          <w:lang w:val="en-US" w:eastAsia="zh-CN"/>
        </w:rPr>
      </w:pPr>
    </w:p>
    <w:p w14:paraId="2156B00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教育部办公厅关于印发《进一步加强</w:t>
      </w:r>
    </w:p>
    <w:p w14:paraId="56DB741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 xml:space="preserve">中小学生心理健康工作十条措施》的通知 </w:t>
      </w:r>
    </w:p>
    <w:p w14:paraId="1E3DFA25">
      <w:pPr>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教育部办公厅</w:t>
      </w:r>
    </w:p>
    <w:p w14:paraId="2DFB15B4">
      <w:pPr>
        <w:keepNext w:val="0"/>
        <w:keepLines w:val="0"/>
        <w:pageBreakBefore w:val="0"/>
        <w:widowControl w:val="0"/>
        <w:kinsoku/>
        <w:wordWrap/>
        <w:overflowPunct/>
        <w:topLinePunct w:val="0"/>
        <w:autoSpaceDE/>
        <w:autoSpaceDN/>
        <w:bidi w:val="0"/>
        <w:adjustRightInd/>
        <w:snapToGrid/>
        <w:ind w:firstLine="0" w:firstLineChars="0"/>
        <w:jc w:val="righ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2025年10月9日</w:t>
      </w:r>
    </w:p>
    <w:p w14:paraId="18EBB1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华文仿宋" w:hAnsi="华文仿宋" w:eastAsia="华文仿宋" w:cs="华文仿宋"/>
          <w:sz w:val="30"/>
          <w:szCs w:val="30"/>
          <w:lang w:val="en-US" w:eastAsia="zh-CN"/>
        </w:rPr>
      </w:pPr>
    </w:p>
    <w:p w14:paraId="4FF12EA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进一步加强中小学生心理健康工作十条措施</w:t>
      </w:r>
    </w:p>
    <w:p w14:paraId="5D7C706A">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6EE17215">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为落实健康第一教育理念，进一步提高中小学生心理健康工作水平，针对中小学生心理健康阶段性特点和突出问题，制定以下工作措施。</w:t>
      </w:r>
    </w:p>
    <w:p w14:paraId="39C2065D">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3312BDAF">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黑体" w:hAnsi="黑体" w:eastAsia="黑体" w:cs="黑体"/>
          <w:sz w:val="30"/>
          <w:szCs w:val="30"/>
          <w:lang w:val="en-US" w:eastAsia="zh-CN"/>
        </w:rPr>
        <w:t>一、有效缓解学生考试升学焦虑。</w:t>
      </w:r>
      <w:r>
        <w:rPr>
          <w:rFonts w:hint="eastAsia" w:ascii="华文仿宋" w:hAnsi="华文仿宋" w:eastAsia="华文仿宋" w:cs="华文仿宋"/>
          <w:sz w:val="30"/>
          <w:szCs w:val="30"/>
          <w:lang w:val="en-US" w:eastAsia="zh-CN"/>
        </w:rPr>
        <w:t>减轻学生过重作业负担，严控书面作业总量，严禁布置机械重复、惩罚性作业，鼓励每周设置一天“无作业日”。规范考试管理，减少日常测试频次，合理设置考试难度，不得以考试成绩对学生进行排名。巩固校外培训治理成果，继续严控义务教育阶段学科类培训，规范非学科类培训，加强学科类隐形变异培训防范治理。有序推进中考改革，加快扩大优质高中招生指标到校，开展均衡派位招生试点，缓解学生和家长升学焦虑。全面落实生命安全与健康教育进中小学课程教材指南，每月至少开展一次综合性教育实践活动，加强学生生命教育、青春期教育和挫折教育，提升学生适应环境、调适情绪、应对压力等方面能力，增强心理韧性和心理免疫力。</w:t>
      </w:r>
    </w:p>
    <w:p w14:paraId="747AE5F0">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2F2C33D8">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u w:val="single"/>
          <w:lang w:val="en-US" w:eastAsia="zh-CN"/>
        </w:rPr>
      </w:pPr>
      <w:r>
        <w:rPr>
          <w:rFonts w:hint="eastAsia" w:ascii="黑体" w:hAnsi="黑体" w:eastAsia="黑体" w:cs="黑体"/>
          <w:sz w:val="30"/>
          <w:szCs w:val="30"/>
          <w:lang w:val="en-US" w:eastAsia="zh-CN"/>
        </w:rPr>
        <w:t>二、全面落实“体育每天2小时”。</w:t>
      </w:r>
      <w:r>
        <w:rPr>
          <w:rFonts w:hint="eastAsia" w:ascii="华文仿宋" w:hAnsi="华文仿宋" w:eastAsia="华文仿宋" w:cs="华文仿宋"/>
          <w:sz w:val="30"/>
          <w:szCs w:val="30"/>
          <w:u w:val="single"/>
          <w:lang w:val="en-US" w:eastAsia="zh-CN"/>
        </w:rPr>
        <w:t>全面推行中小学生每天综合体育活动时间不低于2小时，保证义务教育阶段全体学生能够按规定课时开展体育锻炼，普遍开展“班级赛”“年级赛”等全员性体育比赛活动，打造“能出汗”的体育课。鼓励学校与社区合作开放周边运动场馆，为学生放学后开展体育锻炼提供场所保障。鼓励推行“课间15分钟”，延长学生课间活动时间，丰富课后服务体育项目，增加学生户外活动时长。开展健康学校建设试点，探索一揽子解决近视、肥胖、心理健康等学生身心健康突出问题的有效机制模式。</w:t>
      </w:r>
    </w:p>
    <w:p w14:paraId="2F15C7E0">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7B70ED17">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黑体" w:hAnsi="黑体" w:eastAsia="黑体" w:cs="黑体"/>
          <w:sz w:val="30"/>
          <w:szCs w:val="30"/>
          <w:lang w:val="en-US" w:eastAsia="zh-CN"/>
        </w:rPr>
        <w:t>三、保障学生充足睡眠时间。</w:t>
      </w:r>
      <w:r>
        <w:rPr>
          <w:rFonts w:hint="eastAsia" w:ascii="华文仿宋" w:hAnsi="华文仿宋" w:eastAsia="华文仿宋" w:cs="华文仿宋"/>
          <w:sz w:val="30"/>
          <w:szCs w:val="30"/>
          <w:lang w:val="en-US" w:eastAsia="zh-CN"/>
        </w:rPr>
        <w:t>合理安排学校上下学时间，不得要求学生提前到校参加统一教学活动，有条件的学校应保障学生必要的午休时间。多种途径普及科学睡眠知识，指导家长制定科学的作息时间表，教育学生养成良好睡眠卫生习惯，保障每天充足睡眠时间。严格执行睡眠管理规定，坚决遏制超时学习等违规行为，防止学业过重、无序竞争挤占睡眠时间。将学生睡眠状况纳入学生体质健康监测和教育质量评价监测体系。</w:t>
      </w:r>
    </w:p>
    <w:p w14:paraId="3719CA1F">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0D9F9D68">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黑体" w:hAnsi="黑体" w:eastAsia="黑体" w:cs="黑体"/>
          <w:sz w:val="30"/>
          <w:szCs w:val="30"/>
          <w:lang w:val="en-US" w:eastAsia="zh-CN"/>
        </w:rPr>
        <w:t>四、培养学生健康用网习惯。</w:t>
      </w:r>
      <w:r>
        <w:rPr>
          <w:rFonts w:hint="eastAsia" w:ascii="华文仿宋" w:hAnsi="华文仿宋" w:eastAsia="华文仿宋" w:cs="华文仿宋"/>
          <w:sz w:val="30"/>
          <w:szCs w:val="30"/>
          <w:lang w:val="en-US" w:eastAsia="zh-CN"/>
        </w:rPr>
        <w:t>加强学生网络素养教育，培养学生网络安全和网络法治意识，帮助学生养成良好用网习惯。规范管理学生带入学校的智能终端产品，严禁将手机等电子产品带入课堂。鼓励学生和家长共同开展“息屏行动”，减少对网络过度依赖。会同有关部门压实网站平台监管责任，优化算法推荐机制，不得向学生推送危害心理健康的各类信息，坚决遏制“贩卖焦虑”“诱导内卷”等违规行为。持续净化未成年人网络环境，推广应用“未成年人模式”，加强动漫、短视频、微短剧、网络综艺和网络游戏、网络文学等管理。</w:t>
      </w:r>
    </w:p>
    <w:p w14:paraId="4CC9D1E0">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5E8A92BA">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黑体" w:hAnsi="黑体" w:eastAsia="黑体" w:cs="黑体"/>
          <w:sz w:val="30"/>
          <w:szCs w:val="30"/>
          <w:lang w:val="en-US" w:eastAsia="zh-CN"/>
        </w:rPr>
        <w:t>五、关心关爱特殊学生群体。</w:t>
      </w:r>
      <w:r>
        <w:rPr>
          <w:rFonts w:hint="eastAsia" w:ascii="华文仿宋" w:hAnsi="华文仿宋" w:eastAsia="华文仿宋" w:cs="华文仿宋"/>
          <w:sz w:val="30"/>
          <w:szCs w:val="30"/>
          <w:lang w:val="en-US" w:eastAsia="zh-CN"/>
        </w:rPr>
        <w:t>针对留守儿童、流动儿童、孤儿、事实无人抚养儿童以及单亲家庭儿童等特殊学生群体建档立卡，“一生一策”加强心理健康指导。在开学、考试、假期、升学等时间节点，密切关注特殊学生群体情绪和行为变化，针对性开展心理状况研判、个体心理辅导和情感关怀。与学生家长或监护人保持常态化联系，对特殊学生群体每学期至少开展1次家访，及时掌握心理变化和家庭关系情况。深化实施“爱心妈妈”结对关爱留守困境儿童等行动。支持寄宿制学校改善生活条件，加强对寄宿学生的生活照料和安全管护，提升学校管理人员、生活教师的关爱服务水平。</w:t>
      </w:r>
    </w:p>
    <w:p w14:paraId="488AB62C">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425C405C">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黑体" w:hAnsi="黑体" w:eastAsia="黑体" w:cs="黑体"/>
          <w:sz w:val="30"/>
          <w:szCs w:val="30"/>
          <w:lang w:val="en-US" w:eastAsia="zh-CN"/>
        </w:rPr>
        <w:t>六、建立监测预警和干预机制。</w:t>
      </w:r>
      <w:r>
        <w:rPr>
          <w:rFonts w:hint="eastAsia" w:ascii="华文仿宋" w:hAnsi="华文仿宋" w:eastAsia="华文仿宋" w:cs="华文仿宋"/>
          <w:sz w:val="30"/>
          <w:szCs w:val="30"/>
          <w:lang w:val="en-US" w:eastAsia="zh-CN"/>
        </w:rPr>
        <w:t>推进建设全国学生心理健康监测预警系统，每年组织开展1次心理健康抽样监测。国家义务教育质量监测每年监测学生心理健康状况和工作开展情况。督促指导地方建设监测预警系统，完善心理健康问题及时发现、预警、干预处置机制，推进分级响应模式。统筹规范学生心理健康测评，每名学生每学年接受心理测评一般不超过1次。</w:t>
      </w:r>
    </w:p>
    <w:p w14:paraId="65204770">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49D98A96">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黑体" w:hAnsi="黑体" w:eastAsia="黑体" w:cs="黑体"/>
          <w:sz w:val="30"/>
          <w:szCs w:val="30"/>
          <w:lang w:val="en-US" w:eastAsia="zh-CN"/>
        </w:rPr>
        <w:t>七、推进实施全员育心制度。</w:t>
      </w:r>
      <w:r>
        <w:rPr>
          <w:rFonts w:hint="eastAsia" w:ascii="华文仿宋" w:hAnsi="华文仿宋" w:eastAsia="华文仿宋" w:cs="华文仿宋"/>
          <w:sz w:val="30"/>
          <w:szCs w:val="30"/>
          <w:u w:val="single"/>
          <w:lang w:val="en-US" w:eastAsia="zh-CN"/>
        </w:rPr>
        <w:t>开展心理健康教育培训，提升教师“育心”意识和能力，在学科教学中有机融入心理健康教育内容，提高对学生心理行为偏常的识别和早期干预能力。</w:t>
      </w:r>
      <w:r>
        <w:rPr>
          <w:rFonts w:hint="eastAsia" w:ascii="华文仿宋" w:hAnsi="华文仿宋" w:eastAsia="华文仿宋" w:cs="华文仿宋"/>
          <w:sz w:val="30"/>
          <w:szCs w:val="30"/>
          <w:lang w:val="en-US" w:eastAsia="zh-CN"/>
        </w:rPr>
        <w:t>配齐配强专职心理健康教师、校医和保健教师，定期开展职业技能培训，发挥专业引领作用。构建班主任、专兼职心理健康教师、精神科医师三级心理健康服务体系，开展接力式服务。建立心理健康教育教研制度，县级教研机构配备心理教研员。鼓励有条件的学校引进社会工作专业人员开展心理与社会支持服务。</w:t>
      </w:r>
    </w:p>
    <w:p w14:paraId="7A808543">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146FDE92">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黑体" w:hAnsi="黑体" w:eastAsia="黑体" w:cs="黑体"/>
          <w:sz w:val="30"/>
          <w:szCs w:val="30"/>
          <w:lang w:val="en-US" w:eastAsia="zh-CN"/>
        </w:rPr>
        <w:t>八、优化校园心理支持环境。</w:t>
      </w:r>
      <w:r>
        <w:rPr>
          <w:rFonts w:hint="eastAsia" w:ascii="华文仿宋" w:hAnsi="华文仿宋" w:eastAsia="华文仿宋" w:cs="华文仿宋"/>
          <w:sz w:val="30"/>
          <w:szCs w:val="30"/>
          <w:lang w:val="en-US" w:eastAsia="zh-CN"/>
        </w:rPr>
        <w:t>实施中小学“护苗行动”，及时化解学生间存在的矛盾冲突，坚决防止各类学生欺凌行为。开展“和谐校园”“友善班级”“温馨宿舍”建设，加强集体教育，营造团结友爱的集体氛围。发挥班（团）干部、心理委员、宿舍长等作用，鼓励开展朋辈帮扶。学校普遍建立心理健康类、艺体类、科技类、实践类、志愿服务类等兴趣小组和学生社团，常态化组织集体活动，培养学生广泛兴趣爱好，推动“生生有社团”。利用人工智能等现代信息技术赋能学生心理健康工作，支持地方探索开发“AI心理助手”“智能减压室”，为学生提供心理问题初步识别、即时心理支持和情绪疏导等。加强教师心理健康支持体系建设，减轻教师工作负担，及时做好教职工心理调适和情绪关怀。鼓励有资质的社会力量、专业医疗机构，为教师开展心理辅导实训提供支持。</w:t>
      </w:r>
    </w:p>
    <w:p w14:paraId="0F2194B4">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1A09C884">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黑体" w:hAnsi="黑体" w:eastAsia="黑体" w:cs="黑体"/>
          <w:sz w:val="30"/>
          <w:szCs w:val="30"/>
          <w:lang w:val="en-US" w:eastAsia="zh-CN"/>
        </w:rPr>
        <w:t>九、培育家庭和谐亲子关系。</w:t>
      </w:r>
      <w:r>
        <w:rPr>
          <w:rFonts w:hint="eastAsia" w:ascii="华文仿宋" w:hAnsi="华文仿宋" w:eastAsia="华文仿宋" w:cs="华文仿宋"/>
          <w:sz w:val="30"/>
          <w:szCs w:val="30"/>
          <w:lang w:val="en-US" w:eastAsia="zh-CN"/>
        </w:rPr>
        <w:t>推进学校持续加强“教联体”建设，密切家校协同，通过家长会、家长学校、家长课堂、家访等形式，每学期至少组织2次家庭教育指导活动，将心理健康作为必讲内容，引导家长多陪伴多关爱，注重培养子女健康身心。加强学生发展情况跟踪分析，定期向家长反馈，帮助家长及时掌握情况，重点做好与留守儿童等困境儿童家庭沟通联系，共同做好关心关爱。会同妇联、关工委等部门加强社区家庭教育指导，普遍开展心理健康基本知识和技能培训，提高家长心理健康素养，为子女健康成长营造和谐和睦的家庭环境。</w:t>
      </w:r>
    </w:p>
    <w:p w14:paraId="505CB8DB">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3D45C94C">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黑体" w:hAnsi="黑体" w:eastAsia="黑体" w:cs="黑体"/>
          <w:sz w:val="30"/>
          <w:szCs w:val="30"/>
          <w:lang w:val="en-US" w:eastAsia="zh-CN"/>
        </w:rPr>
        <w:t>十、健全部门协同防护机制。</w:t>
      </w:r>
      <w:r>
        <w:rPr>
          <w:rFonts w:hint="eastAsia" w:ascii="华文仿宋" w:hAnsi="华文仿宋" w:eastAsia="华文仿宋" w:cs="华文仿宋"/>
          <w:sz w:val="30"/>
          <w:szCs w:val="30"/>
          <w:lang w:val="en-US" w:eastAsia="zh-CN"/>
        </w:rPr>
        <w:t>依托有关单位全覆盖建设市县中小学心理辅导中心，做好知识普及、业务指导、心理咨询、师资培训等工作。会同卫生健康、公安、网信、社会工作、共青团、妇联等建立学生重大心理问题线上线下发现机制，推进精神疾病转介就医和愈后复学机制建设，指导学校制定校园突发心理危机事件处理预案。发挥好12355青少年服务台和12356心理援助热线作用。会同民政、卫生健康、共青团和少先队、妇联等建设社区心理服务平台，支持社会工作专业人员、志愿者等开展儿童青少年心理健康服务。会同宣传、卫生健康、科协等加强心理健康知识、心理问题表现与识别等科普，提升宣传引导专业性、科学性，营造全社会关心学生心理健康的良好氛围。 分析上述内容 有什么能够作为企业发展参考和意见</w:t>
      </w:r>
    </w:p>
    <w:p w14:paraId="59FF4601">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0FB80862">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以上有几点需要引起我司注意：</w:t>
      </w:r>
    </w:p>
    <w:p w14:paraId="3D59F130">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该政策将心理健康提升至国家教育战略层面，并明确将体育活动作为促进心理健康的有效途径，以下从政策导向中提炼出可供我司参考与参与的发展路径及具体措施。</w:t>
      </w:r>
    </w:p>
    <w:p w14:paraId="66FF8B0B">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一、拓展校内体育服务，由“课程提供”转向“整体解决方案输出”</w:t>
      </w:r>
    </w:p>
    <w:p w14:paraId="09203F29">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政策明确要求“全面落实‘体育每天2小时’”“丰富课后服务体育项目”，并推动“生生有社团”。学校在落实过程中普遍面临师资、课程与运营压力，亟需专业外力支持。</w:t>
      </w:r>
    </w:p>
    <w:p w14:paraId="6FB54D6D">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可参与的发展点包括：</w:t>
      </w:r>
    </w:p>
    <w:p w14:paraId="0FE3BA09">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承接校内赛事与活动运营：为中小学提供“全员体育赛事”（如班级赛、年级赛）的一体化服务，包括策划、组织、裁判与执行，帮助学校轻松落实政策要求。</w:t>
      </w:r>
    </w:p>
    <w:p w14:paraId="21598421">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丰富课后服务“体育课程库”：推出模块化、菜单式课程体系，如“团队协作类”“情绪释放类”“专注力训练类”项目，突出体育的心理促进功能。</w:t>
      </w:r>
    </w:p>
    <w:p w14:paraId="37C69974">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深化学生社团托管服务：派驻专业教练进校，长期运营体育类社团，确保活动专业化和持续性，对应“生生有社团”的政策目标。</w:t>
      </w:r>
    </w:p>
    <w:p w14:paraId="5D5FE373">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二、推进“体心融合”产品创新，打造差异化课程体系</w:t>
      </w:r>
    </w:p>
    <w:p w14:paraId="3370364A">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政策鼓励“开展健康学校建设试点”，并支持“现代信息技术赋能心理健康工作”。我司可依托体育专业优势，将心理素养培养融入课程设计，形成特色产品线。</w:t>
      </w:r>
    </w:p>
    <w:p w14:paraId="11455505">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可参与的发展点包括：</w:t>
      </w:r>
    </w:p>
    <w:p w14:paraId="58F55201">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研发“体育促进心理健康”主题课程，在体能训练中融入情绪管理、挫折教育内容，形成差异化竞争力。</w:t>
      </w:r>
    </w:p>
    <w:p w14:paraId="5470BF2D">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探索“智慧体育+心理”轻应用：开发运动打卡、情绪心理小课堂等传播工具，帮助学生与教师通过运动产生对情绪的积极影响，提升服务体验感和延续性。</w:t>
      </w:r>
    </w:p>
    <w:p w14:paraId="6D61A28A">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三、构建家校社协同体育服务网络，拓展业务生态</w:t>
      </w:r>
    </w:p>
    <w:p w14:paraId="48B01FF5">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政策提出“鼓励学校与社区合作开放运动场馆”，并“建设社区心理服务平台”。我司可发挥国企公信力与资源整合能力，搭建联动平台。</w:t>
      </w:r>
    </w:p>
    <w:p w14:paraId="266F4F67">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可参与的发展点包括：</w:t>
      </w:r>
    </w:p>
    <w:p w14:paraId="7A906457">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参与社区体育场馆运营与课程配送：与街道、社区合作，在学生课后及周末时段提供公益或低偿体育服务，延伸服务场景。</w:t>
      </w:r>
    </w:p>
    <w:p w14:paraId="1E418A27">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联合举办区域性青少年体育心理健康主题活动：与教育、卫健等部门合作，开展“阳光体育节”“家庭运动嘉年华”等，强化品牌影响力与社会价值。</w:t>
      </w:r>
    </w:p>
    <w:p w14:paraId="6F0F61BC">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四、强化合规与专业能力，将“安全规范”转化为信任资产</w:t>
      </w:r>
    </w:p>
    <w:p w14:paraId="7AF4A0BC">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政策持续强调“规范非学科类培训”，并高度关注学生安全与专业师资配置。合规运营不仅是底线，更是国企的核心竞争力。</w:t>
      </w:r>
    </w:p>
    <w:p w14:paraId="7BF2A07E">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应加强的应对措施包括：</w:t>
      </w:r>
    </w:p>
    <w:p w14:paraId="4A6DCBAE">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建立高标准安全与合规体系：制定严于行业标准的《安全操作手册》，实现师资资质透明化、保险全覆盖，树立“安全可信赖”的品牌形象。</w:t>
      </w:r>
    </w:p>
    <w:p w14:paraId="771D4AD9">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系统提升师资“体心融合”指导能力：开展教练培训，增设青少年心理发展、课堂氛围营造、安全意识等课程，推动教练从“技能传授者”向“身心辅导员”转型。</w:t>
      </w:r>
    </w:p>
    <w:p w14:paraId="575816CD">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69844564">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28C21386">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483352CE">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6AAA75FF">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0C499972">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17C0EBD2">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7B0082C8">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39766C31">
      <w:pPr>
        <w:bidi w:val="0"/>
        <w:jc w:val="center"/>
        <w:rPr>
          <w:rFonts w:hint="eastAsia" w:ascii="方正小标宋简体" w:hAnsi="方正小标宋简体" w:eastAsia="方正小标宋简体" w:cs="方正小标宋简体"/>
          <w:sz w:val="44"/>
          <w:szCs w:val="44"/>
        </w:rPr>
      </w:pPr>
      <w:bookmarkStart w:id="0" w:name="OLE_LINK1"/>
      <w:r>
        <w:rPr>
          <w:rFonts w:hint="eastAsia" w:ascii="方正小标宋简体" w:hAnsi="方正小标宋简体" w:eastAsia="方正小标宋简体" w:cs="方正小标宋简体"/>
          <w:sz w:val="44"/>
          <w:szCs w:val="44"/>
        </w:rPr>
        <w:t>浙江省体育局关于印发《浙江省体育赛事活动赛风赛纪管理实施细则》的通知</w:t>
      </w:r>
    </w:p>
    <w:bookmarkEnd w:id="0"/>
    <w:p w14:paraId="42996C2B">
      <w:pPr>
        <w:bidi w:val="0"/>
        <w:jc w:val="right"/>
        <w:rPr>
          <w:rFonts w:hint="eastAsia" w:ascii="华文仿宋" w:hAnsi="华文仿宋" w:eastAsia="华文仿宋" w:cs="华文仿宋"/>
          <w:sz w:val="30"/>
          <w:szCs w:val="30"/>
        </w:rPr>
      </w:pPr>
      <w:r>
        <w:rPr>
          <w:rFonts w:hint="eastAsia" w:ascii="华文仿宋" w:hAnsi="华文仿宋" w:eastAsia="华文仿宋" w:cs="华文仿宋"/>
          <w:sz w:val="30"/>
          <w:szCs w:val="30"/>
        </w:rPr>
        <w:t>发布日期：2025-11-21</w:t>
      </w:r>
    </w:p>
    <w:p w14:paraId="454D9D04">
      <w:pPr>
        <w:bidi w:val="0"/>
        <w:jc w:val="right"/>
        <w:rPr>
          <w:rFonts w:hint="eastAsia" w:ascii="华文仿宋" w:hAnsi="华文仿宋" w:eastAsia="华文仿宋" w:cs="华文仿宋"/>
          <w:sz w:val="30"/>
          <w:szCs w:val="30"/>
        </w:rPr>
      </w:pPr>
      <w:r>
        <w:rPr>
          <w:rFonts w:hint="eastAsia" w:ascii="华文仿宋" w:hAnsi="华文仿宋" w:eastAsia="华文仿宋" w:cs="华文仿宋"/>
          <w:sz w:val="30"/>
          <w:szCs w:val="30"/>
        </w:rPr>
        <w:t>来源：浙江省体育局</w:t>
      </w:r>
    </w:p>
    <w:p w14:paraId="5E06B99B">
      <w:pPr>
        <w:bidi w:val="0"/>
        <w:jc w:val="center"/>
        <w:rPr>
          <w:rFonts w:hint="eastAsia" w:ascii="华文仿宋" w:hAnsi="华文仿宋" w:eastAsia="华文仿宋" w:cs="华文仿宋"/>
          <w:sz w:val="30"/>
          <w:szCs w:val="30"/>
        </w:rPr>
      </w:pPr>
    </w:p>
    <w:p w14:paraId="1E283DC9">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各市、县（市、区）体育部门，省体育局各直属单位，各省级体育协会：</w:t>
      </w:r>
    </w:p>
    <w:p w14:paraId="743E1599">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《浙江省体育赛事活动赛风赛纪管理实施细则》已经省体育局局长办公会议审议通过。现印发给你们，请遵照执行。</w:t>
      </w:r>
    </w:p>
    <w:p w14:paraId="00D5F419">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p>
    <w:p w14:paraId="499DD6F7">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xml:space="preserve">浙江省体育局    </w:t>
      </w:r>
    </w:p>
    <w:p w14:paraId="57F89724">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xml:space="preserve">2025年11月18日  </w:t>
      </w:r>
    </w:p>
    <w:p w14:paraId="39B9B564">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p>
    <w:p w14:paraId="478B9DA8">
      <w:pPr>
        <w:keepNext w:val="0"/>
        <w:keepLines w:val="0"/>
        <w:pageBreakBefore w:val="0"/>
        <w:widowControl w:val="0"/>
        <w:numPr>
          <w:ilvl w:val="0"/>
          <w:numId w:val="1"/>
        </w:numPr>
        <w:kinsoku/>
        <w:wordWrap/>
        <w:overflowPunct/>
        <w:topLinePunct w:val="0"/>
        <w:autoSpaceDE/>
        <w:autoSpaceDN/>
        <w:bidi w:val="0"/>
        <w:adjustRightInd/>
        <w:snapToGrid/>
        <w:ind w:firstLine="600" w:firstLineChars="200"/>
        <w:jc w:val="left"/>
        <w:textAlignment w:val="auto"/>
        <w:rPr>
          <w:rFonts w:hint="eastAsia" w:ascii="黑体" w:hAnsi="黑体" w:eastAsia="黑体" w:cs="黑体"/>
          <w:sz w:val="30"/>
          <w:szCs w:val="30"/>
        </w:rPr>
      </w:pPr>
      <w:r>
        <w:rPr>
          <w:rFonts w:hint="eastAsia" w:ascii="黑体" w:hAnsi="黑体" w:eastAsia="黑体" w:cs="黑体"/>
          <w:sz w:val="30"/>
          <w:szCs w:val="30"/>
        </w:rPr>
        <w:t> 总  则</w:t>
      </w:r>
    </w:p>
    <w:p w14:paraId="5B2BAE70">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ascii="黑体" w:hAnsi="黑体" w:eastAsia="黑体" w:cs="黑体"/>
          <w:sz w:val="30"/>
          <w:szCs w:val="30"/>
        </w:rPr>
      </w:pPr>
    </w:p>
    <w:p w14:paraId="62BE21D0">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第一条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为维护公平竞争的比赛环境，加强对浙江省体育赛事活动赛风赛纪管理，根据《中华人民共和国体育法》《体育赛事活动赛风赛纪管理办法》等相关法律法规规章，结合浙江省实际，制定本实施细则。</w:t>
      </w:r>
    </w:p>
    <w:p w14:paraId="7A8A7C16">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第二条</w:t>
      </w:r>
      <w:r>
        <w:rPr>
          <w:rFonts w:hint="eastAsia" w:ascii="华文仿宋" w:hAnsi="华文仿宋" w:eastAsia="华文仿宋" w:cs="华文仿宋"/>
          <w:sz w:val="30"/>
          <w:szCs w:val="30"/>
          <w:lang w:eastAsia="zh-CN"/>
        </w:rPr>
        <w:t>、</w:t>
      </w:r>
      <w:r>
        <w:rPr>
          <w:rFonts w:hint="eastAsia" w:ascii="华文仿宋" w:hAnsi="华文仿宋" w:eastAsia="华文仿宋" w:cs="华文仿宋"/>
          <w:sz w:val="30"/>
          <w:szCs w:val="30"/>
        </w:rPr>
        <w:t>赛风赛纪违规指体育赛事活动中出现弄虚作假、操纵比赛、赛场暴力等违反竞赛规程规则和体育道德的行为。</w:t>
      </w:r>
    </w:p>
    <w:p w14:paraId="4F4D4E3E">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p>
    <w:p w14:paraId="0896D48D">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第三条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本实施细则适用于浙江省行政区域内举办的各级各类体育赛事活动以及代表浙江省参加各类比赛的单位和个人。</w:t>
      </w:r>
    </w:p>
    <w:p w14:paraId="0F9974C1">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第四条</w:t>
      </w:r>
      <w:r>
        <w:rPr>
          <w:rFonts w:hint="eastAsia" w:ascii="华文仿宋" w:hAnsi="华文仿宋" w:eastAsia="华文仿宋" w:cs="华文仿宋"/>
          <w:sz w:val="30"/>
          <w:szCs w:val="30"/>
          <w:lang w:eastAsia="zh-CN"/>
        </w:rPr>
        <w:t>、</w:t>
      </w:r>
      <w:r>
        <w:rPr>
          <w:rFonts w:hint="eastAsia" w:ascii="华文仿宋" w:hAnsi="华文仿宋" w:eastAsia="华文仿宋" w:cs="华文仿宋"/>
          <w:sz w:val="30"/>
          <w:szCs w:val="30"/>
        </w:rPr>
        <w:t>赛风赛纪管理坚持政府监管与行业自律相结合，实施分级分类管理，加强事前事中事后全过程监管。</w:t>
      </w:r>
    </w:p>
    <w:p w14:paraId="6FD4B39A">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赛风赛纪管理遵循依法依规、公开透明，注重教育、预防为主，惩防并举、系统治理的原则，确保体育赛事活动的有序进行和健康发展，弘扬体育精神，维护良好社会风尚。</w:t>
      </w:r>
    </w:p>
    <w:p w14:paraId="11645EA4">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u w:val="single"/>
        </w:rPr>
      </w:pPr>
      <w:r>
        <w:rPr>
          <w:rFonts w:hint="eastAsia" w:ascii="华文仿宋" w:hAnsi="华文仿宋" w:eastAsia="华文仿宋" w:cs="华文仿宋"/>
          <w:b/>
          <w:bCs/>
          <w:sz w:val="30"/>
          <w:szCs w:val="30"/>
        </w:rPr>
        <w:t>第五条</w:t>
      </w:r>
      <w:r>
        <w:rPr>
          <w:rFonts w:hint="eastAsia" w:ascii="华文仿宋" w:hAnsi="华文仿宋" w:eastAsia="华文仿宋" w:cs="华文仿宋"/>
          <w:sz w:val="30"/>
          <w:szCs w:val="30"/>
          <w:lang w:eastAsia="zh-CN"/>
        </w:rPr>
        <w:t>、</w:t>
      </w:r>
      <w:r>
        <w:rPr>
          <w:rFonts w:hint="eastAsia" w:ascii="华文仿宋" w:hAnsi="华文仿宋" w:eastAsia="华文仿宋" w:cs="华文仿宋"/>
          <w:sz w:val="30"/>
          <w:szCs w:val="30"/>
        </w:rPr>
        <w:t>本实施细则所称体育赛事活动管理单位，包括浙江省体育局，</w:t>
      </w:r>
      <w:r>
        <w:rPr>
          <w:rFonts w:hint="eastAsia" w:ascii="华文仿宋" w:hAnsi="华文仿宋" w:eastAsia="华文仿宋" w:cs="华文仿宋"/>
          <w:sz w:val="30"/>
          <w:szCs w:val="30"/>
          <w:u w:val="single"/>
        </w:rPr>
        <w:t>市、县级体育行政部门，各级体育总会、体育项目管理单位和单项体育协会等。</w:t>
      </w:r>
    </w:p>
    <w:p w14:paraId="58FCCB45">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u w:val="single"/>
        </w:rPr>
      </w:pPr>
      <w:r>
        <w:rPr>
          <w:rFonts w:hint="eastAsia" w:ascii="华文仿宋" w:hAnsi="华文仿宋" w:eastAsia="华文仿宋" w:cs="华文仿宋"/>
          <w:sz w:val="30"/>
          <w:szCs w:val="30"/>
          <w:u w:val="single"/>
        </w:rPr>
        <w:t>各级体育行政部门负责所辖区域内赛风赛纪管理工作。</w:t>
      </w:r>
    </w:p>
    <w:p w14:paraId="0E5A5546">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u w:val="none"/>
        </w:rPr>
      </w:pPr>
      <w:r>
        <w:rPr>
          <w:rFonts w:hint="eastAsia" w:ascii="华文仿宋" w:hAnsi="华文仿宋" w:eastAsia="华文仿宋" w:cs="华文仿宋"/>
          <w:sz w:val="30"/>
          <w:szCs w:val="30"/>
          <w:u w:val="single"/>
        </w:rPr>
        <w:t>全省各级体育总会、体育项目管理单位、单项体育协会在各自职责范围内，按照法律法规及各自章程负责赛风赛纪管理工作。</w:t>
      </w:r>
      <w:r>
        <w:rPr>
          <w:rFonts w:hint="eastAsia" w:ascii="华文仿宋" w:hAnsi="华文仿宋" w:eastAsia="华文仿宋" w:cs="华文仿宋"/>
          <w:sz w:val="30"/>
          <w:szCs w:val="30"/>
          <w:u w:val="none"/>
        </w:rPr>
        <w:t>本区域内相关体育项目未明确管理单位的，由本级体育行政部门负责管理。</w:t>
      </w:r>
    </w:p>
    <w:p w14:paraId="67F9440D">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 xml:space="preserve">体育赛事活动组织者承担体育赛事活动赛风赛纪管理的主体责任，负责其所组织的体育赛事活动赛风赛纪管理工作。 </w:t>
      </w:r>
    </w:p>
    <w:p w14:paraId="307B0168">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p>
    <w:p w14:paraId="2F56BBFC">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黑体" w:hAnsi="黑体" w:eastAsia="黑体" w:cs="黑体"/>
          <w:sz w:val="30"/>
          <w:szCs w:val="30"/>
        </w:rPr>
      </w:pPr>
      <w:r>
        <w:rPr>
          <w:rFonts w:hint="eastAsia" w:ascii="黑体" w:hAnsi="黑体" w:eastAsia="黑体" w:cs="黑体"/>
          <w:sz w:val="30"/>
          <w:szCs w:val="30"/>
        </w:rPr>
        <w:t>‍第二章  管理职责</w:t>
      </w:r>
    </w:p>
    <w:p w14:paraId="41017E1F">
      <w:pPr>
        <w:keepNext w:val="0"/>
        <w:keepLines w:val="0"/>
        <w:pageBreakBefore w:val="0"/>
        <w:widowControl w:val="0"/>
        <w:kinsoku/>
        <w:wordWrap/>
        <w:overflowPunct/>
        <w:topLinePunct w:val="0"/>
        <w:autoSpaceDE/>
        <w:autoSpaceDN/>
        <w:bidi w:val="0"/>
        <w:adjustRightInd/>
        <w:snapToGrid/>
        <w:jc w:val="left"/>
        <w:textAlignment w:val="auto"/>
        <w:rPr>
          <w:rFonts w:hint="eastAsia" w:ascii="华文仿宋" w:hAnsi="华文仿宋" w:eastAsia="华文仿宋" w:cs="华文仿宋"/>
          <w:sz w:val="30"/>
          <w:szCs w:val="30"/>
        </w:rPr>
      </w:pPr>
    </w:p>
    <w:p w14:paraId="60640810">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第八条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省体育局成立赛风赛纪工作领导小组并设立办公室，负责全省体育赛事活动赛风赛纪的管理、协调、监督工作。</w:t>
      </w:r>
    </w:p>
    <w:p w14:paraId="1B582987">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市、县级体育行政部门应当明确赛风赛纪管理的工作机构和人员</w:t>
      </w:r>
      <w:r>
        <w:rPr>
          <w:rFonts w:hint="eastAsia" w:ascii="华文仿宋" w:hAnsi="华文仿宋" w:eastAsia="华文仿宋" w:cs="华文仿宋"/>
          <w:sz w:val="30"/>
          <w:szCs w:val="30"/>
          <w:lang w:eastAsia="zh-CN"/>
        </w:rPr>
        <w:t>。</w:t>
      </w:r>
    </w:p>
    <w:p w14:paraId="7DA16976">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u w:val="single"/>
        </w:rPr>
      </w:pPr>
      <w:r>
        <w:rPr>
          <w:rFonts w:hint="eastAsia" w:ascii="华文仿宋" w:hAnsi="华文仿宋" w:eastAsia="华文仿宋" w:cs="华文仿宋"/>
          <w:b/>
          <w:bCs/>
          <w:sz w:val="30"/>
          <w:szCs w:val="30"/>
        </w:rPr>
        <w:t>第九条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按照“谁组织、谁负责”原则，</w:t>
      </w:r>
      <w:r>
        <w:rPr>
          <w:rFonts w:hint="eastAsia" w:ascii="华文仿宋" w:hAnsi="华文仿宋" w:eastAsia="华文仿宋" w:cs="华文仿宋"/>
          <w:sz w:val="30"/>
          <w:szCs w:val="30"/>
          <w:u w:val="single"/>
        </w:rPr>
        <w:t>主办方、承办方等体育赛事活动组织者应当制定并完善赛事规程和组织管理规定，建立赛风赛纪风险分级制度，采取相应管控措施，防范化解赛风赛纪风险。</w:t>
      </w:r>
    </w:p>
    <w:p w14:paraId="383776D0">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u w:val="single"/>
        </w:rPr>
      </w:pPr>
      <w:r>
        <w:rPr>
          <w:rFonts w:hint="eastAsia" w:ascii="华文仿宋" w:hAnsi="华文仿宋" w:eastAsia="华文仿宋" w:cs="华文仿宋"/>
          <w:sz w:val="30"/>
          <w:szCs w:val="30"/>
          <w:u w:val="single"/>
        </w:rPr>
        <w:t>体育赛事活动组织者应当建立并实施体育赛事活动录音录像记录制度，建立健全裁判员执裁活动评价机制。</w:t>
      </w:r>
    </w:p>
    <w:p w14:paraId="2BCC6B09">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第十条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按照“谁管理、谁负责”原则，市、县级体育行政部门负责所管理运动队的赛风赛纪工作，协助省级体育项目管理单位、省级单项体育协会管理各项目输送到省运动队人员的赛风赛纪工作。</w:t>
      </w:r>
    </w:p>
    <w:p w14:paraId="69724CC6">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u w:val="single"/>
        </w:rPr>
      </w:pPr>
      <w:r>
        <w:rPr>
          <w:rFonts w:hint="eastAsia" w:ascii="华文仿宋" w:hAnsi="华文仿宋" w:eastAsia="华文仿宋" w:cs="华文仿宋"/>
          <w:b/>
          <w:bCs/>
          <w:sz w:val="30"/>
          <w:szCs w:val="30"/>
        </w:rPr>
        <w:t>第十一条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各级体育行政部门、体育项目管理单位、单项体育协会</w:t>
      </w:r>
      <w:r>
        <w:rPr>
          <w:rFonts w:hint="eastAsia" w:ascii="华文仿宋" w:hAnsi="华文仿宋" w:eastAsia="华文仿宋" w:cs="华文仿宋"/>
          <w:sz w:val="30"/>
          <w:szCs w:val="30"/>
          <w:u w:val="single"/>
        </w:rPr>
        <w:t>按照分级监督管理要求，制订赛风赛纪年度监督检查计划，并按计划进行监督检查，发现风险隐患，应当及时处理。</w:t>
      </w:r>
    </w:p>
    <w:p w14:paraId="39486F67">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u w:val="single"/>
        </w:rPr>
      </w:pPr>
      <w:r>
        <w:rPr>
          <w:rFonts w:hint="eastAsia" w:ascii="华文仿宋" w:hAnsi="华文仿宋" w:eastAsia="华文仿宋" w:cs="华文仿宋"/>
          <w:sz w:val="30"/>
          <w:szCs w:val="30"/>
          <w:u w:val="single"/>
        </w:rPr>
        <w:t>建立完善赛风赛纪交叉监督机制，加强重点项目赛风赛纪监督管理。</w:t>
      </w:r>
    </w:p>
    <w:p w14:paraId="09529396">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u w:val="single"/>
        </w:rPr>
      </w:pPr>
      <w:r>
        <w:rPr>
          <w:rFonts w:hint="eastAsia" w:ascii="华文仿宋" w:hAnsi="华文仿宋" w:eastAsia="华文仿宋" w:cs="华文仿宋"/>
          <w:b/>
          <w:bCs/>
          <w:sz w:val="30"/>
          <w:szCs w:val="30"/>
        </w:rPr>
        <w:t>第十二条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体育赛事活动管理单位</w:t>
      </w:r>
      <w:r>
        <w:rPr>
          <w:rFonts w:hint="eastAsia" w:ascii="华文仿宋" w:hAnsi="华文仿宋" w:eastAsia="华文仿宋" w:cs="华文仿宋"/>
          <w:sz w:val="30"/>
          <w:szCs w:val="30"/>
          <w:u w:val="single"/>
        </w:rPr>
        <w:t>应当加强与公安、宣传、网信、纪检监察等部门的沟通联络，通报工作情况，在舆论引导、监督检查、案件查处等方面建立联动机制，形成赛风赛纪管理合力。</w:t>
      </w:r>
    </w:p>
    <w:p w14:paraId="4B31B4CC">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p>
    <w:p w14:paraId="0E47AE27">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黑体" w:hAnsi="黑体" w:eastAsia="黑体" w:cs="黑体"/>
          <w:sz w:val="30"/>
          <w:szCs w:val="30"/>
        </w:rPr>
      </w:pPr>
      <w:r>
        <w:rPr>
          <w:rFonts w:hint="eastAsia" w:ascii="黑体" w:hAnsi="黑体" w:eastAsia="黑体" w:cs="黑体"/>
          <w:sz w:val="30"/>
          <w:szCs w:val="30"/>
        </w:rPr>
        <w:t>第三章  宣传教育</w:t>
      </w:r>
    </w:p>
    <w:p w14:paraId="3737069B">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p>
    <w:p w14:paraId="5D45C6C6">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第十三条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体育赛事活动管理单位应当定期开展社会主义核心价值观教育，弘扬奥林匹克精神和中华体育精神，提高体育赛事活动参与者的法纪意识、诚信意识、规则意识。</w:t>
      </w:r>
    </w:p>
    <w:p w14:paraId="6136C81F">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u w:val="single"/>
          <w:lang w:eastAsia="zh-CN"/>
        </w:rPr>
      </w:pPr>
      <w:r>
        <w:rPr>
          <w:rFonts w:hint="eastAsia" w:ascii="华文仿宋" w:hAnsi="华文仿宋" w:eastAsia="华文仿宋" w:cs="华文仿宋"/>
          <w:b/>
          <w:bCs/>
          <w:sz w:val="30"/>
          <w:szCs w:val="30"/>
        </w:rPr>
        <w:t>第十四条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加强对青少年的体育道德教育，</w:t>
      </w:r>
      <w:r>
        <w:rPr>
          <w:rFonts w:hint="eastAsia" w:ascii="华文仿宋" w:hAnsi="华文仿宋" w:eastAsia="华文仿宋" w:cs="华文仿宋"/>
          <w:sz w:val="30"/>
          <w:szCs w:val="30"/>
          <w:u w:val="single"/>
        </w:rPr>
        <w:t>在日常训练和参与体育赛事活动中将赛风赛纪教育作为重要内容，定期举办各类主题活动</w:t>
      </w:r>
      <w:r>
        <w:rPr>
          <w:rFonts w:hint="eastAsia" w:ascii="华文仿宋" w:hAnsi="华文仿宋" w:eastAsia="华文仿宋" w:cs="华文仿宋"/>
          <w:sz w:val="30"/>
          <w:szCs w:val="30"/>
          <w:u w:val="single"/>
          <w:lang w:eastAsia="zh-CN"/>
        </w:rPr>
        <w:t>。</w:t>
      </w:r>
    </w:p>
    <w:p w14:paraId="5C450DE4">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第十五条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建立赛风赛纪教育准入制度，</w:t>
      </w:r>
      <w:r>
        <w:rPr>
          <w:rFonts w:hint="eastAsia" w:ascii="华文仿宋" w:hAnsi="华文仿宋" w:eastAsia="华文仿宋" w:cs="华文仿宋"/>
          <w:sz w:val="30"/>
          <w:szCs w:val="30"/>
          <w:u w:val="single"/>
        </w:rPr>
        <w:t>将赛风赛纪教育作为入队、入职、参赛等基本审核条件。</w:t>
      </w:r>
      <w:r>
        <w:rPr>
          <w:rFonts w:hint="eastAsia" w:ascii="华文仿宋" w:hAnsi="华文仿宋" w:eastAsia="华文仿宋" w:cs="华文仿宋"/>
          <w:sz w:val="30"/>
          <w:szCs w:val="30"/>
        </w:rPr>
        <w:t>省体育局制订我省教育准入细则并指导实施，各体育赛事活动管理单位负责准入细则的具体实施。</w:t>
      </w:r>
    </w:p>
    <w:p w14:paraId="52B13E78">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第十六条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u w:val="single"/>
        </w:rPr>
        <w:t>体育赛事活动组织者应当在赛前赛中通过教育培训、媒体宣传、案例报道、宣誓承诺等多种形式和途径开展主题丰富的赛风赛纪宣传培训和警示教育活动。</w:t>
      </w:r>
    </w:p>
    <w:p w14:paraId="44FA0C72">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p>
    <w:p w14:paraId="094A9973">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黑体" w:hAnsi="黑体" w:eastAsia="黑体" w:cs="黑体"/>
          <w:sz w:val="30"/>
          <w:szCs w:val="30"/>
        </w:rPr>
      </w:pPr>
      <w:r>
        <w:rPr>
          <w:rFonts w:hint="eastAsia" w:ascii="黑体" w:hAnsi="黑体" w:eastAsia="黑体" w:cs="黑体"/>
          <w:sz w:val="30"/>
          <w:szCs w:val="30"/>
        </w:rPr>
        <w:t>第四章  行为规范</w:t>
      </w:r>
    </w:p>
    <w:p w14:paraId="5A99D83B">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p>
    <w:p w14:paraId="47658694">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第十八条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教练员应当遵守以下行为规范：</w:t>
      </w:r>
    </w:p>
    <w:p w14:paraId="75FE3B89">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（一）以身作则。言行举止得体，教育和引导运动员遵守赛风赛纪，树立良好榜样；</w:t>
      </w:r>
    </w:p>
    <w:p w14:paraId="32A618C2">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（二）遵守比赛规则。严格按照规则指导运动员，严禁“假赌黑”，不得指使运动员采取违规行为，不得恶意损坏赛事设施，不得违反体育竞赛规则，违背体育道德；</w:t>
      </w:r>
    </w:p>
    <w:p w14:paraId="64816C96">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（三）尊重裁判和运动员。尊重裁判的判罚和运动员的拼搏精神，不得发表不当言论或干扰比赛秩序；</w:t>
      </w:r>
    </w:p>
    <w:p w14:paraId="7DD64806">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（四）积极参与赛风赛纪教育活动。</w:t>
      </w:r>
    </w:p>
    <w:p w14:paraId="7117BDA2">
      <w:pPr>
        <w:keepNext w:val="0"/>
        <w:keepLines w:val="0"/>
        <w:pageBreakBefore w:val="0"/>
        <w:widowControl w:val="0"/>
        <w:kinsoku/>
        <w:wordWrap/>
        <w:overflowPunct/>
        <w:topLinePunct w:val="0"/>
        <w:autoSpaceDE/>
        <w:autoSpaceDN/>
        <w:bidi w:val="0"/>
        <w:adjustRightInd/>
        <w:snapToGrid/>
        <w:jc w:val="left"/>
        <w:textAlignment w:val="auto"/>
        <w:rPr>
          <w:rFonts w:hint="eastAsia" w:ascii="华文仿宋" w:hAnsi="华文仿宋" w:eastAsia="华文仿宋" w:cs="华文仿宋"/>
          <w:sz w:val="30"/>
          <w:szCs w:val="30"/>
        </w:rPr>
      </w:pPr>
    </w:p>
    <w:p w14:paraId="7F2BD839">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第二十九条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体育赛事活动组织者发生赛风赛纪违规行为的，由县级以上地方人民政府体育行政部门根据《体育法》第一百一十三条规定进行处罚。</w:t>
      </w:r>
    </w:p>
    <w:p w14:paraId="0B6B4AA9">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第三十条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对赛风赛纪管理不力的体育赛事活动管理单位，派出代表队参加省级赛事出现严重赛风赛纪管理问题的单位，省体育局根据情节轻重，给予提示、警示、通报。</w:t>
      </w:r>
    </w:p>
    <w:p w14:paraId="35310C9D">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第三十二条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运动员、教练员、裁判员等发生赛风赛纪违规且被禁赛的，禁赛期内及禁赛期满后4年内，相关管理单位应当取消其评先评优、授予称号、晋升职称等资格。</w:t>
      </w:r>
    </w:p>
    <w:p w14:paraId="41D91A4D">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第三十九条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有以下情形之一的，应当从重处理：</w:t>
      </w:r>
    </w:p>
    <w:p w14:paraId="69382CFB">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（一）对抗、阻挠、干扰查处的</w:t>
      </w:r>
    </w:p>
    <w:p w14:paraId="074CEB13">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（二）同一比赛连续2次以上赛风赛纪违规的；</w:t>
      </w:r>
    </w:p>
    <w:p w14:paraId="67F1A250">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（三）两年内曾因赛风赛纪违规受到处理的；</w:t>
      </w:r>
    </w:p>
    <w:p w14:paraId="3329B54C">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（四）组织、教唆、强迫青少年运动员违反赛风赛纪管理规定的；</w:t>
      </w:r>
    </w:p>
    <w:p w14:paraId="2DCD70C2">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（五）省队运动员、教练员、领队及辅助人员等发生赛风赛纪违规行为的；</w:t>
      </w:r>
    </w:p>
    <w:p w14:paraId="62FEE64D">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（六）对举报人威胁、打击、报复的；</w:t>
      </w:r>
    </w:p>
    <w:p w14:paraId="08F0F860">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（七）其他应当从重处理的情形。</w:t>
      </w:r>
    </w:p>
    <w:p w14:paraId="35FD6DDB">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p>
    <w:p w14:paraId="6C78918D">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第四十条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有以下情形之一的，可以从轻处理：</w:t>
      </w:r>
    </w:p>
    <w:p w14:paraId="1C36D065">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（一）主动采取有效措施消除不良影响的；</w:t>
      </w:r>
    </w:p>
    <w:p w14:paraId="36246446">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（二）主动交代查处单位尚未掌握的本人违规行为且经查证属实的；</w:t>
      </w:r>
    </w:p>
    <w:p w14:paraId="583FEE5E">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（三）受他人胁迫或者诱骗实施违规行为的；</w:t>
      </w:r>
    </w:p>
    <w:p w14:paraId="3CCAC604">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（四）配合查处违规行为有立功表现的；</w:t>
      </w:r>
    </w:p>
    <w:p w14:paraId="791B95FE">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sz w:val="30"/>
          <w:szCs w:val="30"/>
        </w:rPr>
        <w:t>（五）其他可以从轻处理的情形。</w:t>
      </w:r>
    </w:p>
    <w:p w14:paraId="0F212F52">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第四十一条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涉及多个单位培养的运动员出现赛风赛纪违规的，对运动员、代表单位和相关培养单位进行处理。培养协议约定了责任承担方式的，从其约定。</w:t>
      </w:r>
    </w:p>
    <w:p w14:paraId="40A025AA">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第四十二条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相关单位和个人应当严格执行处理决定。拒不执行的，依法依规依纪对负有责任的领导人员和直接责任人员给予处分。</w:t>
      </w:r>
    </w:p>
    <w:p w14:paraId="65BFE799">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第四十三条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对赛风赛纪处理决定不服的，可依法向作出处理决定的单位提出申诉。符合体育仲裁申请条件的，可依法申请体育仲裁。</w:t>
      </w:r>
    </w:p>
    <w:p w14:paraId="1AB2102B">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u w:val="single"/>
        </w:rPr>
      </w:pPr>
      <w:r>
        <w:rPr>
          <w:rFonts w:hint="eastAsia" w:ascii="华文仿宋" w:hAnsi="华文仿宋" w:eastAsia="华文仿宋" w:cs="华文仿宋"/>
          <w:b/>
          <w:bCs/>
          <w:sz w:val="30"/>
          <w:szCs w:val="30"/>
        </w:rPr>
        <w:t>第四十四条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u w:val="single"/>
        </w:rPr>
        <w:t>体育赛事活动组织者应当加强管理，引导观众文明观赛，营造有序观赛环境。观众行为涉嫌违法犯罪的，移送公安机关。</w:t>
      </w:r>
    </w:p>
    <w:p w14:paraId="5223BC33">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sz w:val="30"/>
          <w:szCs w:val="30"/>
        </w:rPr>
      </w:pPr>
      <w:r>
        <w:rPr>
          <w:rFonts w:hint="eastAsia" w:ascii="华文仿宋" w:hAnsi="华文仿宋" w:eastAsia="华文仿宋" w:cs="华文仿宋"/>
          <w:b/>
          <w:bCs/>
          <w:sz w:val="30"/>
          <w:szCs w:val="30"/>
        </w:rPr>
        <w:t>第四十五条</w:t>
      </w:r>
      <w:r>
        <w:rPr>
          <w:rFonts w:hint="eastAsia" w:ascii="华文仿宋" w:hAnsi="华文仿宋" w:eastAsia="华文仿宋" w:cs="华文仿宋"/>
          <w:b/>
          <w:bCs/>
          <w:sz w:val="30"/>
          <w:szCs w:val="30"/>
          <w:lang w:eastAsia="zh-CN"/>
        </w:rPr>
        <w:t>、</w:t>
      </w:r>
      <w:r>
        <w:rPr>
          <w:rFonts w:hint="eastAsia" w:ascii="华文仿宋" w:hAnsi="华文仿宋" w:eastAsia="华文仿宋" w:cs="华文仿宋"/>
          <w:sz w:val="30"/>
          <w:szCs w:val="30"/>
        </w:rPr>
        <w:t>通过操纵比赛等方式从事赌博等违法犯罪活动的，由公安机关或者纪检监察机关依法查处。</w:t>
      </w:r>
    </w:p>
    <w:p w14:paraId="72F687F0">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rPr>
      </w:pPr>
    </w:p>
    <w:p w14:paraId="516CF30F">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关于此《通知》我司需注意以下几点：</w:t>
      </w:r>
    </w:p>
    <w:p w14:paraId="28638AA4">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《浙江省体育赛事活动赛风赛纪管理实施细则》中第九、十四、十六、四十四条，以 “协同监管-教育引导-准入管控-违规处置”为核心逻辑，将赛风赛纪从“赛事附加要求”升级为 “合规经营底线”。在此框架下，我司杭州、东阳两地赛事运营与青少年培训业务需以条款要求为锚点，实现从“被动合规”到“主动管控”的转型，这既是规避风险的必然选择，更是打造区域品牌公信力的核心路径。</w:t>
      </w:r>
    </w:p>
    <w:p w14:paraId="46A517D6">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1、构建全流程闭环管理的合规体系</w:t>
      </w:r>
    </w:p>
    <w:p w14:paraId="79DE5258">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细则》第九条明确要求县级以上体育行政部门联合公安、网信等部门建立联动机制，形成管理合力。可参考安图县“延超”联赛联动公安、商务等多部门保障赛事秩序的实践，政企协同能快速处置赛场暴力、观赛滋事等突发情况，是赛事规模化运营的基础保障。</w:t>
      </w:r>
    </w:p>
    <w:p w14:paraId="4E93F8F8">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定期开展价值观教育，提升参与者法纪与诚信意识。结合《细则》对四类主体行为规范的明确要求，教育需精准覆盖运动员、教练员、裁判员等全群体，才能从根本上降低违规概率。确立“教育准入”制度，将赛风赛纪教育作为入队、入职、参赛的审核条件。这一设定为业务设置刚性门槛，意味着未接受合规教育的球队、学员、教练将失去参与资格，直接关联我司赛事报名审核与培训招生质量，是筛选优质参与主体的重要依据。</w:t>
      </w:r>
    </w:p>
    <w:p w14:paraId="31E7D6A2">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p>
    <w:p w14:paraId="189F3D63">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2、合规能力决定市场竞争格局</w:t>
      </w:r>
    </w:p>
    <w:p w14:paraId="3E2DB087">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这四条条款的落地推动浙江省体育产业从“规模扩张”向 “质量提升”转型：一方面，政企联动机制的建立让合规企业更易获得政府资源支持，如承接赛事补贴、公共服务项目；另一方面，教育准入与严格处罚抬高行业门槛，缺乏合规体系的中小企业将逐步被淘汰。对我司而言，提前构建符合条款要求的管理体系，能在杭州、东阳市场形成差异化优势，契合“体育 + 文旅”融合趋势下对赛事品质的高要求。</w:t>
      </w:r>
    </w:p>
    <w:p w14:paraId="1203C1E7">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为深入落实条款要求、深化业务合规转化，简单提出以下措施供以参考：</w:t>
      </w:r>
    </w:p>
    <w:p w14:paraId="3E2E7734">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赛事前 72 小时，联合公安部门开展场地安全排查，设置观赛隔离区与应急通道；制定舆情预案，对赛场冲突等敏感信息实时监测，确保突发情况 15 分钟内启动协同处置。联合相关单位发布《赛事保障指引》，明确安保配置、医疗点位、舆情响应等量化标准。赛前针对篮球运动员开设“肢体冲突界定与后果”专题课，针对教练员开展“执教行为红线”解读会，结合《实施细则》22 种违规情形案例进行警示教育，培训后通过测试方可参赛，留存签到与成绩档案。</w:t>
      </w:r>
    </w:p>
    <w:p w14:paraId="269BDFE3">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培训端融入教学：培训班=开学第一课“规则启蒙课”讲解竞赛红线，日常“案例分析课”剖析赛场违规后果，每月教育时长不低于1课时。在培训校区投放动画版《行为规范手册》，利用短视频平台推送“一分钟学球场规则”系列内容，扩大教育覆盖面。</w:t>
      </w:r>
    </w:p>
    <w:p w14:paraId="32619DBB">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3、完善教育准入审核</w:t>
      </w:r>
    </w:p>
    <w:p w14:paraId="60BDF73E">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对应《实施细则》第十六条，赛事报名时，球队需签署《诚信参赛承诺书》，青少年报名训练营需完成“规则测试-视频学习-承诺书签署”流程。入职准入“严考核”：招聘教练时，增加“赛风赛纪实操考核”，模拟“学员恶意犯规如何处置”等场景，考核合格且背景调查无违规记录者方可录用。</w:t>
      </w:r>
    </w:p>
    <w:p w14:paraId="31493BEF">
      <w:pPr>
        <w:keepNext w:val="0"/>
        <w:keepLines w:val="0"/>
        <w:pageBreakBefore w:val="0"/>
        <w:widowControl w:val="0"/>
        <w:kinsoku/>
        <w:wordWrap/>
        <w:overflowPunct/>
        <w:topLinePunct w:val="0"/>
        <w:autoSpaceDE/>
        <w:autoSpaceDN/>
        <w:bidi w:val="0"/>
        <w:adjustRightInd/>
        <w:snapToGrid/>
        <w:ind w:firstLine="601" w:firstLineChars="200"/>
        <w:jc w:val="left"/>
        <w:textAlignment w:val="auto"/>
        <w:rPr>
          <w:rFonts w:hint="eastAsia" w:ascii="华文仿宋" w:hAnsi="华文仿宋" w:eastAsia="华文仿宋" w:cs="华文仿宋"/>
          <w:b/>
          <w:bCs/>
          <w:sz w:val="30"/>
          <w:szCs w:val="30"/>
          <w:lang w:val="en-US" w:eastAsia="zh-CN"/>
        </w:rPr>
      </w:pPr>
      <w:r>
        <w:rPr>
          <w:rFonts w:hint="eastAsia" w:ascii="华文仿宋" w:hAnsi="华文仿宋" w:eastAsia="华文仿宋" w:cs="华文仿宋"/>
          <w:b/>
          <w:bCs/>
          <w:sz w:val="30"/>
          <w:szCs w:val="30"/>
          <w:lang w:val="en-US" w:eastAsia="zh-CN"/>
        </w:rPr>
        <w:t>4、夯实合规管理支撑，对应条款全流程管控需求</w:t>
      </w:r>
    </w:p>
    <w:p w14:paraId="2208651B">
      <w:pPr>
        <w:keepNext w:val="0"/>
        <w:keepLines w:val="0"/>
        <w:pageBreakBefore w:val="0"/>
        <w:widowControl w:val="0"/>
        <w:kinsoku/>
        <w:wordWrap/>
        <w:overflowPunct/>
        <w:topLinePunct w:val="0"/>
        <w:autoSpaceDE/>
        <w:autoSpaceDN/>
        <w:bidi w:val="0"/>
        <w:adjustRightInd/>
        <w:snapToGrid/>
        <w:ind w:firstLine="600" w:firstLineChars="200"/>
        <w:jc w:val="left"/>
        <w:textAlignment w:val="auto"/>
        <w:rPr>
          <w:rFonts w:hint="eastAsia" w:ascii="华文仿宋" w:hAnsi="华文仿宋" w:eastAsia="华文仿宋" w:cs="华文仿宋"/>
          <w:sz w:val="30"/>
          <w:szCs w:val="30"/>
          <w:lang w:val="en-US" w:eastAsia="zh-CN"/>
        </w:rPr>
      </w:pPr>
      <w:r>
        <w:rPr>
          <w:rFonts w:hint="eastAsia" w:ascii="华文仿宋" w:hAnsi="华文仿宋" w:eastAsia="华文仿宋" w:cs="华文仿宋"/>
          <w:sz w:val="30"/>
          <w:szCs w:val="30"/>
          <w:lang w:val="en-US" w:eastAsia="zh-CN"/>
        </w:rPr>
        <w:t>可在小程序开发“赛风赛纪管理模块”，增加准入审核、违规上报等功能，实现数据实时同步，对未达合规要求的环节自动预警。建立合规自查机制，每月开展条款落实情况自查，重点核查培训覆盖率、准入完整度、处置及时性，形成《合规整改报告》。定期组织员工学习四条条款及配套解读，邀请监管部门专家开展 “政企协同处置”“违规案例分析” 等专题培训，打造懂规则、会处置的合规团队。</w:t>
      </w:r>
    </w:p>
    <w:p w14:paraId="3B0B93D6">
      <w:pPr>
        <w:keepNext w:val="0"/>
        <w:keepLines w:val="0"/>
        <w:pageBreakBefore w:val="0"/>
        <w:widowControl w:val="0"/>
        <w:kinsoku/>
        <w:wordWrap/>
        <w:overflowPunct/>
        <w:topLinePunct w:val="0"/>
        <w:autoSpaceDE/>
        <w:autoSpaceDN/>
        <w:bidi w:val="0"/>
        <w:adjustRightInd/>
        <w:snapToGrid/>
        <w:jc w:val="left"/>
        <w:textAlignment w:val="auto"/>
        <w:rPr>
          <w:rFonts w:hint="eastAsia" w:ascii="华文仿宋" w:hAnsi="华文仿宋" w:eastAsia="华文仿宋" w:cs="华文仿宋"/>
          <w:sz w:val="30"/>
          <w:szCs w:val="30"/>
          <w:lang w:val="en-US"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decorative"/>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0000600000000000000"/>
    <w:charset w:val="86"/>
    <w:family w:val="auto"/>
    <w:pitch w:val="default"/>
    <w:sig w:usb0="800002BF" w:usb1="184F6CF8" w:usb2="00000012" w:usb3="00000000" w:csb0="00160001" w:csb1="1203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1F1BE">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CDD28">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CD91E7">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00CD91E7">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9706E">
    <w:pPr>
      <w:pStyle w:val="4"/>
    </w:pPr>
    <w:r>
      <w:rPr>
        <w:rFonts w:hint="eastAsia" w:eastAsia="宋体"/>
        <w:lang w:eastAsia="zh-CN"/>
      </w:rPr>
      <w:drawing>
        <wp:anchor distT="0" distB="0" distL="114300" distR="114300" simplePos="0" relativeHeight="251659264" behindDoc="0" locked="0" layoutInCell="1" allowOverlap="1">
          <wp:simplePos x="0" y="0"/>
          <wp:positionH relativeFrom="column">
            <wp:posOffset>-800100</wp:posOffset>
          </wp:positionH>
          <wp:positionV relativeFrom="paragraph">
            <wp:posOffset>-225425</wp:posOffset>
          </wp:positionV>
          <wp:extent cx="1971675" cy="575310"/>
          <wp:effectExtent l="0" t="0" r="0" b="0"/>
          <wp:wrapTopAndBottom/>
          <wp:docPr id="4" name="图片 4" descr="d5f8194bf58c3f65bfdb8fa98540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5f8194bf58c3f65bfdb8fa98540f37"/>
                  <pic:cNvPicPr>
                    <a:picLocks noChangeAspect="1"/>
                  </pic:cNvPicPr>
                </pic:nvPicPr>
                <pic:blipFill>
                  <a:blip r:embed="rId1"/>
                  <a:srcRect l="17385" t="30318" r="19387" b="36175"/>
                  <a:stretch>
                    <a:fillRect/>
                  </a:stretch>
                </pic:blipFill>
                <pic:spPr>
                  <a:xfrm>
                    <a:off x="0" y="0"/>
                    <a:ext cx="1971675" cy="57531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0F216D"/>
    <w:multiLevelType w:val="singleLevel"/>
    <w:tmpl w:val="1A0F216D"/>
    <w:lvl w:ilvl="0" w:tentative="0">
      <w:start w:val="1"/>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zMGQzYjEzYjM5NDI5ODg0NTIwMzRhMWZhZmU2NTgifQ=="/>
  </w:docVars>
  <w:rsids>
    <w:rsidRoot w:val="3C4660B6"/>
    <w:rsid w:val="37845C48"/>
    <w:rsid w:val="3C4660B6"/>
    <w:rsid w:val="5E306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link w:val="10"/>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paragraph" w:customStyle="1" w:styleId="9">
    <w:name w:val="WPSOffice手动目录 1"/>
    <w:qFormat/>
    <w:uiPriority w:val="0"/>
    <w:pPr>
      <w:ind w:leftChars="0"/>
    </w:pPr>
    <w:rPr>
      <w:rFonts w:ascii="Times New Roman" w:hAnsi="Times New Roman" w:eastAsia="宋体" w:cs="Times New Roman"/>
      <w:sz w:val="20"/>
      <w:szCs w:val="20"/>
    </w:rPr>
  </w:style>
  <w:style w:type="character" w:customStyle="1" w:styleId="10">
    <w:name w:val="标题 3 Char"/>
    <w:link w:val="2"/>
    <w:qFormat/>
    <w:uiPriority w:val="0"/>
    <w:rPr>
      <w:b/>
      <w:sz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7697</Words>
  <Characters>7733</Characters>
  <Lines>0</Lines>
  <Paragraphs>0</Paragraphs>
  <TotalTime>2</TotalTime>
  <ScaleCrop>false</ScaleCrop>
  <LinksUpToDate>false</LinksUpToDate>
  <CharactersWithSpaces>7776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2025-11-27T09:02:00Z</dcterms:created>
  <dc:creator></dc:creator>
  <cp:lastModifiedBy>张琦</cp:lastModifiedBy>
  <dcterms:modified xsi:type="dcterms:W3CDTF">2025-12-04T06:10:40Z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F711D1EC3F4F4EAFAD23E5275C20B7CE_13</vt:lpwstr>
  </property>
</Properties>
</file>