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229E3C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2" w:afterAutospacing="0" w:line="480" w:lineRule="auto"/>
        <w:ind w:left="0" w:right="0" w:firstLine="0" w:firstLineChars="0"/>
        <w:jc w:val="center"/>
        <w:textAlignment w:val="auto"/>
        <w:rPr>
          <w:rStyle w:val="8"/>
          <w:rFonts w:hint="eastAsia" w:ascii="方正小标宋简体" w:hAnsi="方正小标宋简体" w:eastAsia="方正小标宋简体" w:cs="方正小标宋简体"/>
          <w:b/>
          <w:bCs/>
          <w:i w:val="0"/>
          <w:iCs w:val="0"/>
          <w:caps w:val="0"/>
          <w:color w:val="333333"/>
          <w:spacing w:val="0"/>
          <w:sz w:val="44"/>
          <w:szCs w:val="44"/>
          <w:shd w:val="clear" w:fill="FFFFFF"/>
          <w:lang w:val="en-US" w:eastAsia="zh-CN"/>
        </w:rPr>
      </w:pPr>
      <w:bookmarkStart w:id="0" w:name="_GoBack"/>
      <w:bookmarkEnd w:id="0"/>
      <w:r>
        <w:rPr>
          <w:rStyle w:val="8"/>
          <w:rFonts w:hint="eastAsia" w:ascii="方正小标宋简体" w:hAnsi="方正小标宋简体" w:eastAsia="方正小标宋简体" w:cs="方正小标宋简体"/>
          <w:b/>
          <w:bCs/>
          <w:i w:val="0"/>
          <w:iCs w:val="0"/>
          <w:caps w:val="0"/>
          <w:color w:val="333333"/>
          <w:spacing w:val="0"/>
          <w:sz w:val="44"/>
          <w:szCs w:val="44"/>
          <w:shd w:val="clear" w:fill="FFFFFF"/>
          <w:lang w:val="en-US" w:eastAsia="zh-CN"/>
        </w:rPr>
        <w:t>政策分析</w:t>
      </w:r>
    </w:p>
    <w:p w14:paraId="3B20F548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2" w:afterAutospacing="0" w:line="480" w:lineRule="auto"/>
        <w:ind w:left="0" w:right="0" w:firstLine="0" w:firstLineChars="0"/>
        <w:jc w:val="center"/>
        <w:textAlignment w:val="auto"/>
        <w:rPr>
          <w:rStyle w:val="8"/>
          <w:rFonts w:hint="eastAsia" w:ascii="方正小标宋简体" w:hAnsi="方正小标宋简体" w:eastAsia="方正小标宋简体" w:cs="方正小标宋简体"/>
          <w:b/>
          <w:bCs/>
          <w:i w:val="0"/>
          <w:iCs w:val="0"/>
          <w:caps w:val="0"/>
          <w:color w:val="333333"/>
          <w:spacing w:val="0"/>
          <w:sz w:val="44"/>
          <w:szCs w:val="44"/>
          <w:shd w:val="clear" w:fill="FFFFFF"/>
          <w:lang w:val="en-US" w:eastAsia="zh-CN"/>
        </w:rPr>
      </w:pPr>
    </w:p>
    <w:p w14:paraId="6AF8C69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2" w:afterAutospacing="0" w:line="480" w:lineRule="auto"/>
        <w:ind w:left="0" w:right="0" w:firstLine="0" w:firstLineChars="0"/>
        <w:jc w:val="center"/>
        <w:textAlignment w:val="auto"/>
        <w:rPr>
          <w:rStyle w:val="8"/>
          <w:rFonts w:hint="eastAsia" w:ascii="方正小标宋简体" w:hAnsi="方正小标宋简体" w:eastAsia="方正小标宋简体" w:cs="方正小标宋简体"/>
          <w:b/>
          <w:bCs/>
          <w:i w:val="0"/>
          <w:iCs w:val="0"/>
          <w:caps w:val="0"/>
          <w:color w:val="333333"/>
          <w:spacing w:val="0"/>
          <w:sz w:val="44"/>
          <w:szCs w:val="44"/>
          <w:shd w:val="clear" w:fill="FFFFFF"/>
          <w:lang w:val="en-US" w:eastAsia="zh-CN"/>
        </w:rPr>
      </w:pPr>
    </w:p>
    <w:p w14:paraId="0133377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2" w:afterAutospacing="0" w:line="480" w:lineRule="auto"/>
        <w:ind w:left="0" w:right="0" w:firstLine="0" w:firstLineChars="0"/>
        <w:jc w:val="center"/>
        <w:textAlignment w:val="auto"/>
        <w:rPr>
          <w:rStyle w:val="8"/>
          <w:rFonts w:hint="eastAsia" w:ascii="方正小标宋简体" w:hAnsi="方正小标宋简体" w:eastAsia="方正小标宋简体" w:cs="方正小标宋简体"/>
          <w:b/>
          <w:bCs/>
          <w:i w:val="0"/>
          <w:iCs w:val="0"/>
          <w:caps w:val="0"/>
          <w:color w:val="333333"/>
          <w:spacing w:val="0"/>
          <w:sz w:val="44"/>
          <w:szCs w:val="44"/>
          <w:shd w:val="clear" w:fill="FFFFFF"/>
          <w:lang w:val="en-US" w:eastAsia="zh-CN"/>
        </w:rPr>
      </w:pPr>
    </w:p>
    <w:p w14:paraId="67164AEE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2" w:afterAutospacing="0" w:line="480" w:lineRule="auto"/>
        <w:ind w:left="0" w:right="0" w:firstLine="0" w:firstLineChars="0"/>
        <w:jc w:val="center"/>
        <w:textAlignment w:val="auto"/>
        <w:rPr>
          <w:rStyle w:val="8"/>
          <w:rFonts w:hint="eastAsia" w:ascii="方正小标宋简体" w:hAnsi="方正小标宋简体" w:eastAsia="方正小标宋简体" w:cs="方正小标宋简体"/>
          <w:b/>
          <w:bCs/>
          <w:i w:val="0"/>
          <w:iCs w:val="0"/>
          <w:caps w:val="0"/>
          <w:color w:val="333333"/>
          <w:spacing w:val="0"/>
          <w:sz w:val="44"/>
          <w:szCs w:val="44"/>
          <w:shd w:val="clear" w:fill="FFFFFF"/>
          <w:lang w:val="en-US" w:eastAsia="zh-CN"/>
        </w:rPr>
      </w:pPr>
    </w:p>
    <w:p w14:paraId="2DAE02C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2" w:afterAutospacing="0" w:line="480" w:lineRule="auto"/>
        <w:ind w:left="0" w:right="0" w:firstLine="0" w:firstLineChars="0"/>
        <w:jc w:val="center"/>
        <w:textAlignment w:val="auto"/>
        <w:rPr>
          <w:rStyle w:val="8"/>
          <w:rFonts w:hint="eastAsia" w:ascii="方正小标宋简体" w:hAnsi="方正小标宋简体" w:eastAsia="方正小标宋简体" w:cs="方正小标宋简体"/>
          <w:b/>
          <w:bCs/>
          <w:i w:val="0"/>
          <w:iCs w:val="0"/>
          <w:caps w:val="0"/>
          <w:color w:val="333333"/>
          <w:spacing w:val="0"/>
          <w:sz w:val="44"/>
          <w:szCs w:val="44"/>
          <w:shd w:val="clear" w:fill="FFFFFF"/>
          <w:lang w:val="en-US" w:eastAsia="zh-CN"/>
        </w:rPr>
      </w:pPr>
    </w:p>
    <w:p w14:paraId="658B153E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2" w:afterAutospacing="0" w:line="480" w:lineRule="auto"/>
        <w:ind w:left="0" w:right="0" w:firstLine="0" w:firstLineChars="0"/>
        <w:jc w:val="center"/>
        <w:textAlignment w:val="auto"/>
        <w:rPr>
          <w:rStyle w:val="8"/>
          <w:rFonts w:hint="eastAsia" w:ascii="方正小标宋简体" w:hAnsi="方正小标宋简体" w:eastAsia="方正小标宋简体" w:cs="方正小标宋简体"/>
          <w:b/>
          <w:bCs/>
          <w:i w:val="0"/>
          <w:iCs w:val="0"/>
          <w:caps w:val="0"/>
          <w:color w:val="333333"/>
          <w:spacing w:val="0"/>
          <w:sz w:val="44"/>
          <w:szCs w:val="44"/>
          <w:shd w:val="clear" w:fill="FFFFFF"/>
          <w:lang w:val="en-US" w:eastAsia="zh-CN"/>
        </w:rPr>
      </w:pPr>
    </w:p>
    <w:p w14:paraId="035029A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2" w:afterAutospacing="0" w:line="480" w:lineRule="auto"/>
        <w:ind w:left="0" w:right="0" w:firstLine="0" w:firstLineChars="0"/>
        <w:jc w:val="center"/>
        <w:textAlignment w:val="auto"/>
        <w:rPr>
          <w:rStyle w:val="8"/>
          <w:rFonts w:hint="eastAsia" w:ascii="方正小标宋简体" w:hAnsi="方正小标宋简体" w:eastAsia="方正小标宋简体" w:cs="方正小标宋简体"/>
          <w:b/>
          <w:bCs/>
          <w:i w:val="0"/>
          <w:iCs w:val="0"/>
          <w:caps w:val="0"/>
          <w:color w:val="333333"/>
          <w:spacing w:val="0"/>
          <w:sz w:val="44"/>
          <w:szCs w:val="44"/>
          <w:shd w:val="clear" w:fill="FFFFFF"/>
          <w:lang w:val="en-US" w:eastAsia="zh-CN"/>
        </w:rPr>
      </w:pPr>
    </w:p>
    <w:p w14:paraId="3ED60C0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2" w:afterAutospacing="0" w:line="480" w:lineRule="auto"/>
        <w:ind w:left="0" w:right="0" w:firstLine="0" w:firstLineChars="0"/>
        <w:jc w:val="center"/>
        <w:textAlignment w:val="auto"/>
        <w:rPr>
          <w:rStyle w:val="8"/>
          <w:rFonts w:hint="eastAsia" w:ascii="方正小标宋简体" w:hAnsi="方正小标宋简体" w:eastAsia="方正小标宋简体" w:cs="方正小标宋简体"/>
          <w:b/>
          <w:bCs/>
          <w:i w:val="0"/>
          <w:iCs w:val="0"/>
          <w:caps w:val="0"/>
          <w:color w:val="333333"/>
          <w:spacing w:val="0"/>
          <w:sz w:val="44"/>
          <w:szCs w:val="44"/>
          <w:shd w:val="clear" w:fill="FFFFFF"/>
          <w:lang w:val="en-US" w:eastAsia="zh-CN"/>
        </w:rPr>
      </w:pPr>
    </w:p>
    <w:p w14:paraId="30C0CA07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2" w:afterAutospacing="0" w:line="480" w:lineRule="auto"/>
        <w:ind w:left="0" w:right="0" w:firstLine="0" w:firstLineChars="0"/>
        <w:jc w:val="center"/>
        <w:textAlignment w:val="auto"/>
        <w:rPr>
          <w:rStyle w:val="8"/>
          <w:rFonts w:hint="default" w:ascii="方正小标宋简体" w:hAnsi="方正小标宋简体" w:eastAsia="方正小标宋简体" w:cs="方正小标宋简体"/>
          <w:b/>
          <w:bCs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en-US" w:eastAsia="zh-CN"/>
        </w:rPr>
      </w:pPr>
      <w:r>
        <w:rPr>
          <w:rStyle w:val="8"/>
          <w:rFonts w:hint="eastAsia" w:ascii="方正小标宋简体" w:hAnsi="方正小标宋简体" w:eastAsia="方正小标宋简体" w:cs="方正小标宋简体"/>
          <w:b/>
          <w:bCs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en-US" w:eastAsia="zh-CN"/>
        </w:rPr>
        <w:t>2026年1月</w:t>
      </w:r>
    </w:p>
    <w:p w14:paraId="598F681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2" w:afterAutospacing="0" w:line="480" w:lineRule="auto"/>
        <w:ind w:left="0" w:right="0" w:firstLine="0" w:firstLineChars="0"/>
        <w:jc w:val="center"/>
        <w:textAlignment w:val="auto"/>
        <w:rPr>
          <w:rStyle w:val="8"/>
          <w:rFonts w:hint="eastAsia" w:ascii="方正小标宋简体" w:hAnsi="方正小标宋简体" w:eastAsia="方正小标宋简体" w:cs="方正小标宋简体"/>
          <w:b/>
          <w:bCs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Style w:val="8"/>
          <w:rFonts w:hint="eastAsia" w:ascii="方正小标宋简体" w:hAnsi="方正小标宋简体" w:eastAsia="方正小标宋简体" w:cs="方正小标宋简体"/>
          <w:b/>
          <w:bCs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en-US" w:eastAsia="zh-CN"/>
        </w:rPr>
        <w:t>项目管理科</w:t>
      </w:r>
    </w:p>
    <w:sdt>
      <w:sdtPr>
        <w:rPr>
          <w:rFonts w:ascii="宋体" w:hAnsi="宋体" w:eastAsia="宋体" w:cstheme="minorBidi"/>
          <w:b/>
          <w:bCs/>
          <w:kern w:val="2"/>
          <w:sz w:val="44"/>
          <w:szCs w:val="44"/>
          <w:lang w:val="en-US" w:eastAsia="zh-CN" w:bidi="ar-SA"/>
        </w:rPr>
        <w:id w:val="147451446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sdtEndPr>
      <w:sdtContent>
        <w:p w14:paraId="11198667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32" w:after="372" w:line="480" w:lineRule="auto"/>
            <w:ind w:left="0" w:leftChars="0" w:right="0" w:rightChars="0" w:firstLine="0" w:firstLineChars="0"/>
            <w:jc w:val="center"/>
            <w:textAlignment w:val="auto"/>
            <w:rPr>
              <w:rFonts w:ascii="宋体" w:hAnsi="宋体" w:eastAsia="宋体"/>
              <w:b/>
              <w:bCs/>
              <w:sz w:val="44"/>
              <w:szCs w:val="44"/>
            </w:rPr>
          </w:pPr>
          <w:r>
            <w:rPr>
              <w:rFonts w:ascii="宋体" w:hAnsi="宋体" w:eastAsia="宋体"/>
              <w:b/>
              <w:bCs/>
              <w:sz w:val="44"/>
              <w:szCs w:val="44"/>
            </w:rPr>
            <w:t>目录</w:t>
          </w:r>
        </w:p>
        <w:p w14:paraId="46A0663E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32" w:after="372" w:line="480" w:lineRule="auto"/>
            <w:ind w:left="0" w:leftChars="0" w:right="0" w:rightChars="0" w:firstLine="0" w:firstLineChars="0"/>
            <w:jc w:val="center"/>
            <w:textAlignment w:val="auto"/>
            <w:rPr>
              <w:rFonts w:ascii="宋体" w:hAnsi="宋体" w:eastAsia="宋体"/>
              <w:b/>
              <w:bCs/>
              <w:sz w:val="44"/>
              <w:szCs w:val="44"/>
            </w:rPr>
          </w:pPr>
        </w:p>
        <w:p w14:paraId="4C9ED9F0">
          <w:pPr>
            <w:pStyle w:val="9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32" w:after="372" w:line="360" w:lineRule="auto"/>
            <w:ind w:firstLine="0" w:firstLineChars="0"/>
            <w:textAlignment w:val="auto"/>
            <w:rPr>
              <w:rFonts w:hint="eastAsia" w:ascii="黑体" w:hAnsi="黑体" w:eastAsia="黑体" w:cs="黑体"/>
              <w:sz w:val="32"/>
              <w:szCs w:val="32"/>
            </w:rPr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</w:rPr>
            <w:instrText xml:space="preserve"> HYPERLINK \l _Toc25162 </w:instrTex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zh-CN"/>
            </w:rPr>
            <w:t>第一部分 以体赋能 绘就青少年健康成长新图景</w:t>
          </w:r>
          <w:r>
            <w:rPr>
              <w:rFonts w:hint="eastAsia" w:ascii="黑体" w:hAnsi="黑体" w:eastAsia="黑体" w:cs="黑体"/>
              <w:sz w:val="32"/>
              <w:szCs w:val="32"/>
            </w:rPr>
            <w:tab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zh-CN"/>
            </w:rPr>
            <w:t>1</w: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end"/>
          </w:r>
        </w:p>
        <w:p w14:paraId="547B2461">
          <w:pPr>
            <w:pStyle w:val="9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32" w:after="372" w:line="480" w:lineRule="auto"/>
            <w:ind w:firstLine="0" w:firstLineChars="0"/>
            <w:textAlignment w:val="auto"/>
            <w:rPr>
              <w:rFonts w:hint="default" w:ascii="黑体" w:hAnsi="黑体" w:eastAsia="黑体" w:cs="黑体"/>
              <w:sz w:val="32"/>
              <w:szCs w:val="32"/>
              <w:lang w:val="en-US" w:eastAsia="zh-CN"/>
            </w:rPr>
          </w:pPr>
          <w:r>
            <w:rPr>
              <w:rFonts w:hint="eastAsia" w:ascii="黑体" w:hAnsi="黑体" w:eastAsia="黑体" w:cs="黑体"/>
              <w:sz w:val="32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</w:rPr>
            <w:instrText xml:space="preserve"> HYPERLINK \l _Toc8378 </w:instrTex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zh-CN"/>
            </w:rPr>
            <w:t>思考分析</w:t>
          </w:r>
          <w:r>
            <w:rPr>
              <w:rFonts w:hint="eastAsia" w:ascii="黑体" w:hAnsi="黑体" w:eastAsia="黑体" w:cs="黑体"/>
              <w:sz w:val="32"/>
              <w:szCs w:val="32"/>
            </w:rPr>
            <w:tab/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zh-CN"/>
            </w:rPr>
            <w:t>7</w:t>
          </w:r>
        </w:p>
        <w:p w14:paraId="1608B470">
          <w:pPr>
            <w:pStyle w:val="9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32" w:after="372" w:line="480" w:lineRule="auto"/>
            <w:ind w:firstLine="0" w:firstLineChars="0"/>
            <w:textAlignment w:val="auto"/>
            <w:rPr>
              <w:rFonts w:hint="eastAsia" w:ascii="黑体" w:hAnsi="黑体" w:eastAsia="黑体" w:cs="黑体"/>
              <w:sz w:val="32"/>
              <w:szCs w:val="32"/>
              <w:lang w:val="en-US" w:eastAsia="zh-CN"/>
            </w:rPr>
          </w:pPr>
          <w:r>
            <w:rPr>
              <w:rFonts w:hint="eastAsia" w:ascii="黑体" w:hAnsi="黑体" w:eastAsia="黑体" w:cs="黑体"/>
              <w:sz w:val="32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</w:rPr>
            <w:instrText xml:space="preserve"> HYPERLINK \l _Toc25162 </w:instrTex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zh-CN"/>
            </w:rPr>
            <w:t>第二部分 构建更加均衡、更加科学、更可持续的竞技体育发展新体系</w:t>
          </w:r>
          <w:r>
            <w:rPr>
              <w:rFonts w:hint="eastAsia" w:ascii="黑体" w:hAnsi="黑体" w:eastAsia="黑体" w:cs="黑体"/>
              <w:sz w:val="32"/>
              <w:szCs w:val="32"/>
            </w:rPr>
            <w:tab/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zh-CN"/>
            </w:rPr>
            <w:t>9</w:t>
          </w:r>
        </w:p>
        <w:p w14:paraId="12DC8A1A">
          <w:pPr>
            <w:pStyle w:val="9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32" w:after="372" w:line="480" w:lineRule="auto"/>
            <w:ind w:firstLine="0" w:firstLineChars="0"/>
            <w:textAlignment w:val="auto"/>
            <w:rPr>
              <w:rFonts w:hint="default" w:ascii="黑体" w:hAnsi="黑体" w:eastAsia="黑体" w:cs="黑体"/>
              <w:sz w:val="32"/>
              <w:szCs w:val="32"/>
              <w:lang w:val="en-US" w:eastAsia="zh-CN"/>
            </w:rPr>
          </w:pPr>
          <w:r>
            <w:rPr>
              <w:rFonts w:hint="eastAsia" w:ascii="黑体" w:hAnsi="黑体" w:eastAsia="黑体" w:cs="黑体"/>
              <w:sz w:val="32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</w:rPr>
            <w:instrText xml:space="preserve"> HYPERLINK \l _Toc17425 </w:instrTex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caps w:val="0"/>
              <w:spacing w:val="0"/>
              <w:sz w:val="32"/>
              <w:szCs w:val="32"/>
              <w:shd w:val="clear" w:fill="FFFFFF"/>
              <w:lang w:val="en-US" w:eastAsia="zh-CN"/>
            </w:rPr>
            <w:t>思考分析</w:t>
          </w:r>
          <w:r>
            <w:rPr>
              <w:rFonts w:hint="eastAsia" w:ascii="黑体" w:hAnsi="黑体" w:eastAsia="黑体" w:cs="黑体"/>
              <w:sz w:val="32"/>
              <w:szCs w:val="32"/>
            </w:rPr>
            <w:tab/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zh-CN"/>
            </w:rPr>
            <w:t>13</w:t>
          </w:r>
        </w:p>
        <w:p w14:paraId="13992AFC">
          <w:pPr>
            <w:pStyle w:val="9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32" w:after="372" w:line="480" w:lineRule="auto"/>
            <w:ind w:firstLine="0" w:firstLineChars="0"/>
            <w:textAlignment w:val="auto"/>
            <w:rPr>
              <w:rFonts w:hint="eastAsia" w:ascii="黑体" w:hAnsi="黑体" w:eastAsia="黑体" w:cs="黑体"/>
              <w:sz w:val="32"/>
              <w:szCs w:val="32"/>
              <w:lang w:val="en-US" w:eastAsia="zh-CN"/>
            </w:rPr>
          </w:pPr>
        </w:p>
        <w:p w14:paraId="36F4910B">
          <w:pPr>
            <w:pStyle w:val="9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32" w:after="372" w:line="480" w:lineRule="auto"/>
            <w:ind w:firstLine="0" w:firstLineChars="0"/>
            <w:textAlignment w:val="auto"/>
            <w:rPr>
              <w:rFonts w:hint="eastAsia" w:ascii="黑体" w:hAnsi="黑体" w:eastAsia="黑体" w:cs="黑体"/>
              <w:sz w:val="32"/>
              <w:szCs w:val="32"/>
              <w:lang w:val="en-US" w:eastAsia="zh-CN"/>
            </w:rPr>
          </w:pPr>
        </w:p>
        <w:p w14:paraId="19E92ED2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ind w:firstLine="0" w:firstLineChars="0"/>
            <w:textAlignment w:val="auto"/>
            <w:rPr>
              <w:rStyle w:val="10"/>
              <w:rFonts w:hint="eastAsia" w:ascii="方正小标宋简体" w:hAnsi="方正小标宋简体" w:eastAsia="方正小标宋简体" w:cs="方正小标宋简体"/>
              <w:sz w:val="44"/>
              <w:szCs w:val="44"/>
            </w:rPr>
            <w:sectPr>
              <w:footerReference r:id="rId4" w:type="default"/>
              <w:pgSz w:w="11906" w:h="16838"/>
              <w:pgMar w:top="1440" w:right="1800" w:bottom="1440" w:left="1800" w:header="851" w:footer="992" w:gutter="0"/>
              <w:pgNumType w:start="1"/>
              <w:cols w:space="425" w:num="1"/>
              <w:docGrid w:type="lines" w:linePitch="312" w:charSpace="0"/>
            </w:sectPr>
          </w:pPr>
          <w:r>
            <w:fldChar w:fldCharType="end"/>
          </w:r>
        </w:p>
      </w:sdtContent>
    </w:sdt>
    <w:p w14:paraId="4855F7EE">
      <w:pPr>
        <w:jc w:val="center"/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auto"/>
          <w:spacing w:val="0"/>
          <w:sz w:val="44"/>
          <w:szCs w:val="44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auto"/>
          <w:spacing w:val="0"/>
          <w:sz w:val="44"/>
          <w:szCs w:val="44"/>
          <w:shd w:val="clear" w:fill="FFFFFF"/>
        </w:rPr>
        <w:t>以体赋能 绘就青少年健康成长新图景</w:t>
      </w:r>
    </w:p>
    <w:p w14:paraId="6B2D4F80">
      <w:pPr>
        <w:jc w:val="right"/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</w:pPr>
    </w:p>
    <w:p w14:paraId="24D211B1">
      <w:pPr>
        <w:jc w:val="right"/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  <w:t>2026-01-04 10:42</w:t>
      </w:r>
    </w:p>
    <w:p w14:paraId="3527AB4D">
      <w:pPr>
        <w:jc w:val="right"/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  <w:t>中国体育报</w:t>
      </w:r>
    </w:p>
    <w:p w14:paraId="22BEE3BD">
      <w:pP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  <w:t>　　</w:t>
      </w:r>
    </w:p>
    <w:p w14:paraId="487B466C">
      <w:pPr>
        <w:ind w:firstLine="600" w:firstLineChars="200"/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  <w:t>青少年的身心健康状况不仅关系个人成长、家庭幸福，更关乎国家和民族未来。2025年，作为“十四五”规划收官之年，全国青少年体育工作深入贯彻党的二十大报告“加强青少年体育工作”重要部署，紧扣2025年全国两会政府工作报告“加强青少年科学健身普及和健康干预，让年轻一代在运动中强意志、健身心”的要求，以提升青少年体质健康为核心，深化体教融合、促进科学健身普及、加强后备人才培养，各项工作多点突破、纵深推进，为体育强国建设筑牢青春根基。</w:t>
      </w:r>
    </w:p>
    <w:p w14:paraId="5DEAE537">
      <w:pPr>
        <w:ind w:firstLine="600" w:firstLineChars="200"/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</w:pPr>
    </w:p>
    <w:p w14:paraId="3BA4C347">
      <w:pP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  <w:t>　</w:t>
      </w:r>
      <w:r>
        <w:rPr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  <w:t>　聚焦科学干预构建健康护航立体体系。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  <w:t>针对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u w:val="single"/>
          <w:shd w:val="clear" w:fill="FFFFFF"/>
        </w:rPr>
        <w:t>青少年近视高发、肥胖率上升、脊柱侧弯突出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  <w:t>等社会关切，体育总局以“试点攻坚+科普赋能+品牌引领”为抓手，构建全方位、科学化的健康干预体系，让科学健身理念深入人心，推动青少年体质健康水平稳步提升。</w:t>
      </w:r>
    </w:p>
    <w:p w14:paraId="61DDCA22">
      <w:pP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  <w:t>　　秉持“抓试点、树标杆、推全国”工作方法，2025年体育总局青少司遴选安徽宿州、山东日照、湖南岳阳、重庆万盛等两批共9个地区开展体育促进青少年身心健康试点。各试点结合地域实际，整合体育、教育、医疗资源，形成可复制推广的经验做法：安徽宿州将试点纳入民生实事，建立“监测―评估―反馈―干预―保障”闭环体系；山东日照全年为18万名青少年开展脊柱健康筛查，实施针对性运动干预；湖南岳阳建立体测优良率相关监测机制，形成“周周有活动、月月有赛事”的浓厚氛围；重庆万盛推行“无作业运动日”“家庭体育工程”，通过流程化管理保障试点落地。各试点地区通过特色体育课程、专项健身活动、健康监测档案等举措，有效提升健康管理科学性，青少年身体素质明显提高，心理问题发生率持续下降。</w:t>
      </w:r>
    </w:p>
    <w:p w14:paraId="44491589">
      <w:pP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</w:pPr>
    </w:p>
    <w:p w14:paraId="4B4692B1">
      <w:pP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  <w:t>　　这一年，“儿童青少年科学健身20条”的影响力持续放大，体育总局录制36场青少年科学健身指导普及专家科普直播活动，邀请运动医学、体能训练等领域专家，聚焦科学减脂、近视防控、体姿改善、心理健康四大主题，累计受众超1200万人次，相关视频全网点击量突破1.2亿次；“运动有约 燃动少年”知识竞赛创新“知识+体能”模式，以答题闯关、案例分析等趣味形式，让青少年在互动中掌握科学健身知识，仅线上预选赛就吸引了全国数千所学校参与。</w:t>
      </w:r>
    </w:p>
    <w:p w14:paraId="2BDD43C5">
      <w:pPr>
        <w:ind w:firstLine="600"/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u w:val="single"/>
          <w:shd w:val="clear" w:fill="FFFFFF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  <w:t>“奔跑吧·少年”品牌持续升级，成为推动青少年体育普及的核心载体。2025年成功举办全国青少年阳光体育大会，立项第一届全国青少年冬季阳光体育大会，构建起冬夏两季活动体系；“六一”儿童节期间，广东、四川、湖南、新疆四地同步开展示范活动，各地也结合地域特色推出全年性主题活动，形成覆盖城乡、贯穿四季的活动格局。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u w:val="single"/>
          <w:shd w:val="clear" w:fill="FFFFFF"/>
        </w:rPr>
        <w:t>从城市校园到乡镇学校，从传统体育项目到科技赋能新体验，活动引导更多青少年养成终身受益的运动习惯，有效破解“小胖墩”“小眼镜”等突出问题。</w:t>
      </w:r>
    </w:p>
    <w:p w14:paraId="475F96EE">
      <w:pPr>
        <w:ind w:firstLine="600"/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</w:pPr>
    </w:p>
    <w:p w14:paraId="4F3473D7">
      <w:pP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  <w:t>　</w:t>
      </w:r>
      <w:r>
        <w:rPr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  <w:t>　深化体教融合筑牢体质提升制度根基。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  <w:t>体教融合是破解青少年体育发展瓶颈、提升体质健康水平的关键举措。2025年，体育总局联合教育部等多部门打破壁垒、协同发力，从政策衔接、赛事融合、资源共享等多方面构建协同育人体系，让体育教育全面融入青少年成长全过程。</w:t>
      </w:r>
    </w:p>
    <w:p w14:paraId="2B32A78F">
      <w:pPr>
        <w:ind w:firstLine="600"/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u w:val="single"/>
          <w:shd w:val="clear" w:fill="FFFFFF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  <w:t>2025年，体育总局将体教融合作为核心工作主线，联合多部门完善政策体系。11月，《关于实施学生体质强健计划的意见》《青少年科学健身普及和运动干预三年行动计划(2026―2028年)》先后发布，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u w:val="single"/>
          <w:shd w:val="clear" w:fill="FFFFFF"/>
        </w:rPr>
        <w:t>前者从深化体育教学改革、健全训练竞赛与人才培养体系、壮大体育骨干力量等8个方面提出20条举措，明确“到2027年中小学生每天综合体育活动时间不少于2小时”的刚性要求，构建起“全方位、全链条”的体质健康促进框架；后者紧密结合现实并回应社会关切，构建了跨部门协同的国家行动框架，助力青少年从“盲目练”到“科学练”的范式转变，旨在通过加强青少年科学健身普及和运动干预，发挥体育锻炼增强青少年体质的功能，提升儿童和青少年的健康素质。</w:t>
      </w:r>
    </w:p>
    <w:p w14:paraId="4817992C">
      <w:pPr>
        <w:ind w:firstLine="600"/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</w:pPr>
    </w:p>
    <w:p w14:paraId="6ACB0992">
      <w:pP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  <w:t>　　为确保政策落地，体育总局青少司建立“中央统筹、地方落实、专家支撑、动态评估”工作机制，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u w:val="single"/>
          <w:shd w:val="clear" w:fill="FFFFFF"/>
        </w:rPr>
        <w:t>将体质健康合格率、优良率纳入地方体育工作考核。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  <w:t>各地也积极响应，出台地方细则，形成上下联动、齐抓共管的工作格局。</w:t>
      </w:r>
    </w:p>
    <w:p w14:paraId="334DAED0">
      <w:pP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</w:pPr>
    </w:p>
    <w:p w14:paraId="534DEB9D">
      <w:pP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u w:val="single"/>
          <w:shd w:val="clear" w:fill="FFFFFF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  <w:t>　　这一年的青少年体育工作以赛事为纽带贯通校内外赛事资源，构建起“班级赛―校级赛―区域赛―全国赛”的四级竞赛体系。十五运会“三大球”U18组别比赛与全国青少年三大球运动会合并举办，一批来自普通中学的选手脱颖而出，部分闯入全运会决赛阶段，成为体教融合的生动写照。作为足球改革核心载体，中国青少年足球赛事首次发布统一赛历，打破体校、学校、俱乐部参赛壁垒，形成“地方预选赛―大区赛―全国总决赛”金字塔体系。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u w:val="single"/>
          <w:shd w:val="clear" w:fill="FFFFFF"/>
        </w:rPr>
        <w:t>各地中小学普遍落实“每年举办两次校级综合性运动会”要求，再加上校园足球联赛、青少年体育节、学生篮球嘉年华、校园武术节、冰雪运动会等特色赛事，让每个青少年都能找到专属的运动舞台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u w:val="single"/>
          <w:shd w:val="clear" w:fill="FFFFFF"/>
          <w:lang w:eastAsia="zh-CN"/>
        </w:rPr>
        <w:t>。</w:t>
      </w:r>
    </w:p>
    <w:p w14:paraId="514EACC9">
      <w:pP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  <w:t>　　全国多地推进学校体育场地向社会开放、专业体校资源向普通学校延伸，实现“校校有场地、生生有项目”的布局。同时，体育支教志愿服务提质扩面，体育总局全年组织48所高校近2000名体育专业大学生，赴12个省区市开展体育支教志愿服务。各地支教志愿者因地制宜创新教学教法，如四川民族学院的志愿者开展“毽球进课堂”，西北民族大学的志愿者设计啦啦操、健美操课程等，受到当地孩子的喜爱与欢迎；实践过程中还积极发挥优秀运动员示范引领作用，组织奥运冠军、知名运动员走进乡村、走进学校、走近青少年，弘扬中华体育精神。</w:t>
      </w:r>
    </w:p>
    <w:p w14:paraId="458103A7">
      <w:pP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</w:pPr>
    </w:p>
    <w:p w14:paraId="0351907A">
      <w:pPr>
        <w:ind w:firstLine="600"/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</w:pPr>
      <w:r>
        <w:rPr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  <w:t>优化青训体系夯实体育强国人才根基。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  <w:t>在提升青少年体质健康的基础上，体育总局聚焦竞技体育后备人才“巩固基本盘、强力补短板”，以“633”发展战略为引领，完善培养体系、优化赛事供给、强化队伍建设，为体育强国建设筑牢人才根基。</w:t>
      </w:r>
    </w:p>
    <w:p w14:paraId="3A640F3B">
      <w:pPr>
        <w:ind w:firstLine="600"/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  <w:t>这一年，以射击、举重、体操、跳水、乒乓球、羽毛球六个优势项目，田径、游泳、水上三个基础大项，“三大球”为核心的“633”战略向纵深发展。首届全国青少年田径运动会成功举办，为基础大项人才培养搭建重要平台，全面检阅了我国田径项目人才储备情况，创造了一批优异成绩；同时，国家、省、市三方共建奥运后备人才梯队初现成效，共建单位在选材、青训、竞赛、文化教育等关键环节取得阶段性成果，推动了人才培养模式的改革创新，带动了更多地方政府重视体育后备人才培养工作。</w:t>
      </w:r>
    </w:p>
    <w:p w14:paraId="5C5994CF">
      <w:pPr>
        <w:ind w:firstLine="600"/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</w:pPr>
    </w:p>
    <w:p w14:paraId="1C3917AB">
      <w:pPr>
        <w:ind w:firstLine="600"/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  <w:t>修订体校管理办法，持续改善基层体校办学条件，夯实人才培养核心阵地。在足球领域，“体校强足”工程深入实施，遴选127所足球重点体校开展队伍整建制培养；国家足球青训中心建设加快推进，五级足球青训中心体系逐步构建，为足球人才成长搭建全周期培养框架。同时，人才队伍建设也在持续加强，全年举办“精英双百计划”青训教练员培训，有效提升基层教练专业能力和办学管理水平。</w:t>
      </w:r>
    </w:p>
    <w:p w14:paraId="45197A94">
      <w:pPr>
        <w:ind w:firstLine="600"/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</w:pPr>
    </w:p>
    <w:p w14:paraId="0ACDB6A8">
      <w:pP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  <w:t>　　这一年，青少年体育工作深化国际文明互鉴，成功举办第33届中日韩青少年运动会，积极参与第四届中俄冬季青少年运动会、第一届中日韩冬季青少年运动会、第三届亚洲青年运动会、第十八届中韩青少年体育交流活动，青少年运动员在竞技中切磋技能、锤炼本领，在文化交流中生动传播中国故事，展现新时代中国青少年的良好精神风貌。跨区域交流同样深化，粤港澳大湾区青少年体育节、长三角校园体育联赛等活动让不同地区青少年以体会友，体育成为促进区域融合、铸牢中华民族共同体意识的重要纽带。</w:t>
      </w:r>
    </w:p>
    <w:p w14:paraId="59BEF786">
      <w:pP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</w:pPr>
    </w:p>
    <w:p w14:paraId="78C41A81">
      <w:pPr>
        <w:ind w:firstLine="600"/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u w:val="single"/>
          <w:shd w:val="clear" w:fill="FFFFFF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  <w:t>站在“十四五”收官与“十五五”谋划的历史交汇点，2025年全国青少年体育工作交出亮眼答卷：青少年体质健康水平持续向好，“小胖墩”“小眼镜”发生率持续下降，青少年体育参与率稳步提升，体教融合机制更趋健全，青训体系不断完善。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u w:val="single"/>
          <w:shd w:val="clear" w:fill="FFFFFF"/>
        </w:rPr>
        <w:t>下一步，全国青少年体育工作将持续聚焦青少年体质健康，深化体教融合与改革创新，优化资源供给，让体育真正成为青少年健康成长的“必需品”，为培养全面发展的社会主义建设者和接班人、加快建设体育强国作出新的更大贡献。</w:t>
      </w:r>
    </w:p>
    <w:p w14:paraId="57567809">
      <w:pPr>
        <w:ind w:firstLine="600"/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</w:pPr>
    </w:p>
    <w:p w14:paraId="689E5061">
      <w:pPr>
        <w:ind w:firstLine="600"/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</w:pPr>
    </w:p>
    <w:p w14:paraId="21314320">
      <w:pPr>
        <w:ind w:firstLine="600"/>
        <w:rPr>
          <w:rFonts w:hint="default" w:ascii="华文仿宋" w:hAnsi="华文仿宋" w:eastAsia="华文仿宋" w:cs="华文仿宋"/>
          <w:b/>
          <w:bCs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根据上文</w:t>
      </w:r>
      <w:r>
        <w:rPr>
          <w:rFonts w:hint="default" w:ascii="华文仿宋" w:hAnsi="华文仿宋" w:eastAsia="华文仿宋" w:cs="华文仿宋"/>
          <w:b/>
          <w:bCs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梳理我司学习落地方向如下：</w:t>
      </w:r>
    </w:p>
    <w:p w14:paraId="04282A52">
      <w:pPr>
        <w:ind w:firstLine="600"/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</w:p>
    <w:p w14:paraId="6EA5B690">
      <w:pPr>
        <w:numPr>
          <w:ilvl w:val="0"/>
          <w:numId w:val="1"/>
        </w:numPr>
        <w:ind w:firstLine="600"/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default" w:ascii="华文仿宋" w:hAnsi="华文仿宋" w:eastAsia="华文仿宋" w:cs="华文仿宋"/>
          <w:b/>
          <w:bCs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聚焦体质干预，开发针对性专项课程</w:t>
      </w:r>
      <w:r>
        <w:rPr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。</w:t>
      </w: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资讯强调要破解青少年“小胖墩”“小眼镜”“脊柱侧弯”等问题，构建“监测—干预—保障”闭环体系。我司可结合现有训练业务，推出轻量化体质干预课程，无需复杂设备，贴合日常教学场景：针对青少年常见体质问题，在常规课程中嵌入专项干预模块——加入“脊柱矫正操”（课前5分钟）、设计“敏捷性跑跳训练”（改善肥胖、提升体能）、强化“眼部放松训练”（每节课间隙1分钟，预防近视）。</w:t>
      </w:r>
    </w:p>
    <w:p w14:paraId="47A8531E">
      <w:pPr>
        <w:numPr>
          <w:ilvl w:val="0"/>
          <w:numId w:val="0"/>
        </w:numPr>
        <w:rPr>
          <w:rFonts w:hint="default" w:ascii="华文仿宋" w:hAnsi="华文仿宋" w:eastAsia="华文仿宋" w:cs="华文仿宋"/>
          <w:b/>
          <w:bCs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</w:p>
    <w:p w14:paraId="55BB3F33">
      <w:pPr>
        <w:ind w:firstLine="600"/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default" w:ascii="华文仿宋" w:hAnsi="华文仿宋" w:eastAsia="华文仿宋" w:cs="华文仿宋"/>
          <w:b/>
          <w:bCs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2深化校社联动，拓展体教融合落地场景</w:t>
      </w:r>
      <w:r>
        <w:rPr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。</w:t>
      </w: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资讯提及“推进学校体育场地向社会开放、专业资源向普通学校延伸”，我司可搭建“校园课后+社区青训”联动模式，低门槛落地体教融合：</w:t>
      </w:r>
    </w:p>
    <w:p w14:paraId="6EF8FD2C">
      <w:pP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与合作学校约定“周末场地共享”，开放学校球场供我司社区青训学员使用；同时为学校校队提供“周末特训课”（每2次），由我司教练指导战术配合、技能提升，既助力学校体育发展，又为自身青训引流，实现资源互补。</w:t>
      </w:r>
    </w:p>
    <w:p w14:paraId="4305CD7A">
      <w:pP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</w:p>
    <w:p w14:paraId="51A3C75F">
      <w:pPr>
        <w:numPr>
          <w:ilvl w:val="0"/>
          <w:numId w:val="0"/>
        </w:numPr>
        <w:ind w:firstLine="601" w:firstLineChars="200"/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3.</w:t>
      </w:r>
      <w:r>
        <w:rPr>
          <w:rFonts w:hint="default" w:ascii="华文仿宋" w:hAnsi="华文仿宋" w:eastAsia="华文仿宋" w:cs="华文仿宋"/>
          <w:b/>
          <w:bCs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优化青少年赛事体系，强化教育属性</w:t>
      </w:r>
      <w:r>
        <w:rPr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。</w:t>
      </w: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资讯倡导构建 “班级赛—校级赛—区域赛”赛事体系，突出赛事的普惠性与教育意义。我司可优化现有青少年赛事，弱化竞技对抗，强化成长激励，贴合青少年成长需求：针对不同年龄段学员，设计低门槛赛事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，</w:t>
      </w: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简化规则，不设淘汰制，参与即获纪念奖，增设“最佳进步奖”“团队协作奖”，而非仅表彰名次，传递“重在参与、勇于突破”的理念。每场次赛事前开设 1-2 节“备战短训课”，教练针对性讲解赛事规则、基础战术，让学员带着训练成果参赛；赛后开展10分钟复盘，指出不足，形成“训—赛—复盘”的轻量化闭环。</w:t>
      </w:r>
    </w:p>
    <w:p w14:paraId="28BA35BC">
      <w:pPr>
        <w:numPr>
          <w:ilvl w:val="0"/>
          <w:numId w:val="0"/>
        </w:numPr>
        <w:ind w:left="600" w:leftChars="0"/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</w:p>
    <w:p w14:paraId="594EA66D">
      <w:pPr>
        <w:numPr>
          <w:ilvl w:val="0"/>
          <w:numId w:val="2"/>
        </w:numPr>
        <w:ind w:firstLine="600"/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default" w:ascii="华文仿宋" w:hAnsi="华文仿宋" w:eastAsia="华文仿宋" w:cs="华文仿宋"/>
          <w:b/>
          <w:bCs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搭建家校协同平台，推动家庭健身联动</w:t>
      </w:r>
      <w:r>
        <w:rPr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。</w:t>
      </w: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资讯提及重庆万盛推行“无作业运动日”“家庭体育工程”，强调家庭在青少年体育中的重要作用。我司可设计简单易操作的家校联动活动，调动家长参与积极性，贴近家庭生活场景：推出“亲子运动挑战”，围绕篮球、足球、乒乓球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等运动</w:t>
      </w: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设计低成本任务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，</w:t>
      </w: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上传亲子运动照片/短视频至小程序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或社群</w:t>
      </w: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打卡，累计打卡可兑换课时优惠券，既增进亲子互动，又强化学员训练习惯。针对家长群体，开设免费“家长陪练课堂”线上直播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形式</w:t>
      </w: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，内容聚焦“青少年运动安全防护”“简单陪练技巧”，让家长成为孩子运动的“助力者”，而非旁观者。</w:t>
      </w:r>
    </w:p>
    <w:p w14:paraId="7E8D794E">
      <w:pPr>
        <w:numPr>
          <w:ilvl w:val="0"/>
          <w:numId w:val="0"/>
        </w:numP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</w:p>
    <w:p w14:paraId="227DE0A5">
      <w:pPr>
        <w:ind w:firstLine="600"/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</w:p>
    <w:p w14:paraId="6CA1229D">
      <w:pPr>
        <w:ind w:firstLine="600"/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</w:p>
    <w:p w14:paraId="33169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auto"/>
          <w:spacing w:val="0"/>
          <w:sz w:val="44"/>
          <w:szCs w:val="44"/>
          <w:shd w:val="clear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auto"/>
          <w:spacing w:val="0"/>
          <w:sz w:val="44"/>
          <w:szCs w:val="44"/>
          <w:shd w:val="clear" w:fill="FFFFFF"/>
          <w:lang w:val="en-US" w:eastAsia="zh-CN"/>
        </w:rPr>
        <w:t>构建更加均衡、更加科学、更可持续的竞技体育发展新体系</w:t>
      </w:r>
    </w:p>
    <w:p w14:paraId="74D3FD7F">
      <w:pPr>
        <w:ind w:firstLine="600"/>
        <w:jc w:val="right"/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</w:p>
    <w:p w14:paraId="22EFDA82">
      <w:pPr>
        <w:ind w:firstLine="600"/>
        <w:jc w:val="right"/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2026-01-27 10:13</w:t>
      </w:r>
    </w:p>
    <w:p w14:paraId="71471850">
      <w:pPr>
        <w:ind w:firstLine="600"/>
        <w:jc w:val="right"/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中国体育报</w:t>
      </w:r>
    </w:p>
    <w:p w14:paraId="054DD627">
      <w:pPr>
        <w:ind w:firstLine="600"/>
        <w:jc w:val="right"/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</w:p>
    <w:p w14:paraId="62AF9E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　　项目布局与后备人才是体育事业发展的重要载体，也是建设体育强国的基础工程。2025年全国体育局长会议提出“竞技体育发展布局不协调、后备人才储备不足”等结构性问题，为深化竞技体育改革指明了方向。“十五五”时期要坚持问题导向，以优化结构为重点，以人才强体为支撑，打造运动项目均衡发展新格局和优秀人才培养新体系，推动竞技体育实现更高质量、更有效率、更可持续发展。</w:t>
      </w:r>
    </w:p>
    <w:p w14:paraId="3B0DD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</w:p>
    <w:p w14:paraId="768C0B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　</w:t>
      </w:r>
      <w:r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　一、竞技体育发展布局与后备人才培养存在的问题</w:t>
      </w:r>
    </w:p>
    <w:p w14:paraId="1BE0E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</w:p>
    <w:p w14:paraId="4E263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从发展布局看，</w:t>
      </w: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u w:val="single"/>
          <w:shd w:val="clear" w:fill="FFFFFF"/>
          <w:lang w:val="en-US" w:eastAsia="zh-CN"/>
        </w:rPr>
        <w:t>我国竞技体育存在发展规模、结构、效益不协调问题，运动项目整体布局不平衡、核心竞争力不强。</w:t>
      </w: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一方面，运动项目发展不协调。长期以来，我国主要集中发展技术难度要求高、社会普及率低、国际影响力不高的小众项目，例如1984年至2024年夏季奥运会，我国共获303枚金牌，其中跳水、举重、体操、射击、乒乓球、羽毛球等六大优势项目获223枚金牌，占总数的73.6%。</w:t>
      </w: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u w:val="single"/>
          <w:shd w:val="clear" w:fill="FFFFFF"/>
          <w:lang w:val="en-US" w:eastAsia="zh-CN"/>
        </w:rPr>
        <w:t>田径、游泳等基础项目、“三大球”等集体球类项目，以及体能类项目发展滞后，存在夏季与冬季项目、男子与女子项目、传统优势项目与奥运新兴项目、三大球和基础大项之间发展不协调问题</w:t>
      </w: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。另一方面，区域资源配置不平衡。竞技体育区域分布呈东强西弱、南北分化、城强乡弱的显著差异，高水平训练基地、优秀运动员与教练员等优势资源主要集中在东部地区。例如山东、广东、江苏、浙江、上海等东部沿海省份，凭借其经济基础和人才储备厚度，在奥运会、全运会等国内外重大赛事持续占据奖牌主导地位。并且，我国运动项目协会改革不协调、职业化进程不均衡，田径、举重、拳击、射箭、体操、柔道、摔跤等项目市场发育相对不成熟、实体化进程缓慢。</w:t>
      </w:r>
    </w:p>
    <w:p w14:paraId="75D6E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</w:p>
    <w:p w14:paraId="6EF79D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　　从人才培养看，我国各项目人才结构不平衡、成才率不高、优秀后备人才短缺，多层次、多途径人才培养模式不健全。一方面，后备人才储备不足、梯队建设断层。随着人口红利不断消减，体育后备人才面临培养模式转型问题。一直以来，我国优势项目如乒乓球、跳水、举重、射击、体操等后备人才多出自体校系统，但当前体校多存在招生困难、“</w:t>
      </w: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u w:val="single"/>
          <w:shd w:val="clear" w:fill="FFFFFF"/>
          <w:lang w:val="en-US" w:eastAsia="zh-CN"/>
        </w:rPr>
        <w:t>学训矛盾”突出、规模不断萎缩等问题，影响了各项目人才培养的广度和厚度，制约了国家队新老交替与项目竞争力的持续提升。</w:t>
      </w: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另一方面，</w:t>
      </w: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u w:val="single"/>
          <w:shd w:val="clear" w:fill="FFFFFF"/>
          <w:lang w:val="en-US" w:eastAsia="zh-CN"/>
        </w:rPr>
        <w:t>多元培养模式不成熟、输送体系不健全。随着体育改革逐步深入，体育后备人才不断从政府单一主导向“学校、俱乐部、协会、家庭”等多元协同培养模式转型。</w:t>
      </w: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然而，不同系统的体育人才培养机制缺乏有效衔接，多元主体之间的职责边界、资源共建、注册互认、组队参赛与权益保障等关键环节未有效打通，“小学—初中—高中—大学—职业体育”一体化体育后备人才培养输送体系还未形成。</w:t>
      </w:r>
    </w:p>
    <w:p w14:paraId="4B0FA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</w:p>
    <w:p w14:paraId="1CC1C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　</w:t>
      </w:r>
      <w:r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　二、优化竞技体育发展布局与后备人才培养的建议</w:t>
      </w:r>
    </w:p>
    <w:p w14:paraId="39B39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</w:p>
    <w:p w14:paraId="547A21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　</w:t>
      </w:r>
      <w:r>
        <w:rPr>
          <w:rFonts w:hint="default" w:ascii="华文仿宋" w:hAnsi="华文仿宋" w:eastAsia="华文仿宋" w:cs="华文仿宋"/>
          <w:b/>
          <w:bCs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　一是统筹优化运动项目结构。</w:t>
      </w: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分类实施运动项目提升计划，制定运动项目分级分类管理标准和配套方案，从突出重点向全面求强战略转型，从突出优势项目向形成集团优势转变。锚定“633”战略，巩固跳水、举重、体操、射击、乒乓球、羽毛球等六大项目优势地位，强化田径、游泳、水上基础大项竞技实力，加快培育自行车、击剑等潜优势项目，</w:t>
      </w: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u w:val="single"/>
          <w:shd w:val="clear" w:fill="FFFFFF"/>
          <w:lang w:val="en-US" w:eastAsia="zh-CN"/>
        </w:rPr>
        <w:t>全力提升足球、篮球、排球等集体球类项目竞争力，加快补齐潜优势项目和落后项目短板</w:t>
      </w: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。推动夏季与冬季项目、男子与女子项目、职业体育与专业体育均衡发展，最终建立各项目分布合理、均衡协调新格局。</w:t>
      </w:r>
    </w:p>
    <w:p w14:paraId="06BEF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</w:p>
    <w:p w14:paraId="7313F2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default" w:ascii="华文仿宋" w:hAnsi="华文仿宋" w:eastAsia="华文仿宋" w:cs="华文仿宋"/>
          <w:b/>
          <w:bCs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　　二是构建“省强国盛”发展新格局。</w:t>
      </w: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依托国家区域协调发展战略，统筹谋划竞技体育区域布局，推动全国一盘棋联动发力。一方面，共建共享优质资源。通过政策倾斜引导区域间竞技体育协调发展，</w:t>
      </w: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u w:val="single"/>
          <w:shd w:val="clear" w:fill="FFFFFF"/>
          <w:lang w:val="en-US" w:eastAsia="zh-CN"/>
        </w:rPr>
        <w:t>支持跨区域共建高水平训练基地与科医保障体系，推动训练设施、科研平台、运动康复等资源共享，把“强省强项”优势转化为可复制、可扩散的协同能力。</w:t>
      </w: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另一方面，提升整体竞争力。更加注重竞技体育的整体发展质量和综合效益，鼓励跨省市区县联合组队、联合训练、联合保障与交流互学，形成优势互补、共建共赢的区域优势项目发展共同体，推动竞技体育在更高水平上协调发展。</w:t>
      </w:r>
    </w:p>
    <w:p w14:paraId="369E1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</w:p>
    <w:p w14:paraId="6D1CB3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default" w:ascii="华文仿宋" w:hAnsi="华文仿宋" w:eastAsia="华文仿宋" w:cs="华文仿宋"/>
          <w:b/>
          <w:bCs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　　三是完善体育后备人才多元培养体系。</w:t>
      </w: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调</w:t>
      </w: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u w:val="single"/>
          <w:shd w:val="clear" w:fill="FFFFFF"/>
          <w:lang w:val="en-US" w:eastAsia="zh-CN"/>
        </w:rPr>
        <w:t>动地方、协会、俱乐部、家庭等参与后备人才培养，支持体校、专业队、职业俱乐部与大中小学共建人才梯队，实现体育后备人才家庭化、校园化、专业化、职业化多元培养。强化体校培养后备人才的主阵地作用，引导体教融合下新型体校多元化发展，探索“体校+学校”“体校+俱乐部”“学校+俱乐部”“体育训练中心+学校”等后备人才培养模式，</w:t>
      </w: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建立贯通小学—初中—高中—大学—职业体育“一条龙”体育人才培养体系，推进中专体校和本科体育院校“3+4”一贯式培养，畅通后备人才升学渠道。</w:t>
      </w:r>
    </w:p>
    <w:p w14:paraId="7AA74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</w:p>
    <w:p w14:paraId="228789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1" w:firstLineChars="200"/>
        <w:textAlignment w:val="auto"/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default" w:ascii="华文仿宋" w:hAnsi="华文仿宋" w:eastAsia="华文仿宋" w:cs="华文仿宋"/>
          <w:b/>
          <w:bCs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四是提升体育后备人才选拔培养效益。</w:t>
      </w: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推动后备人才培养数字化转型，引导后备人才选拔模式从经验驱动向数据驱动转变，促进数字技术在选材、训练、竞赛与保障中常态化应用，推动优质设施与科技服务下沉至体校、青训中心及重点项目梯队，有效减少“带伤训练”“无效训练”等现象，提升运动员成才率。打造面向体校、学校、俱乐部、家庭的多元选材体系，整合优质教育资源与训练体系，健全运动员、教练员、裁判员、管理人员“四优”人才队伍，完善“发现、培养、输送、成才”一条龙模式，全面提升运动员成才效益。</w:t>
      </w:r>
    </w:p>
    <w:p w14:paraId="3BCEA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</w:p>
    <w:p w14:paraId="32EDB4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1" w:firstLineChars="200"/>
        <w:textAlignment w:val="auto"/>
        <w:rPr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我司可</w:t>
      </w:r>
      <w:r>
        <w:rPr>
          <w:rFonts w:hint="default" w:ascii="华文仿宋" w:hAnsi="华文仿宋" w:eastAsia="华文仿宋" w:cs="华文仿宋"/>
          <w:b/>
          <w:bCs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从</w:t>
      </w:r>
      <w:r>
        <w:rPr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四</w:t>
      </w:r>
      <w:r>
        <w:rPr>
          <w:rFonts w:hint="default" w:ascii="华文仿宋" w:hAnsi="华文仿宋" w:eastAsia="华文仿宋" w:cs="华文仿宋"/>
          <w:b/>
          <w:bCs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大维度梳理可学习方向，确保每一项举措都能快速落地并适配现有业务</w:t>
      </w:r>
      <w:r>
        <w:rPr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：</w:t>
      </w:r>
    </w:p>
    <w:p w14:paraId="4B01B5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</w:p>
    <w:p w14:paraId="0C1BD10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30" w:leftChars="0" w:firstLine="600" w:firstLineChars="0"/>
        <w:textAlignment w:val="auto"/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default" w:ascii="华文仿宋" w:hAnsi="华文仿宋" w:eastAsia="华文仿宋" w:cs="华文仿宋"/>
          <w:b/>
          <w:bCs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落地科学训练，打造轻量化分项目训练体系</w:t>
      </w:r>
      <w:r>
        <w:rPr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。</w:t>
      </w: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政策核心提及“强化科学训练赋能，推动训练方法与手段创新，适配不同群体需求”，结合我司课程训练业务，打造“分项目、可操作”的科学训练模式，避免复杂设备依赖：针对篮球、足球、乒乓球分别设计标准化训练内容——篮球聚焦“基础体能分区训练”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，</w:t>
      </w: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足球强化“步法与控球科学练习”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，</w:t>
      </w: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乒乓球侧重“发力姿势矫正”，每节课预留 10 分钟 “针对性纠错” 时间，确保训练科学性。</w:t>
      </w:r>
    </w:p>
    <w:p w14:paraId="6663D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与校内、学期前后测评相同，校外也可</w:t>
      </w: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为青训学员建立简易科学评估档案，通过基础指标判断进度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，</w:t>
      </w: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教练根据评估调整下阶段训练计划，形成“科学训练-评估-优化”闭环。</w:t>
      </w:r>
    </w:p>
    <w:p w14:paraId="587DC7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</w:p>
    <w:p w14:paraId="4FCCD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1" w:firstLineChars="200"/>
        <w:textAlignment w:val="auto"/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2</w:t>
      </w:r>
      <w:r>
        <w:rPr>
          <w:rFonts w:hint="default" w:ascii="华文仿宋" w:hAnsi="华文仿宋" w:eastAsia="华文仿宋" w:cs="华文仿宋"/>
          <w:b/>
          <w:bCs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. 深化体教融合，精进现有校园服务，筑牢人才闭环</w:t>
      </w:r>
      <w:r>
        <w:rPr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。</w:t>
      </w: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基于公司现有校园服务基础，紧扣政策“构建‘校园普及-后备选拔-精英培养’全链条人才体系”要求，优化现有“课程+社团+赛事”体系。课程端，在篮基础课程上，增加“分层个性化辅导”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。</w:t>
      </w: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增设“社团特色活动日”，提升社团活跃度。​</w:t>
      </w:r>
    </w:p>
    <w:p w14:paraId="77247B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</w:p>
    <w:p w14:paraId="1B5492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1" w:firstLineChars="200"/>
        <w:textAlignment w:val="auto"/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3.</w:t>
      </w:r>
      <w:r>
        <w:rPr>
          <w:rFonts w:hint="default" w:ascii="华文仿宋" w:hAnsi="华文仿宋" w:eastAsia="华文仿宋" w:cs="华文仿宋"/>
          <w:b/>
          <w:bCs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联动政企资源，构建可持续运营场景</w:t>
      </w:r>
      <w:r>
        <w:rPr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。</w:t>
      </w: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政策鼓励“激发社会力量参与竞技体育发展，构建‘政府主导、企业参与、群众受益’的可持续模式”，我司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可</w:t>
      </w: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承接社区公益体育服务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，</w:t>
      </w: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同步在社区设置“体育服务点”，提供免费器材租赁（乒乓球拍、篮球）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等等</w:t>
      </w: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，提升品牌好感度。针对企业，推出“篮球/足球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/乒乓球</w:t>
      </w: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团建套餐”，配套我司教练指导，增设“趣味竞技环节”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（如钱塘智慧城职工比赛）</w:t>
      </w: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，满足企业员工健身与团队建设需求，拓展成人业务场景。</w:t>
      </w:r>
    </w:p>
    <w:p w14:paraId="05DE6F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600" w:leftChars="0"/>
        <w:textAlignment w:val="auto"/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</w:p>
    <w:p w14:paraId="0B80D6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1" w:firstLineChars="200"/>
        <w:textAlignment w:val="auto"/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4</w:t>
      </w:r>
      <w:r>
        <w:rPr>
          <w:rFonts w:hint="default" w:ascii="华文仿宋" w:hAnsi="华文仿宋" w:eastAsia="华文仿宋" w:cs="华文仿宋"/>
          <w:b/>
          <w:bCs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. 强化人才筑基，打造本地化教练与品牌体系</w:t>
      </w:r>
      <w:r>
        <w:rPr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。</w:t>
      </w: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政策强调 “筑牢教练、裁判等人才根基，培育区域性特色体育品牌”，我司聚焦本地化人才培养与小型品牌赛事打造，确保业务可持续发展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。</w:t>
      </w:r>
      <w:r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  <w:t>每季度开展 1 次“教练实操培训”，内容聚焦“青少年科学训练技巧”（如如何用科学方法提升儿童篮球投篮命中率）、“课堂安全防护”（运动前热身、常见损伤处理），培训后组织 模拟授课考核，确保教练能将科学方法落地到日常教学；同步共享优秀教案、训练视频，方便两地教练随时查阅。</w:t>
      </w:r>
    </w:p>
    <w:p w14:paraId="1A7E37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华文仿宋" w:hAnsi="华文仿宋" w:eastAsia="华文仿宋" w:cs="华文仿宋"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val="en-US" w:eastAsia="zh-CN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0000600000000000000"/>
    <w:charset w:val="86"/>
    <w:family w:val="auto"/>
    <w:pitch w:val="default"/>
    <w:sig w:usb0="800002BF" w:usb1="184F6CF8" w:usb2="00000012" w:usb3="00000000" w:csb0="00160001" w:csb1="1203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1EDB3B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DC0EEA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25CEFC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AOHox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rADh6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625CEFC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B7BEBF">
    <w:pPr>
      <w:pStyle w:val="4"/>
    </w:pPr>
    <w:r>
      <w:rPr>
        <w:rFonts w:hint="eastAsia" w:eastAsia="宋体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-800100</wp:posOffset>
          </wp:positionH>
          <wp:positionV relativeFrom="paragraph">
            <wp:posOffset>-225425</wp:posOffset>
          </wp:positionV>
          <wp:extent cx="1971675" cy="575310"/>
          <wp:effectExtent l="0" t="0" r="0" b="0"/>
          <wp:wrapTopAndBottom/>
          <wp:docPr id="4" name="图片 4" descr="d5f8194bf58c3f65bfdb8fa98540f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d5f8194bf58c3f65bfdb8fa98540f37"/>
                  <pic:cNvPicPr>
                    <a:picLocks noChangeAspect="1"/>
                  </pic:cNvPicPr>
                </pic:nvPicPr>
                <pic:blipFill>
                  <a:blip r:embed="rId1"/>
                  <a:srcRect l="17385" t="30318" r="19387" b="36175"/>
                  <a:stretch>
                    <a:fillRect/>
                  </a:stretch>
                </pic:blipFill>
                <pic:spPr>
                  <a:xfrm>
                    <a:off x="0" y="0"/>
                    <a:ext cx="1971675" cy="5753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A0F9E1"/>
    <w:multiLevelType w:val="singleLevel"/>
    <w:tmpl w:val="F7A0F9E1"/>
    <w:lvl w:ilvl="0" w:tentative="0">
      <w:start w:val="1"/>
      <w:numFmt w:val="decimal"/>
      <w:suff w:val="space"/>
      <w:lvlText w:val="%1."/>
      <w:lvlJc w:val="left"/>
      <w:pPr>
        <w:ind w:left="30"/>
      </w:pPr>
    </w:lvl>
  </w:abstractNum>
  <w:abstractNum w:abstractNumId="1">
    <w:nsid w:val="F919B720"/>
    <w:multiLevelType w:val="singleLevel"/>
    <w:tmpl w:val="F919B720"/>
    <w:lvl w:ilvl="0" w:tentative="0">
      <w:start w:val="4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2">
    <w:nsid w:val="2F2A4555"/>
    <w:multiLevelType w:val="singleLevel"/>
    <w:tmpl w:val="2F2A4555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UzMGQzYjEzYjM5NDI5ODg0NTIwMzRhMWZhZmU2NTgifQ=="/>
  </w:docVars>
  <w:rsids>
    <w:rsidRoot w:val="00000000"/>
    <w:rsid w:val="08125979"/>
    <w:rsid w:val="1ADB101D"/>
    <w:rsid w:val="23BB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0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paragraph" w:customStyle="1" w:styleId="9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10">
    <w:name w:val="标题 3 Char"/>
    <w:link w:val="2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77</Words>
  <Characters>81</Characters>
  <Lines>0</Lines>
  <Paragraphs>0</Paragraphs>
  <TotalTime>75</TotalTime>
  <ScaleCrop>false</ScaleCrop>
  <LinksUpToDate>false</LinksUpToDate>
  <CharactersWithSpaces>88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2026-01-28T08:27:00Z</dcterms:created>
  <dc:creator>86173</dc:creator>
  <cp:lastModifiedBy>张琦</cp:lastModifiedBy>
  <dcterms:modified xsi:type="dcterms:W3CDTF">2026-02-02T02:02:57Z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69C39590B0EF4349B55DC70E257C9B2F_13</vt:lpwstr>
  </property>
</Properties>
</file>