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021A48">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r>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t>政策分析</w:t>
      </w:r>
    </w:p>
    <w:p w14:paraId="7842D8B4">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1DBE2FEE">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13C950E7">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2BB67E3C">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61D05E56">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560E021C">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42ABEF19">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1F057874">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53559527">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default" w:ascii="方正小标宋简体" w:hAnsi="方正小标宋简体" w:eastAsia="方正小标宋简体" w:cs="方正小标宋简体"/>
          <w:b/>
          <w:bCs/>
          <w:i w:val="0"/>
          <w:iCs w:val="0"/>
          <w:caps w:val="0"/>
          <w:color w:val="333333"/>
          <w:spacing w:val="0"/>
          <w:sz w:val="32"/>
          <w:szCs w:val="32"/>
          <w:shd w:val="clear" w:fill="FFFFFF"/>
          <w:lang w:val="en-US" w:eastAsia="zh-CN"/>
        </w:rPr>
      </w:pPr>
      <w:r>
        <w:rPr>
          <w:rStyle w:val="10"/>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t>2026年4月</w:t>
      </w:r>
    </w:p>
    <w:p w14:paraId="5A99CAEA">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0"/>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sectPr>
          <w:headerReference r:id="rId3" w:type="default"/>
          <w:pgSz w:w="11906" w:h="16838"/>
          <w:pgMar w:top="1440" w:right="1800" w:bottom="1440" w:left="1800" w:header="851" w:footer="992" w:gutter="0"/>
          <w:pgNumType w:fmt="decimal"/>
          <w:cols w:space="425" w:num="1"/>
          <w:docGrid w:type="lines" w:linePitch="312" w:charSpace="0"/>
        </w:sectPr>
      </w:pPr>
      <w:r>
        <w:rPr>
          <w:rStyle w:val="10"/>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t>项目管理科</w:t>
      </w:r>
    </w:p>
    <w:sdt>
      <w:sdtPr>
        <w:rPr>
          <w:rFonts w:ascii="宋体" w:hAnsi="宋体" w:eastAsia="宋体" w:cstheme="minorBidi"/>
          <w:b/>
          <w:bCs/>
          <w:kern w:val="2"/>
          <w:sz w:val="44"/>
          <w:szCs w:val="44"/>
          <w:lang w:val="en-US" w:eastAsia="zh-CN" w:bidi="ar-SA"/>
        </w:rPr>
        <w:id w:val="147451446"/>
        <w15:color w:val="DBDBDB"/>
        <w:docPartObj>
          <w:docPartGallery w:val="Table of Contents"/>
          <w:docPartUnique/>
        </w:docPartObj>
      </w:sdtPr>
      <w:sdtEndPr>
        <w:rPr>
          <w:rFonts w:asciiTheme="minorHAnsi" w:hAnsiTheme="minorHAnsi" w:eastAsiaTheme="minorEastAsia" w:cstheme="minorBidi"/>
          <w:b/>
          <w:bCs/>
          <w:kern w:val="2"/>
          <w:sz w:val="21"/>
          <w:szCs w:val="24"/>
          <w:lang w:val="en-US" w:eastAsia="zh-CN" w:bidi="ar-SA"/>
        </w:rPr>
      </w:sdtEndPr>
      <w:sdtContent>
        <w:p w14:paraId="72934621">
          <w:pPr>
            <w:keepNext w:val="0"/>
            <w:keepLines w:val="0"/>
            <w:pageBreakBefore w:val="0"/>
            <w:widowControl w:val="0"/>
            <w:kinsoku/>
            <w:wordWrap/>
            <w:overflowPunct/>
            <w:topLinePunct w:val="0"/>
            <w:autoSpaceDE/>
            <w:autoSpaceDN/>
            <w:bidi w:val="0"/>
            <w:adjustRightInd/>
            <w:snapToGrid/>
            <w:spacing w:before="132" w:after="372" w:line="480" w:lineRule="auto"/>
            <w:ind w:left="0" w:leftChars="0" w:right="0" w:rightChars="0" w:firstLine="0" w:firstLineChars="0"/>
            <w:jc w:val="center"/>
            <w:textAlignment w:val="auto"/>
            <w:rPr>
              <w:rFonts w:ascii="宋体" w:hAnsi="宋体" w:eastAsia="宋体"/>
              <w:b/>
              <w:bCs/>
              <w:sz w:val="44"/>
              <w:szCs w:val="44"/>
            </w:rPr>
          </w:pPr>
          <w:r>
            <w:rPr>
              <w:rFonts w:ascii="宋体" w:hAnsi="宋体" w:eastAsia="宋体"/>
              <w:b/>
              <w:bCs/>
              <w:sz w:val="44"/>
              <w:szCs w:val="44"/>
            </w:rPr>
            <w:t>目录</w:t>
          </w:r>
        </w:p>
        <w:p w14:paraId="6E59800F">
          <w:pPr>
            <w:keepNext w:val="0"/>
            <w:keepLines w:val="0"/>
            <w:pageBreakBefore w:val="0"/>
            <w:kinsoku/>
            <w:wordWrap/>
            <w:overflowPunct/>
            <w:topLinePunct w:val="0"/>
            <w:autoSpaceDE/>
            <w:autoSpaceDN/>
            <w:bidi w:val="0"/>
            <w:adjustRightInd/>
            <w:snapToGrid/>
            <w:spacing w:before="132" w:after="372" w:line="480" w:lineRule="auto"/>
            <w:ind w:left="0" w:leftChars="0" w:right="0" w:rightChars="0" w:firstLine="0" w:firstLineChars="0"/>
            <w:jc w:val="center"/>
            <w:textAlignment w:val="auto"/>
            <w:rPr>
              <w:rFonts w:ascii="宋体" w:hAnsi="宋体" w:eastAsia="宋体"/>
              <w:b/>
              <w:bCs/>
              <w:sz w:val="44"/>
              <w:szCs w:val="44"/>
            </w:rPr>
          </w:pPr>
        </w:p>
        <w:p w14:paraId="08F659EB">
          <w:pPr>
            <w:pStyle w:val="11"/>
            <w:keepNext w:val="0"/>
            <w:keepLines w:val="0"/>
            <w:pageBreakBefore w:val="0"/>
            <w:widowControl/>
            <w:tabs>
              <w:tab w:val="right" w:leader="dot" w:pos="8306"/>
            </w:tabs>
            <w:kinsoku/>
            <w:wordWrap/>
            <w:overflowPunct/>
            <w:topLinePunct w:val="0"/>
            <w:autoSpaceDE/>
            <w:autoSpaceDN/>
            <w:bidi w:val="0"/>
            <w:adjustRightInd/>
            <w:snapToGrid/>
            <w:spacing w:before="132" w:after="372" w:line="360" w:lineRule="auto"/>
            <w:ind w:firstLine="0" w:firstLineChars="0"/>
            <w:textAlignment w:val="auto"/>
            <w:rPr>
              <w:rFonts w:hint="eastAsia" w:ascii="黑体" w:hAnsi="黑体" w:eastAsia="黑体" w:cs="黑体"/>
              <w:sz w:val="32"/>
              <w:szCs w:val="32"/>
              <w:lang w:val="en-US" w:eastAsia="zh-CN"/>
            </w:rPr>
          </w:pPr>
          <w:r>
            <w:fldChar w:fldCharType="begin"/>
          </w:r>
          <w:r>
            <w:instrText xml:space="preserve">TOC \o "1-1" \h \u </w:instrText>
          </w:r>
          <w:r>
            <w:fldChar w:fldCharType="separate"/>
          </w: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_Toc25162 </w:instrText>
          </w:r>
          <w:r>
            <w:rPr>
              <w:rFonts w:hint="eastAsia" w:ascii="黑体" w:hAnsi="黑体" w:eastAsia="黑体" w:cs="黑体"/>
              <w:sz w:val="32"/>
              <w:szCs w:val="32"/>
            </w:rPr>
            <w:fldChar w:fldCharType="separate"/>
          </w:r>
          <w:r>
            <w:rPr>
              <w:rFonts w:hint="eastAsia" w:ascii="黑体" w:hAnsi="黑体" w:eastAsia="黑体" w:cs="黑体"/>
              <w:sz w:val="32"/>
              <w:szCs w:val="32"/>
              <w:lang w:val="en-US" w:eastAsia="zh-CN"/>
            </w:rPr>
            <w:t>第一部分 统筹推进群众体育和竞技体育发展</w:t>
          </w:r>
          <w:r>
            <w:rPr>
              <w:rFonts w:hint="eastAsia" w:ascii="黑体" w:hAnsi="黑体" w:eastAsia="黑体" w:cs="黑体"/>
              <w:sz w:val="32"/>
              <w:szCs w:val="32"/>
            </w:rPr>
            <w:tab/>
          </w:r>
          <w:r>
            <w:rPr>
              <w:rFonts w:hint="eastAsia" w:ascii="黑体" w:hAnsi="黑体" w:eastAsia="黑体" w:cs="黑体"/>
              <w:sz w:val="32"/>
              <w:szCs w:val="32"/>
              <w:lang w:val="en-US" w:eastAsia="zh-CN"/>
            </w:rPr>
            <w:t>1</w:t>
          </w:r>
          <w:r>
            <w:rPr>
              <w:rFonts w:hint="eastAsia" w:ascii="黑体" w:hAnsi="黑体" w:eastAsia="黑体" w:cs="黑体"/>
              <w:sz w:val="32"/>
              <w:szCs w:val="32"/>
            </w:rPr>
            <w:fldChar w:fldCharType="end"/>
          </w:r>
        </w:p>
        <w:p w14:paraId="3CB72386">
          <w:pPr>
            <w:pStyle w:val="11"/>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default" w:ascii="黑体" w:hAnsi="黑体" w:eastAsia="黑体" w:cs="黑体"/>
              <w:sz w:val="32"/>
              <w:szCs w:val="32"/>
              <w:lang w:val="en-US" w:eastAsia="zh-CN"/>
            </w:rPr>
          </w:pP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_Toc17425 </w:instrText>
          </w:r>
          <w:r>
            <w:rPr>
              <w:rFonts w:hint="eastAsia" w:ascii="黑体" w:hAnsi="黑体" w:eastAsia="黑体" w:cs="黑体"/>
              <w:sz w:val="32"/>
              <w:szCs w:val="32"/>
            </w:rPr>
            <w:fldChar w:fldCharType="separate"/>
          </w:r>
          <w:r>
            <w:rPr>
              <w:rFonts w:hint="eastAsia" w:ascii="黑体" w:hAnsi="黑体" w:eastAsia="黑体" w:cs="黑体"/>
              <w:i w:val="0"/>
              <w:iCs w:val="0"/>
              <w:caps w:val="0"/>
              <w:spacing w:val="0"/>
              <w:sz w:val="32"/>
              <w:szCs w:val="32"/>
              <w:shd w:val="clear" w:fill="FFFFFF"/>
              <w:lang w:val="en-US" w:eastAsia="zh-CN"/>
            </w:rPr>
            <w:t>思考分析</w:t>
          </w:r>
          <w:r>
            <w:rPr>
              <w:rFonts w:hint="eastAsia" w:ascii="黑体" w:hAnsi="黑体" w:eastAsia="黑体" w:cs="黑体"/>
              <w:sz w:val="32"/>
              <w:szCs w:val="32"/>
            </w:rPr>
            <w:tab/>
          </w:r>
          <w:r>
            <w:rPr>
              <w:rFonts w:hint="eastAsia" w:ascii="黑体" w:hAnsi="黑体" w:eastAsia="黑体" w:cs="黑体"/>
              <w:sz w:val="32"/>
              <w:szCs w:val="32"/>
            </w:rPr>
            <w:fldChar w:fldCharType="end"/>
          </w:r>
          <w:r>
            <w:rPr>
              <w:rFonts w:hint="eastAsia" w:ascii="黑体" w:hAnsi="黑体" w:eastAsia="黑体" w:cs="黑体"/>
              <w:sz w:val="32"/>
              <w:szCs w:val="32"/>
              <w:lang w:val="en-US" w:eastAsia="zh-CN"/>
            </w:rPr>
            <w:t>11</w:t>
          </w:r>
        </w:p>
        <w:p w14:paraId="1A2E4105">
          <w:pPr>
            <w:pStyle w:val="11"/>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lang w:val="en-US" w:eastAsia="zh-CN"/>
            </w:rPr>
          </w:pPr>
        </w:p>
        <w:p w14:paraId="0FA13667">
          <w:pPr>
            <w:pStyle w:val="11"/>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lang w:val="en-US" w:eastAsia="zh-CN"/>
            </w:rPr>
          </w:pPr>
        </w:p>
        <w:p w14:paraId="414416BB">
          <w:pPr>
            <w:keepNext w:val="0"/>
            <w:keepLines w:val="0"/>
            <w:pageBreakBefore w:val="0"/>
            <w:kinsoku/>
            <w:wordWrap/>
            <w:overflowPunct/>
            <w:topLinePunct w:val="0"/>
            <w:autoSpaceDE/>
            <w:autoSpaceDN/>
            <w:bidi w:val="0"/>
            <w:adjustRightInd/>
            <w:snapToGrid/>
            <w:spacing w:line="480" w:lineRule="auto"/>
            <w:ind w:firstLine="0" w:firstLineChars="0"/>
            <w:textAlignment w:val="auto"/>
            <w:rPr>
              <w:rStyle w:val="12"/>
              <w:rFonts w:hint="eastAsia" w:ascii="方正小标宋简体" w:hAnsi="方正小标宋简体" w:eastAsia="方正小标宋简体" w:cs="方正小标宋简体"/>
              <w:sz w:val="44"/>
              <w:szCs w:val="44"/>
            </w:rPr>
            <w:sectPr>
              <w:footerReference r:id="rId4" w:type="default"/>
              <w:pgSz w:w="11906" w:h="16838"/>
              <w:pgMar w:top="1440" w:right="1800" w:bottom="1440" w:left="1800" w:header="851" w:footer="992" w:gutter="0"/>
              <w:pgNumType w:start="1"/>
              <w:cols w:space="425" w:num="1"/>
              <w:docGrid w:type="lines" w:linePitch="312" w:charSpace="0"/>
            </w:sectPr>
          </w:pPr>
          <w:r>
            <w:fldChar w:fldCharType="end"/>
          </w:r>
        </w:p>
      </w:sdtContent>
    </w:sdt>
    <w:p w14:paraId="79F3EB9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华文仿宋" w:hAnsi="华文仿宋" w:eastAsia="华文仿宋" w:cs="华文仿宋"/>
          <w:b/>
          <w:bCs/>
          <w:i w:val="0"/>
          <w:iCs w:val="0"/>
          <w:caps w:val="0"/>
          <w:color w:val="auto"/>
          <w:spacing w:val="0"/>
          <w:kern w:val="2"/>
          <w:sz w:val="40"/>
          <w:szCs w:val="40"/>
          <w:shd w:val="clear" w:fill="FFFFFF"/>
          <w:lang w:val="en-US" w:eastAsia="zh-CN" w:bidi="ar-SA"/>
        </w:rPr>
      </w:pPr>
      <w:r>
        <w:rPr>
          <w:rFonts w:hint="default" w:ascii="华文仿宋" w:hAnsi="华文仿宋" w:eastAsia="华文仿宋" w:cs="华文仿宋"/>
          <w:b/>
          <w:bCs/>
          <w:i w:val="0"/>
          <w:iCs w:val="0"/>
          <w:caps w:val="0"/>
          <w:color w:val="auto"/>
          <w:spacing w:val="0"/>
          <w:kern w:val="2"/>
          <w:sz w:val="40"/>
          <w:szCs w:val="40"/>
          <w:shd w:val="clear" w:fill="FFFFFF"/>
          <w:lang w:val="en-US" w:eastAsia="zh-CN" w:bidi="ar-SA"/>
        </w:rPr>
        <w:t>统筹推进群众体育和竞技体育发展</w:t>
      </w:r>
    </w:p>
    <w:p w14:paraId="71E1333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华文仿宋" w:hAnsi="华文仿宋" w:eastAsia="华文仿宋" w:cs="华文仿宋"/>
          <w:b/>
          <w:bCs/>
          <w:i w:val="0"/>
          <w:iCs w:val="0"/>
          <w:caps w:val="0"/>
          <w:color w:val="auto"/>
          <w:spacing w:val="0"/>
          <w:kern w:val="2"/>
          <w:sz w:val="40"/>
          <w:szCs w:val="40"/>
          <w:shd w:val="clear" w:fill="FFFFFF"/>
          <w:lang w:val="en-US" w:eastAsia="zh-CN" w:bidi="ar-SA"/>
        </w:rPr>
      </w:pPr>
    </w:p>
    <w:p w14:paraId="73287368">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0" w:afterAutospacing="0" w:line="480" w:lineRule="atLeast"/>
        <w:ind w:left="0" w:right="0" w:firstLine="600" w:firstLineChars="200"/>
        <w:jc w:val="right"/>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发布时间：2026-04-14 </w:t>
      </w:r>
    </w:p>
    <w:p w14:paraId="5725A000">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0" w:afterAutospacing="0" w:line="480" w:lineRule="atLeast"/>
        <w:ind w:left="0" w:right="0" w:firstLine="600" w:firstLineChars="200"/>
        <w:jc w:val="right"/>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来源：学习时报 </w:t>
      </w:r>
    </w:p>
    <w:p w14:paraId="2654163B">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0" w:afterAutospacing="0" w:line="480" w:lineRule="atLeast"/>
        <w:ind w:left="0" w:right="0" w:firstLine="600" w:firstLineChars="200"/>
        <w:jc w:val="right"/>
        <w:textAlignment w:val="auto"/>
        <w:rPr>
          <w:rFonts w:hint="default"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作者：国家体育总局党组书记、局长 高志丹 </w:t>
      </w:r>
    </w:p>
    <w:p w14:paraId="3A3ECA4E">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0" w:beforeAutospacing="0" w:after="0" w:afterAutospacing="0" w:line="480" w:lineRule="atLeast"/>
        <w:ind w:left="0" w:right="0" w:firstLine="600" w:firstLineChars="200"/>
        <w:jc w:val="both"/>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党的二十届四中全会提出“统筹推进群众体育和竞技体育发展，加快建设体育强国”，这是党</w:t>
      </w:r>
      <w:bookmarkStart w:id="0" w:name="_GoBack"/>
      <w:bookmarkEnd w:id="0"/>
      <w:r>
        <w:rPr>
          <w:rFonts w:hint="eastAsia" w:ascii="华文仿宋" w:hAnsi="华文仿宋" w:eastAsia="华文仿宋" w:cs="华文仿宋"/>
          <w:i w:val="0"/>
          <w:iCs w:val="0"/>
          <w:caps w:val="0"/>
          <w:color w:val="auto"/>
          <w:spacing w:val="0"/>
          <w:kern w:val="2"/>
          <w:sz w:val="30"/>
          <w:szCs w:val="30"/>
          <w:shd w:val="clear" w:fill="FFFFFF"/>
          <w:lang w:val="en-US" w:eastAsia="zh-CN" w:bidi="ar-SA"/>
        </w:rPr>
        <w:t>中央立足中国式现代化全局以及体育工作</w:t>
      </w: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实际</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对“十五五”时期体育事业改革发展作出的战略部署和顶层设计。我们要深入学习贯彻党的二十届四中全会精神，认真落实党中央重大决策部署和习近平总书记关于体育工作的重要指示批示精神，深刻认识统筹推进群众体育和竞技体育发展的重大意义，准确把握应该正确处理的重要关系和贯彻落实的重点举措，推动“十五五”时期体育事业高质量发展迈出新步伐。</w:t>
      </w:r>
    </w:p>
    <w:p w14:paraId="188F67D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750" w:beforeAutospacing="0" w:after="0" w:afterAutospacing="0" w:line="480" w:lineRule="atLeast"/>
        <w:ind w:right="0"/>
        <w:jc w:val="cente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深刻认识统筹推进群众体育和竞技体育发展的重大意义</w:t>
      </w:r>
    </w:p>
    <w:p w14:paraId="110EECEC">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0" w:beforeAutospacing="0" w:after="0" w:afterAutospacing="0" w:line="480" w:lineRule="atLeast"/>
        <w:ind w:left="0" w:right="0" w:firstLine="602" w:firstLineChars="200"/>
        <w:jc w:val="both"/>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统筹推进群众体育和竞技体育发展是满足人民群众美好生活的必然要求。</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习近平总书记深刻指出，体育是提高人民健康水平的重要途径，是满足人民群众对美好生活向往、促进人的全面发展的重要手段。人民健康是社会文明进步的基础，是民族昌盛和国家富强的重要标志，也是广大人民群众的共同追求。发展体育运动，增强人民体质，是我国体育工作的根本方针，党和国家始终把提高人民健康水平和全民族身体素质作为体育事业发展的基础。建设健康中国和体育强国，根本在于让全体人民都参与进来，提高健康水平和生活品质。发展体育事业不仅是实现中国梦的重要内容，还能为中华民族伟大复兴提供凝心聚气的强大精神力量。中国体育健儿在国内外重大赛事中的优异表现，极大增强了民族向心力和自豪感，是竞技体育魅力的集中体现。统筹推进群众体育和竞技体育发展，必须把满足人民对美好生活的向往、促进人的全面发展作为出发点和落脚点，让群众体育和竞技体育发展成果更多更公平惠及全体人民，让人民生活更加健康、精神生活更加丰富、人生追求更加精彩。</w:t>
      </w:r>
    </w:p>
    <w:p w14:paraId="007290C8">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0" w:beforeAutospacing="0" w:after="0" w:afterAutospacing="0" w:line="480" w:lineRule="atLeast"/>
        <w:ind w:left="0" w:right="0" w:firstLine="602" w:firstLineChars="200"/>
        <w:jc w:val="both"/>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统筹推进群众体育和竞技体育发展是加快建设体育强国的内在需要</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习近平总书记深刻指出，更好发挥举国体制在攀登顶峰中的重要作用，更好发挥群众性体育在厚植体育基础中的重要作用。群众体育是体育强国的基础，与每一个人的身心健康紧密相关，关乎民族未来和体育强国的底色；竞技体育是体育强国的显著标志，在体育强国建设中发挥引领与带动作用，体现着国家综合实力和体育强国的成色。党的十八大以来，我国群众体育发展成效显著，全民健身公共服务体系不断完善，竞技体育屡创辉煌，跻身奥运强国之列。但全民健身公共服务体系与人民群众多样化需求仍有差距、运动项目发展不平衡、竞技体育后备人才不足的问题依然存在。统筹推进群众体育和竞技体育发展，必须以建设体育强国目标为引领，坚持系统观念，着力补齐群众体育、竞技体育发展的短板弱项，同时处理好群众体育和竞技体育的关系，形成相互促进、协调发展的良好态势，实现体育事业发展的系统性跃升。</w:t>
      </w:r>
    </w:p>
    <w:p w14:paraId="61261F88">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0" w:beforeAutospacing="0" w:after="0" w:afterAutospacing="0" w:line="480" w:lineRule="atLeast"/>
        <w:ind w:left="0" w:right="0" w:firstLine="602" w:firstLineChars="200"/>
        <w:jc w:val="both"/>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统筹推进群众体育和竞技体育发展是服务国家发展大局的应有之义</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习近平总书记深刻指出，加快建设体育强国，就要把握体育强国梦与中国梦息息相关的定位。体育强则中国强，国运兴则体育兴。体育不仅是强身健体、愉悦身心，争金夺银、振奋精神，也是社会发展和文明进步的重要标志，是综合国力和社会文明程度的重要体现。随着经济社会不断发展，体育与教育、文化、旅游、卫生、康养、科技等领域的融合发展逐渐深入，综合价值作用更加凸显。统筹推进群众体育和竞技体育发展，必须更加自觉在“五位一体”总体布局和“四个全面”战略布局中谋划体育工作，更加主动将体育融入经济社会发展全局，实现体育与其他领域更频繁地互动、更深入地交流、更有效地融合，以更加包容、更加开放的心态努力学习借鉴国际体育发展先进经验，在开放中不断壮大自己，使体育为人民健康筑基、为伟大复兴聚气、为经济社会赋能、为文化自信铸魂、为全球体育增力，努力将体育建设成为中华民族伟大复兴的标志性事业。</w:t>
      </w:r>
    </w:p>
    <w:p w14:paraId="407C1EE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750" w:beforeAutospacing="0" w:after="0" w:afterAutospacing="0" w:line="480" w:lineRule="atLeast"/>
        <w:ind w:right="0"/>
        <w:jc w:val="cente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准确把握统筹推进群众体育和竞技体育发展的重要关系</w:t>
      </w:r>
    </w:p>
    <w:p w14:paraId="6DDD69A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750" w:beforeAutospacing="0" w:after="0" w:afterAutospacing="0" w:line="480" w:lineRule="atLeast"/>
        <w:ind w:left="0" w:right="0" w:firstLine="420"/>
        <w:jc w:val="both"/>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统筹推进群众体育和竞技体育发展，是一项关系全局、牵动长远的系统工程，必须把握内在规律和逻辑联系，正确认识和科学处理一系列重要关系。</w:t>
      </w:r>
    </w:p>
    <w:p w14:paraId="501C0BC6">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0" w:beforeAutospacing="0" w:after="0" w:afterAutospacing="0" w:line="480" w:lineRule="atLeast"/>
        <w:ind w:left="0" w:right="0" w:firstLine="602" w:firstLineChars="200"/>
        <w:jc w:val="both"/>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把握好政府和市场的关系。</w:t>
      </w:r>
      <w:r>
        <w:rPr>
          <w:rFonts w:hint="eastAsia" w:ascii="华文仿宋" w:hAnsi="华文仿宋" w:eastAsia="华文仿宋" w:cs="华文仿宋"/>
          <w:i w:val="0"/>
          <w:iCs w:val="0"/>
          <w:caps w:val="0"/>
          <w:color w:val="auto"/>
          <w:spacing w:val="0"/>
          <w:kern w:val="2"/>
          <w:sz w:val="30"/>
          <w:szCs w:val="30"/>
          <w:u w:val="single"/>
          <w:shd w:val="clear" w:fill="FFFFFF"/>
          <w:lang w:val="en-US" w:eastAsia="zh-CN" w:bidi="ar-SA"/>
        </w:rPr>
        <w:t>近年来，经营主体参与体育发展的深度和广度不断拓展，市场和社会力量发挥的作用越来越突出，但“金元足球”、马拉松赛事过度商业化、“饭圈”乱象等问题也扰乱了体育行业秩序。</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体育部门在更好发挥政府作用方面还有一些短板弱项，特别是对于体育领域的一些新生事物和现象，缺乏有效的治理手段，被动应付多。</w:t>
      </w:r>
      <w:r>
        <w:rPr>
          <w:rFonts w:hint="eastAsia" w:ascii="华文仿宋" w:hAnsi="华文仿宋" w:eastAsia="华文仿宋" w:cs="华文仿宋"/>
          <w:i w:val="0"/>
          <w:iCs w:val="0"/>
          <w:caps w:val="0"/>
          <w:color w:val="auto"/>
          <w:spacing w:val="0"/>
          <w:kern w:val="2"/>
          <w:sz w:val="30"/>
          <w:szCs w:val="30"/>
          <w:u w:val="single"/>
          <w:shd w:val="clear" w:fill="FFFFFF"/>
          <w:lang w:val="en-US" w:eastAsia="zh-CN" w:bidi="ar-SA"/>
        </w:rPr>
        <w:t>这就要求我们，一方面要充分发挥市场在体育资源配置中的决定性作用，对于可以由市场自行调节的领域要坚决放给市场和社会。另一方面要进一步转变政府职能，发挥好政府在规划引导、政策扶持、公共服务、标准引领、市场监管、宣传动员、条件保障等方面的作用，既不能失位缺位，也不能总当救火队长，既要“放得活”，又要“管得住”</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w:t>
      </w:r>
    </w:p>
    <w:p w14:paraId="125E33A0">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0" w:beforeAutospacing="0" w:after="0" w:afterAutospacing="0" w:line="480" w:lineRule="atLeast"/>
        <w:ind w:left="0" w:right="0" w:firstLine="602" w:firstLineChars="200"/>
        <w:jc w:val="both"/>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把握好开放和自主的关系</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70多年来我国体育事业发展历程启示我们，开放是发展的必由之路，封闭僵化没有出路，中国正是在大踏步对外开放中迈向了体育大国、奥运强国。虽然体育对外交往的深度和广度前所未有，但我们坚持有原则的开放，旗帜鲜明走自己的体育发展道路。这就要求我们，一方面要持续深化体育对外交流合作，广泛参与双边和多边国际合作机制，通过奥运会、亚运会等重大国际体育赛事全面展示我国运动员竞技水平、精神风貌和中国体育发展成果，积极主动承担更多的国际体育事务，不断提升我国在国际体育界的话语权和影响力。另一方面要保持发展定力，坚持以我为主，毫不动摇地坚持竞技体育举国体制，持续深化改革创新，不断提升体育自主发展水平，坚定不移走中国特色体育发展道路。</w:t>
      </w:r>
    </w:p>
    <w:p w14:paraId="6FAE2C25">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0" w:beforeAutospacing="0" w:after="0" w:afterAutospacing="0" w:line="480" w:lineRule="atLeast"/>
        <w:ind w:left="0" w:right="0" w:firstLine="602" w:firstLineChars="200"/>
        <w:jc w:val="both"/>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把握好效率和公平的关系</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效率解决的是体育充分发展的问题，也就是如何把“蛋糕”做大，为人民群众提供更多更好的体育服务；公平解决的是体育均衡发展的问题，也就是如何分配好“蛋糕”，让人民群众在参与体育活动中增强获得感幸福感安全感。这就要求我们，一方面要继续加大体育事业高质量发展力度，坚持社会化、市场化、职业化发展方向，进一步加强对体育各领域资源的整合和利用，提高全民健身场地利用效率、竞技体育训练效率、体育制造业生产效率、体育科技创新效率。另一方面要推动更加公平的发展，充分考虑各类人群、各年龄段人群参与体育的实际需求，保障公民平等参与体育的权利，全面提升公共体育服务水平，努力推动公共体育服务在城乡之间、区域之间更加便民惠民、公平可及，加强体育领域突出问题治理，努力让人民群众在参与体育活动中感受到公平正义。</w:t>
      </w:r>
    </w:p>
    <w:p w14:paraId="2C991F7D">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0" w:beforeAutospacing="0" w:after="0" w:afterAutospacing="0" w:line="480" w:lineRule="atLeast"/>
        <w:ind w:left="0" w:right="0" w:firstLine="602" w:firstLineChars="200"/>
        <w:jc w:val="both"/>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把握好活力和秩序的关系</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随着体育经济活动的不断发展和体育消费潜力的充分释放，活力迸发与失衡失序将在一定范围内存在，将对我们的治理能力带来严峻的考验。正确处理好活力与秩序的关系，就是要在体育治理的过程中实现活而不乱、活跃有序的动态平衡。这就要求我们，一方面要积极盘活各类体育资源，强化科技赋能和数字赋能，坚定不移深化体育改革，调动各类经营主体参与体育的积极性，激发社会主体活力。另一方面要正视发展中出现的问题，增强预见性并及时予以有效回应，进一步加强体育治理，紧紧围绕维护竞技体育秩序、体育市场秩序、体育赛事秩序、体育文化秩序、体育生态秩序，坚持举一反三，牢牢把握体育发展的正确方向。</w:t>
      </w:r>
    </w:p>
    <w:p w14:paraId="541576A5">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0" w:beforeAutospacing="0" w:after="0" w:afterAutospacing="0" w:line="480" w:lineRule="atLeast"/>
        <w:ind w:left="0" w:right="0" w:firstLine="602" w:firstLineChars="200"/>
        <w:jc w:val="both"/>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把握好发展和安全的关系</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统筹发展和安全，增强忧患意识，做到居安思危，是我们党治国理政的一个重大原则。发展和安全是一体之两翼，两者互为条件、辩证统一。当前，体育行业发展和安全的矛盾日益突出，体育领域政治风险、传统安全风险、意识形态风险、兴奋剂风险将长期存在，在某些情况下还可能放大，对这些风险挑战和形势变化要清醒认识。“十五五”时期，我们要坚持高质量发展是硬道理，对标2035年建成体育强国目标要求，全面谋划“十五五”时期各领域、各项目发展举措，推动体育发展取得实质性进展。同时要坚持安全也是硬道理，树牢安全意识，在体育治理、对外交流、赛事筹办、备战参赛等方面维护国家安全，严防体育领域意识形态风险，严守兴奋剂安全底线，做到“零出现”“零容忍”。</w:t>
      </w:r>
    </w:p>
    <w:p w14:paraId="45CD413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750" w:beforeAutospacing="0" w:after="0" w:afterAutospacing="0" w:line="480" w:lineRule="atLeast"/>
        <w:ind w:right="0"/>
        <w:jc w:val="cente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统筹推进群众体育和竞技体育发展的重点举措</w:t>
      </w:r>
    </w:p>
    <w:p w14:paraId="0E0447D5">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0" w:beforeAutospacing="0" w:after="0" w:afterAutospacing="0" w:line="480" w:lineRule="atLeast"/>
        <w:ind w:left="0" w:right="0" w:firstLine="600" w:firstLineChars="200"/>
        <w:jc w:val="both"/>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统筹推进群众体育和竞技体育发展，必须坚持目标导向与结果导向相结合，找准群众体育和竞技体育协同发展的切入点，聚焦关键领域和重点环节精准发力，带动体育事业整体水平提升。</w:t>
      </w:r>
    </w:p>
    <w:p w14:paraId="13F0D1F9">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0" w:beforeAutospacing="0" w:after="0" w:afterAutospacing="0" w:line="480" w:lineRule="atLeast"/>
        <w:ind w:left="0" w:right="0" w:firstLine="602" w:firstLineChars="200"/>
        <w:jc w:val="both"/>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完善全民健身公共服务体系</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w:t>
      </w:r>
      <w:r>
        <w:rPr>
          <w:rFonts w:hint="eastAsia" w:ascii="华文仿宋" w:hAnsi="华文仿宋" w:eastAsia="华文仿宋" w:cs="华文仿宋"/>
          <w:i w:val="0"/>
          <w:iCs w:val="0"/>
          <w:caps w:val="0"/>
          <w:color w:val="auto"/>
          <w:spacing w:val="0"/>
          <w:kern w:val="2"/>
          <w:sz w:val="30"/>
          <w:szCs w:val="30"/>
          <w:u w:val="single"/>
          <w:shd w:val="clear" w:fill="FFFFFF"/>
          <w:lang w:val="en-US" w:eastAsia="zh-CN" w:bidi="ar-SA"/>
        </w:rPr>
        <w:t>全面落实全民健身国家战略，充分发挥全民健身工作协调机制作用，推动建立政府主导、部门协同、群团和社会组织发挥作用、社会力量广泛参与的大群体工作格局，着力解决群众“健身去哪儿”的难题。</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完善全民健身场地设施提升体系，以建立同社会发展、人口变化趋势相协调的场地设施供给机制为导向，在建好用好全民健身场地设施方面持续下功夫；完善群众体育赛事活动体系，以全运会群众赛事活动、全民健身大赛、社区运动会为龙头，以“全民健身日”等全民健身主题活动为示范，积极探索构建线上线下结合、多层次多样化的群众性体育赛事活动体系；完善全民健身组织体系，打通公共体育服务供给“最后一公里”，将公共体育服务直接送到群众身边；完善科学健身指导体系，面对广大人民群众越来越旺盛的个性化、专业化健身需求，不断加强制度标准制定、人才队伍建设、健身方法普及等工作；完善群众体育基础工作制度体系，积极推动国民体质监测、全民健身活动状况调查、国家体育锻炼标准达标活动常态化开展。</w:t>
      </w:r>
    </w:p>
    <w:p w14:paraId="21EDD37D">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0" w:beforeAutospacing="0" w:after="0" w:afterAutospacing="0" w:line="480" w:lineRule="atLeast"/>
        <w:ind w:left="0" w:right="0" w:firstLine="602" w:firstLineChars="200"/>
        <w:jc w:val="both"/>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改革完善竞技体育管理体制与运行机制</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持续实施以为国争光为最高目标的竞技体育发展战略，发挥全国一盘棋、集中力量办大事的组织管理和综合保障优势，巩固长期形成、科学有效的选材、训练、竞赛及备战体系。畅通社会力量参与竞技体育的渠道，发挥高等院校教育、人才、科技、创新等资源优势，不断完善训练、参赛、保障等政策。积极拓宽市场机制促进竞技体育发展的方式路径，完善政策措施，不断提高竞技体育资源配置效率和效益。有序放开竞技体育办队权、办赛权、参赛权等各类优质资源，吸引国内外人才、资金、科技、管理、数据等要素向竞技体育汇聚。推动竞技体育由以行政手段为主的管理方式向综合运用行政、法律、经济、科技等多种管理手段转变。深化运动项目管理中心和运动项目协会改革，改革竞技体育投入模式，深入挖掘运动项目市场潜力，提高自身造血能力，实现竞技体育发展资金结构多元化。</w:t>
      </w:r>
    </w:p>
    <w:p w14:paraId="48EB3273">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0" w:beforeAutospacing="0" w:after="0" w:afterAutospacing="0" w:line="480" w:lineRule="atLeast"/>
        <w:ind w:left="0" w:right="0" w:firstLine="602" w:firstLineChars="200"/>
        <w:jc w:val="both"/>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推动青少年体育蓬勃发展</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w:t>
      </w:r>
      <w:r>
        <w:rPr>
          <w:rFonts w:hint="eastAsia" w:ascii="华文仿宋" w:hAnsi="华文仿宋" w:eastAsia="华文仿宋" w:cs="华文仿宋"/>
          <w:i w:val="0"/>
          <w:iCs w:val="0"/>
          <w:caps w:val="0"/>
          <w:color w:val="auto"/>
          <w:spacing w:val="0"/>
          <w:kern w:val="2"/>
          <w:sz w:val="30"/>
          <w:szCs w:val="30"/>
          <w:u w:val="single"/>
          <w:shd w:val="clear" w:fill="FFFFFF"/>
          <w:lang w:val="en-US" w:eastAsia="zh-CN" w:bidi="ar-SA"/>
        </w:rPr>
        <w:t>深化体教融合，推动青少年文化学习和体育锻炼协调发展，帮助青少年在体育锻炼中享受乐趣、增强体质、健全人格、锤炼意志。持续开展好“奔跑吧·少年”儿童青少年主题健身活动等系列示范活动，引导广大青少年养成终身锻炼的良好习惯。</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针对青少年近视、肥胖、脊柱侧弯、心理健康等突出问题，加强青少年体质健康体育干预。创新竞技体育后备人才培养方式，畅通专业、学校、职业、社会等竞技体育后备人才培养渠道。加大奥运项目后备人才梯队全国布局，完善跨区域选材、注册交流、教育升学等政策。支持各地结合实际，探索建立“小学—初中—高中”贯通的竞技体育后备人才培养体系。依托体校、学校、社会机构等各类主体，因地制宜建设一批具有公益属性、质效并举的青训中心。</w:t>
      </w:r>
    </w:p>
    <w:p w14:paraId="66A3BA1D">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0" w:beforeAutospacing="0" w:after="0" w:afterAutospacing="0" w:line="480" w:lineRule="atLeast"/>
        <w:ind w:left="0" w:right="0" w:firstLine="602" w:firstLineChars="200"/>
        <w:jc w:val="both"/>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充分发挥体育赛事综合价值功能</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。持续办好全国运动会、全国学生（青年）运动会、全国青少年三大球运动会、全国青少年田径运动会、全国全民健身大赛等全国性赛事。</w:t>
      </w:r>
      <w:r>
        <w:rPr>
          <w:rFonts w:hint="eastAsia" w:ascii="华文仿宋" w:hAnsi="华文仿宋" w:eastAsia="华文仿宋" w:cs="华文仿宋"/>
          <w:i w:val="0"/>
          <w:iCs w:val="0"/>
          <w:caps w:val="0"/>
          <w:color w:val="auto"/>
          <w:spacing w:val="0"/>
          <w:kern w:val="2"/>
          <w:sz w:val="30"/>
          <w:szCs w:val="30"/>
          <w:u w:val="single"/>
          <w:shd w:val="clear" w:fill="FFFFFF"/>
          <w:lang w:val="en-US" w:eastAsia="zh-CN" w:bidi="ar-SA"/>
        </w:rPr>
        <w:t>鼓励各地打造特色鲜明、贯穿四季的品牌赛事，支持将有条件的赛事纳入奥运会积分赛（资格赛）体系。大力发展赛事经济，鼓励优质国际赛事活动“引进来”，支持优质国内赛事活动“走出去”。有序推进城市联赛、区域联赛，深挖“票根经济”潜力，激发消费活力。</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规范有序发展冰雪、航空、水上、山地户外、马拉松等户外运动赛事，推动高质量户外运动目的地建设。加大品牌赛事培育力度，提升无形资产开发能力。提高职业赛事发展水平，鼓励有条件的运动项目开展层级清晰、相互衔接、布局合理、产权多元、竞争有序的职业联赛。</w:t>
      </w:r>
    </w:p>
    <w:p w14:paraId="49C84EF5">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0" w:beforeAutospacing="0" w:after="0" w:afterAutospacing="0" w:line="480" w:lineRule="atLeast"/>
        <w:ind w:left="0" w:right="0" w:firstLine="602" w:firstLineChars="200"/>
        <w:jc w:val="both"/>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加快数字体育建设</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w:t>
      </w:r>
      <w:r>
        <w:rPr>
          <w:rFonts w:hint="eastAsia" w:ascii="华文仿宋" w:hAnsi="华文仿宋" w:eastAsia="华文仿宋" w:cs="华文仿宋"/>
          <w:i w:val="0"/>
          <w:iCs w:val="0"/>
          <w:caps w:val="0"/>
          <w:color w:val="auto"/>
          <w:spacing w:val="0"/>
          <w:kern w:val="2"/>
          <w:sz w:val="30"/>
          <w:szCs w:val="30"/>
          <w:u w:val="single"/>
          <w:shd w:val="clear" w:fill="FFFFFF"/>
          <w:lang w:val="en-US" w:eastAsia="zh-CN" w:bidi="ar-SA"/>
        </w:rPr>
        <w:t>落实数字政府建设要求，围绕公共服务、政务服务、数字机关等领域，提升体育政务在线服务能力。支持大数据、人工智能等新技术在体育领域应用，提升体育产品和服务数字化水平。</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推动体育消费场景与数字技术有机融合，培育智能化、定制化、体验式体育消费新模式。鼓励依托数智赋能，助力科学健身指导，打造仿真训练环境，研发智能穿戴装备，提高观赛体验。落实数据基础制度，完善体育领域数据产权归属认定、市场交易、权益分配、利益保护机制。加强运维保障能力建设，筑牢数字体育安全屏障。</w:t>
      </w:r>
    </w:p>
    <w:p w14:paraId="6922F142">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0" w:beforeAutospacing="0" w:after="0" w:afterAutospacing="0" w:line="480" w:lineRule="atLeast"/>
        <w:ind w:left="0" w:right="0" w:firstLine="602" w:firstLineChars="200"/>
        <w:jc w:val="both"/>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强化体育教育科技人才一体化支撑</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推动高等体育院校（系）差异化、特色化发展，支持高等体育院校加快建设具有中国特色的世界一流体育大学和一流体育学科。推动国家体育总局重点实验室等平台建设，完善区域体育科技创新布局，构建产学研高效协同的体育创新体系。加强体育高端智库建设，提升智库建设的影响力和服务决策咨询能力。聚焦奥运备战、运动健康、选材训练等重点领域，推动大数据、人工智能、运动医学等前沿技术应用，构建体育科技创新与应用体系。打造一支规模宏大、结构优化、素质优良的体育人才队伍，培养造就一批熟悉体育、热爱体育、为体育事业不懈奋斗的高素质党政管理人才、战略研究人才、科技领军人才。</w:t>
      </w:r>
    </w:p>
    <w:p w14:paraId="79B78B2C">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50" w:beforeAutospacing="0" w:after="0" w:afterAutospacing="0" w:line="480" w:lineRule="atLeast"/>
        <w:ind w:left="0" w:right="0" w:firstLine="602" w:firstLineChars="200"/>
        <w:jc w:val="both"/>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b/>
          <w:bCs/>
          <w:i w:val="0"/>
          <w:iCs w:val="0"/>
          <w:caps w:val="0"/>
          <w:color w:val="auto"/>
          <w:spacing w:val="0"/>
          <w:kern w:val="2"/>
          <w:sz w:val="30"/>
          <w:szCs w:val="30"/>
          <w:shd w:val="clear" w:fill="FFFFFF"/>
          <w:lang w:val="en-US" w:eastAsia="zh-CN" w:bidi="ar-SA"/>
        </w:rPr>
        <w:t>实干为要，行胜于言</w:t>
      </w: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在全面建设社会主义现代化国家的新征程上，体育战线必须更加紧密地团结在以习近平同志为核心的党中央周围，坚持以习近平新时代中国特色社会主义思想为指导，全面贯彻落实党的二十大和二十届历次全会精神，增强使命意识和责任担当，统筹推进群众体育和竞技体育发展，为加快建设体育强国，为以中国式现代化全面推进强国建设、民族复兴伟业作出新的更大的贡献。　</w:t>
      </w:r>
    </w:p>
    <w:p w14:paraId="2D5121F0">
      <w:pPr>
        <w:rPr>
          <w:rFonts w:hint="default" w:ascii="华文仿宋" w:hAnsi="华文仿宋" w:eastAsia="华文仿宋" w:cs="华文仿宋"/>
          <w:i w:val="0"/>
          <w:iCs w:val="0"/>
          <w:caps w:val="0"/>
          <w:color w:val="auto"/>
          <w:spacing w:val="0"/>
          <w:kern w:val="2"/>
          <w:sz w:val="30"/>
          <w:szCs w:val="30"/>
          <w:shd w:val="clear" w:fill="FFFFFF"/>
          <w:lang w:val="en-US" w:eastAsia="zh-CN" w:bidi="ar-SA"/>
        </w:rPr>
      </w:pPr>
    </w:p>
    <w:p w14:paraId="4CF74FDD">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firstLine="601"/>
        <w:textAlignment w:val="auto"/>
        <w:rPr>
          <w:rFonts w:hint="eastAsia" w:ascii="华文仿宋" w:hAnsi="华文仿宋" w:eastAsia="华文仿宋" w:cs="华文仿宋"/>
          <w:b/>
          <w:bCs/>
          <w:i w:val="0"/>
          <w:iCs w:val="0"/>
          <w:caps w:val="0"/>
          <w:color w:val="auto"/>
          <w:spacing w:val="0"/>
          <w:sz w:val="30"/>
          <w:szCs w:val="30"/>
          <w:shd w:val="clear" w:fill="FFFFFF"/>
          <w:lang w:val="en-US" w:eastAsia="zh-CN"/>
        </w:rPr>
      </w:pPr>
      <w:r>
        <w:rPr>
          <w:rFonts w:hint="eastAsia" w:ascii="华文仿宋" w:hAnsi="华文仿宋" w:eastAsia="华文仿宋" w:cs="华文仿宋"/>
          <w:b/>
          <w:bCs/>
          <w:i w:val="0"/>
          <w:iCs w:val="0"/>
          <w:caps w:val="0"/>
          <w:color w:val="auto"/>
          <w:spacing w:val="0"/>
          <w:sz w:val="30"/>
          <w:szCs w:val="30"/>
          <w:shd w:val="clear" w:fill="FFFFFF"/>
          <w:lang w:val="en-US" w:eastAsia="zh-CN"/>
        </w:rPr>
        <w:t>以上有几点需要引起我司注意：</w:t>
      </w:r>
    </w:p>
    <w:p w14:paraId="03138DD7">
      <w:pPr>
        <w:keepNext w:val="0"/>
        <w:keepLines w:val="0"/>
        <w:pageBreakBefore w:val="0"/>
        <w:widowControl w:val="0"/>
        <w:numPr>
          <w:ilvl w:val="0"/>
          <w:numId w:val="1"/>
        </w:numPr>
        <w:kinsoku/>
        <w:wordWrap/>
        <w:overflowPunct/>
        <w:topLinePunct w:val="0"/>
        <w:autoSpaceDE/>
        <w:autoSpaceDN/>
        <w:bidi w:val="0"/>
        <w:adjustRightInd/>
        <w:snapToGrid/>
        <w:spacing w:after="157" w:afterLines="50"/>
        <w:ind w:left="0" w:leftChars="0" w:firstLine="602" w:firstLineChars="200"/>
        <w:textAlignment w:val="auto"/>
        <w:rPr>
          <w:rFonts w:hint="eastAsia" w:ascii="华文仿宋" w:hAnsi="华文仿宋" w:eastAsia="华文仿宋" w:cs="华文仿宋"/>
          <w:b/>
          <w:bCs/>
          <w:i w:val="0"/>
          <w:iCs w:val="0"/>
          <w:caps w:val="0"/>
          <w:color w:val="auto"/>
          <w:spacing w:val="0"/>
          <w:sz w:val="30"/>
          <w:szCs w:val="30"/>
          <w:shd w:val="clear" w:fill="FFFFFF"/>
          <w:lang w:val="en-US" w:eastAsia="zh-CN"/>
        </w:rPr>
      </w:pPr>
      <w:r>
        <w:rPr>
          <w:rFonts w:hint="eastAsia" w:ascii="华文仿宋" w:hAnsi="华文仿宋" w:eastAsia="华文仿宋" w:cs="华文仿宋"/>
          <w:b/>
          <w:bCs/>
          <w:i w:val="0"/>
          <w:iCs w:val="0"/>
          <w:caps w:val="0"/>
          <w:color w:val="auto"/>
          <w:spacing w:val="0"/>
          <w:sz w:val="30"/>
          <w:szCs w:val="30"/>
          <w:shd w:val="clear" w:fill="FFFFFF"/>
          <w:lang w:val="en-US" w:eastAsia="zh-CN"/>
        </w:rPr>
        <w:t>把握市场机遇，优化资源配置</w:t>
      </w:r>
    </w:p>
    <w:p w14:paraId="017E6ACC">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政策明确指出要充分发挥市场在体育资源配置中的决定性作用，并有序放开竞技体育的办队、办赛、参赛等优质资源。这意味着企业参与体育产业的门槛将进一步降低，空间更加广阔。我司应抓住这一政策窗口期，积极寻求进入竞技体育领域的机会，例如通过市场化方式参与职业俱乐部运营、承办高水平商业赛事或投资竞技体育训练基地。同时，要充分利用政府在规划引导和政策扶持方面的作用，将企业发展战略与国家体育强国建设目标相结合，争取更多的政策红利和资源支持。</w:t>
      </w:r>
    </w:p>
    <w:p w14:paraId="081E20AC">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0" w:leftChars="0" w:firstLine="602" w:firstLineChars="200"/>
        <w:textAlignment w:val="auto"/>
        <w:rPr>
          <w:rFonts w:hint="eastAsia" w:ascii="华文仿宋" w:hAnsi="华文仿宋" w:eastAsia="华文仿宋" w:cs="华文仿宋"/>
          <w:b/>
          <w:bCs/>
          <w:i w:val="0"/>
          <w:iCs w:val="0"/>
          <w:caps w:val="0"/>
          <w:color w:val="auto"/>
          <w:spacing w:val="0"/>
          <w:sz w:val="30"/>
          <w:szCs w:val="30"/>
          <w:shd w:val="clear" w:fill="FFFFFF"/>
          <w:lang w:val="en-US" w:eastAsia="zh-CN"/>
        </w:rPr>
      </w:pPr>
      <w:r>
        <w:rPr>
          <w:rFonts w:hint="eastAsia" w:ascii="华文仿宋" w:hAnsi="华文仿宋" w:eastAsia="华文仿宋" w:cs="华文仿宋"/>
          <w:b/>
          <w:bCs/>
          <w:i w:val="0"/>
          <w:iCs w:val="0"/>
          <w:caps w:val="0"/>
          <w:color w:val="auto"/>
          <w:spacing w:val="0"/>
          <w:sz w:val="30"/>
          <w:szCs w:val="30"/>
          <w:shd w:val="clear" w:fill="FFFFFF"/>
          <w:lang w:val="en-US" w:eastAsia="zh-CN"/>
        </w:rPr>
        <w:t>深耕全民健身，完善服务体系</w:t>
      </w:r>
    </w:p>
    <w:p w14:paraId="7DD4F20F">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政策强调要完善全民健身公共服务体系，着力解决群众“健身去哪儿”的难题，并鼓励社会力量广泛参与。这为我司在群众体育领域的发展指明了方向。我们应积极响应国家号召，投身于全民健身场地设施的建设和运营，例如参与社区体育公园、智能健身路径等项目的投资与管理。此外，可以依托“全民健身日”、社区运动会等国家级活动IP，策划并执行多层次、多样化的群众性体育赛事活动，将公共体育服务直接送到群众身边，从而提升品牌影响力并获取稳定的市场回报。</w:t>
      </w:r>
    </w:p>
    <w:p w14:paraId="38923482">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0" w:leftChars="0" w:firstLine="602" w:firstLineChars="200"/>
        <w:textAlignment w:val="auto"/>
        <w:rPr>
          <w:rFonts w:hint="eastAsia" w:ascii="华文仿宋" w:hAnsi="华文仿宋" w:eastAsia="华文仿宋" w:cs="华文仿宋"/>
          <w:b/>
          <w:bCs/>
          <w:i w:val="0"/>
          <w:iCs w:val="0"/>
          <w:caps w:val="0"/>
          <w:color w:val="auto"/>
          <w:spacing w:val="0"/>
          <w:sz w:val="30"/>
          <w:szCs w:val="30"/>
          <w:shd w:val="clear" w:fill="FFFFFF"/>
          <w:lang w:val="en-US" w:eastAsia="zh-CN"/>
        </w:rPr>
      </w:pPr>
      <w:r>
        <w:rPr>
          <w:rFonts w:hint="eastAsia" w:ascii="华文仿宋" w:hAnsi="华文仿宋" w:eastAsia="华文仿宋" w:cs="华文仿宋"/>
          <w:b/>
          <w:bCs/>
          <w:i w:val="0"/>
          <w:iCs w:val="0"/>
          <w:caps w:val="0"/>
          <w:color w:val="auto"/>
          <w:spacing w:val="0"/>
          <w:sz w:val="30"/>
          <w:szCs w:val="30"/>
          <w:shd w:val="clear" w:fill="FFFFFF"/>
          <w:lang w:val="en-US" w:eastAsia="zh-CN"/>
        </w:rPr>
        <w:t>聚焦青少年体育，深化体教融合</w:t>
      </w:r>
    </w:p>
    <w:p w14:paraId="48B144CF">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政策提出深化体教融合，并鼓励创新竞技体育后备人才培养方式，畅通学校、社会等培养渠道。这预示着青少年体育培训市场将迎来规范化、专业化的发展机遇。我司可深化与学校、体校等机构合作，共同建设具有公益属性的青训中心，或开发贯通“小学—初中—高中”的体育人才培养项目。针对青少年近视、肥胖等健康问题，还可以研发专业的体育干预课程和产品，既响应国家提升青少年体质的号召，又能开辟新的业务增长点。</w:t>
      </w:r>
    </w:p>
    <w:p w14:paraId="3E5F0D6D">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0" w:leftChars="0" w:firstLine="602" w:firstLineChars="200"/>
        <w:textAlignment w:val="auto"/>
        <w:rPr>
          <w:rFonts w:hint="eastAsia" w:ascii="华文仿宋" w:hAnsi="华文仿宋" w:eastAsia="华文仿宋" w:cs="华文仿宋"/>
          <w:b/>
          <w:bCs/>
          <w:i w:val="0"/>
          <w:iCs w:val="0"/>
          <w:caps w:val="0"/>
          <w:color w:val="auto"/>
          <w:spacing w:val="0"/>
          <w:sz w:val="30"/>
          <w:szCs w:val="30"/>
          <w:shd w:val="clear" w:fill="FFFFFF"/>
          <w:lang w:val="en-US" w:eastAsia="zh-CN"/>
        </w:rPr>
      </w:pPr>
      <w:r>
        <w:rPr>
          <w:rFonts w:hint="eastAsia" w:ascii="华文仿宋" w:hAnsi="华文仿宋" w:eastAsia="华文仿宋" w:cs="华文仿宋"/>
          <w:b/>
          <w:bCs/>
          <w:i w:val="0"/>
          <w:iCs w:val="0"/>
          <w:caps w:val="0"/>
          <w:color w:val="auto"/>
          <w:spacing w:val="0"/>
          <w:sz w:val="30"/>
          <w:szCs w:val="30"/>
          <w:shd w:val="clear" w:fill="FFFFFF"/>
          <w:lang w:val="en-US" w:eastAsia="zh-CN"/>
        </w:rPr>
        <w:t>拥抱数字技术，推动产业升级</w:t>
      </w:r>
    </w:p>
    <w:p w14:paraId="04C52129">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政策明确提出加快数字体育建设，支持大数据、人工智能等新技术在体育领域的应用，并培育智能化、定制化的体育消费新模式。这要求我司必须将数字化转型作为核心战略之一。我们应加大对体育科技数字化转型的研发投入，推动体育消费场景与数。字技术的有机融合。同时，要关注体育领域的数据基础制度建设，合规利用数据资产，通过科技赋能来提升产品服务的竞争力和运营效率。</w:t>
      </w:r>
    </w:p>
    <w:p w14:paraId="5CAA5C8B">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0" w:leftChars="0" w:firstLine="602" w:firstLineChars="200"/>
        <w:textAlignment w:val="auto"/>
        <w:rPr>
          <w:rFonts w:hint="eastAsia" w:ascii="华文仿宋" w:hAnsi="华文仿宋" w:eastAsia="华文仿宋" w:cs="华文仿宋"/>
          <w:b/>
          <w:bCs/>
          <w:i w:val="0"/>
          <w:iCs w:val="0"/>
          <w:caps w:val="0"/>
          <w:color w:val="auto"/>
          <w:spacing w:val="0"/>
          <w:sz w:val="30"/>
          <w:szCs w:val="30"/>
          <w:shd w:val="clear" w:fill="FFFFFF"/>
          <w:lang w:val="en-US" w:eastAsia="zh-CN"/>
        </w:rPr>
      </w:pPr>
      <w:r>
        <w:rPr>
          <w:rFonts w:hint="eastAsia" w:ascii="华文仿宋" w:hAnsi="华文仿宋" w:eastAsia="华文仿宋" w:cs="华文仿宋"/>
          <w:b/>
          <w:bCs/>
          <w:i w:val="0"/>
          <w:iCs w:val="0"/>
          <w:caps w:val="0"/>
          <w:color w:val="auto"/>
          <w:spacing w:val="0"/>
          <w:sz w:val="30"/>
          <w:szCs w:val="30"/>
          <w:shd w:val="clear" w:fill="FFFFFF"/>
          <w:lang w:val="en-US" w:eastAsia="zh-CN"/>
        </w:rPr>
        <w:t>激活赛事经济，挖掘消费潜力</w:t>
      </w:r>
    </w:p>
    <w:p w14:paraId="331DFC53">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政策鼓励大力发展赛事经济，深挖“票根经济”潜力，并支持打造贯穿四季的品牌赛事。这表明体育赛事不仅是竞技平台，更是拉动消费的重要引擎。我司在运营或投资赛事时，应注重商业模式的创新，将赛事与文旅、娱乐等业态深度融合，延长产业链条，激发消费活力。特别是在冰雪、水上、山地户外等户外运动领域，可以积极参与高质量户外运动目的地的建设和运营，通过举办特色品牌赛事来吸引客流，带动相关消费。</w:t>
      </w:r>
    </w:p>
    <w:p w14:paraId="2E4DC2CE">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ind w:left="0" w:leftChars="0" w:firstLine="602" w:firstLineChars="200"/>
        <w:textAlignment w:val="auto"/>
        <w:rPr>
          <w:rFonts w:hint="eastAsia" w:ascii="华文仿宋" w:hAnsi="华文仿宋" w:eastAsia="华文仿宋" w:cs="华文仿宋"/>
          <w:b/>
          <w:bCs/>
          <w:i w:val="0"/>
          <w:iCs w:val="0"/>
          <w:caps w:val="0"/>
          <w:color w:val="auto"/>
          <w:spacing w:val="0"/>
          <w:sz w:val="30"/>
          <w:szCs w:val="30"/>
          <w:shd w:val="clear" w:fill="FFFFFF"/>
          <w:lang w:val="en-US" w:eastAsia="zh-CN"/>
        </w:rPr>
      </w:pPr>
      <w:r>
        <w:rPr>
          <w:rFonts w:hint="eastAsia" w:ascii="华文仿宋" w:hAnsi="华文仿宋" w:eastAsia="华文仿宋" w:cs="华文仿宋"/>
          <w:b/>
          <w:bCs/>
          <w:i w:val="0"/>
          <w:iCs w:val="0"/>
          <w:caps w:val="0"/>
          <w:color w:val="auto"/>
          <w:spacing w:val="0"/>
          <w:sz w:val="30"/>
          <w:szCs w:val="30"/>
          <w:shd w:val="clear" w:fill="FFFFFF"/>
          <w:lang w:val="en-US" w:eastAsia="zh-CN"/>
        </w:rPr>
        <w:t>严守行业秩序，坚持合规经营</w:t>
      </w:r>
    </w:p>
    <w:p w14:paraId="007D9994">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ascii="华文仿宋" w:hAnsi="华文仿宋" w:eastAsia="华文仿宋" w:cs="华文仿宋"/>
          <w:i w:val="0"/>
          <w:iCs w:val="0"/>
          <w:caps w:val="0"/>
          <w:color w:val="auto"/>
          <w:spacing w:val="0"/>
          <w:kern w:val="2"/>
          <w:sz w:val="30"/>
          <w:szCs w:val="30"/>
          <w:shd w:val="clear" w:fill="FFFFFF"/>
          <w:lang w:val="en-US" w:eastAsia="zh-CN" w:bidi="ar-SA"/>
        </w:rPr>
      </w:pPr>
      <w:r>
        <w:rPr>
          <w:rFonts w:hint="eastAsia" w:ascii="华文仿宋" w:hAnsi="华文仿宋" w:eastAsia="华文仿宋" w:cs="华文仿宋"/>
          <w:i w:val="0"/>
          <w:iCs w:val="0"/>
          <w:caps w:val="0"/>
          <w:color w:val="auto"/>
          <w:spacing w:val="0"/>
          <w:kern w:val="2"/>
          <w:sz w:val="30"/>
          <w:szCs w:val="30"/>
          <w:shd w:val="clear" w:fill="FFFFFF"/>
          <w:lang w:val="en-US" w:eastAsia="zh-CN" w:bidi="ar-SA"/>
        </w:rPr>
        <w:t>政策在鼓励市场活力的同时，也强调了对“金元足球”、“饭圈”乱象等问题的治理，要求把握好活力与秩序、发展与安全的关系。这提醒我司在追求发展的同时，必须将合规经营和风险防控放在首位。我们要密切关注体育领域的市场监管动态，建立健全内部风控体系，坚决抵制各类扰乱行业秩序的行为。特别是在兴奋剂安全、赛事安全和意识形态安全等方面，要树立底线思维，确保企业经营活动符合国家法律法规和行业规范，实现健康、可持续的发展。</w:t>
      </w:r>
    </w:p>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swiss"/>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altName w:val="黑体"/>
    <w:panose1 w:val="00000600000000000000"/>
    <w:charset w:val="86"/>
    <w:family w:val="auto"/>
    <w:pitch w:val="default"/>
    <w:sig w:usb0="00000000" w:usb1="00000000" w:usb2="00000012" w:usb3="00000000" w:csb0="00160001" w:csb1="12030000"/>
  </w:font>
  <w:font w:name="华文仿宋">
    <w:altName w:val="仿宋"/>
    <w:panose1 w:val="02010600040101010101"/>
    <w:charset w:val="86"/>
    <w:family w:val="auto"/>
    <w:pitch w:val="default"/>
    <w:sig w:usb0="00000000" w:usb1="00000000" w:usb2="00000000" w:usb3="00000000" w:csb0="0004009F" w:csb1="DFD70000"/>
  </w:font>
  <w:font w:name="仿宋">
    <w:panose1 w:val="02010609060101010101"/>
    <w:charset w:val="86"/>
    <w:family w:val="auto"/>
    <w:pitch w:val="default"/>
    <w:sig w:usb0="800002BF" w:usb1="38CF7CFA" w:usb2="00000016" w:usb3="00000000" w:csb0="00040001" w:csb1="00000000"/>
  </w:font>
  <w:font w:name="KSOF439F63AF">
    <w:panose1 w:val="02010609060101010101"/>
    <w:charset w:val="86"/>
    <w:family w:val="auto"/>
    <w:pitch w:val="default"/>
    <w:sig w:usb0="00000001" w:usb1="00000000" w:usb2="00000000" w:usb3="00000000" w:csb0="00040001" w:csb1="00000000"/>
  </w:font>
  <w:font w:name="KSOF0B7949D1">
    <w:panose1 w:val="02010609060101010101"/>
    <w:charset w:val="86"/>
    <w:family w:val="auto"/>
    <w:pitch w:val="default"/>
    <w:sig w:usb0="00000001" w:usb1="00000000" w:usb2="00000000" w:usb3="00000000" w:csb0="00040001" w:csb1="00000000"/>
  </w:font>
  <w:font w:name="KSOF0B79BE30">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FB9FB">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7E317">
    <w:pPr>
      <w:pStyle w:val="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499221">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13499221">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9ECCF">
    <w:pPr>
      <w:pStyle w:val="6"/>
    </w:pPr>
    <w:r>
      <w:rPr>
        <w:rFonts w:hint="eastAsia" w:eastAsia="宋体"/>
        <w:lang w:eastAsia="zh-CN"/>
      </w:rPr>
      <w:drawing>
        <wp:anchor distT="0" distB="0" distL="114300" distR="114300" simplePos="0" relativeHeight="251659264" behindDoc="0" locked="0" layoutInCell="1" allowOverlap="1">
          <wp:simplePos x="0" y="0"/>
          <wp:positionH relativeFrom="column">
            <wp:posOffset>-800100</wp:posOffset>
          </wp:positionH>
          <wp:positionV relativeFrom="paragraph">
            <wp:posOffset>-225425</wp:posOffset>
          </wp:positionV>
          <wp:extent cx="1971675" cy="575310"/>
          <wp:effectExtent l="0" t="0" r="0" b="0"/>
          <wp:wrapTopAndBottom/>
          <wp:docPr id="4" name="图片 4"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5A1DF7"/>
    <w:multiLevelType w:val="singleLevel"/>
    <w:tmpl w:val="895A1DF7"/>
    <w:lvl w:ilvl="0" w:tentative="0">
      <w:start w:val="1"/>
      <w:numFmt w:val="decimal"/>
      <w:lvlText w:val="%1."/>
      <w:lvlJc w:val="left"/>
      <w:pPr>
        <w:ind w:left="0" w:leftChars="0" w:firstLine="4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DB14B0"/>
    <w:rsid w:val="058C7D58"/>
    <w:rsid w:val="2EE119D4"/>
    <w:rsid w:val="419633AA"/>
    <w:rsid w:val="782B05D3"/>
    <w:rsid w:val="7BDB14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link w:val="12"/>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4">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paragraph" w:customStyle="1" w:styleId="11">
    <w:name w:val="WPSOffice手动目录 1"/>
    <w:qFormat/>
    <w:uiPriority w:val="0"/>
    <w:pPr>
      <w:ind w:leftChars="0"/>
    </w:pPr>
    <w:rPr>
      <w:rFonts w:ascii="Times New Roman" w:hAnsi="Times New Roman" w:eastAsia="宋体" w:cs="Times New Roman"/>
      <w:sz w:val="20"/>
      <w:szCs w:val="20"/>
    </w:rPr>
  </w:style>
  <w:style w:type="character" w:customStyle="1" w:styleId="12">
    <w:name w:val="标题 3 Char"/>
    <w:link w:val="2"/>
    <w:qFormat/>
    <w:uiPriority w:val="0"/>
    <w:rPr>
      <w:b/>
      <w:sz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6722</Words>
  <Characters>6731</Characters>
  <Lines>0</Lines>
  <Paragraphs>0</Paragraphs>
  <TotalTime>10</TotalTime>
  <ScaleCrop>false</ScaleCrop>
  <LinksUpToDate>false</LinksUpToDate>
  <CharactersWithSpaces>6739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2026-05-06T02:08:00Z</dcterms:created>
  <dc:creator>王俊</dc:creator>
  <cp:lastModifiedBy>王俊</cp:lastModifiedBy>
  <dcterms:modified xsi:type="dcterms:W3CDTF">2026-05-06T06:57:31Z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0830B61EC0604D81B4858251B498BBB2_11</vt:lpwstr>
  </property>
  <property fmtid="{D5CDD505-2E9C-101B-9397-08002B2CF9AE}" pid="4" name="KSOTemplateDocerSaveRecord">
    <vt:lpwstr>eyJoZGlkIjoiN2YyNTg5YWEwZGY5ZTY2ZDU5MTNlZDk5YmE3Y2YzYzciLCJ1c2VySWQiOiIxNzE1MTg0MTQzIn0=</vt:lpwstr>
  </property>
</Properties>
</file>