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9166E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-586740</wp:posOffset>
            </wp:positionV>
            <wp:extent cx="1971675" cy="575310"/>
            <wp:effectExtent l="0" t="0" r="0" b="0"/>
            <wp:wrapTopAndBottom/>
            <wp:docPr id="3" name="图片 3"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5f8194bf58c3f65bfdb8fa98540f37"/>
                    <pic:cNvPicPr>
                      <a:picLocks noChangeAspect="1"/>
                    </pic:cNvPicPr>
                  </pic:nvPicPr>
                  <pic:blipFill>
                    <a:blip r:embed="rId7"/>
                    <a:srcRect l="17385" t="30318" r="19387" b="36175"/>
                    <a:stretch>
                      <a:fillRect/>
                    </a:stretch>
                  </pic:blipFill>
                  <pic:spPr>
                    <a:xfrm>
                      <a:off x="0" y="0"/>
                      <a:ext cx="1971675" cy="575310"/>
                    </a:xfrm>
                    <a:prstGeom prst="rect">
                      <a:avLst/>
                    </a:prstGeom>
                  </pic:spPr>
                </pic:pic>
              </a:graphicData>
            </a:graphic>
          </wp:anchor>
        </w:drawing>
      </w:r>
      <w:r>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t>政策分析</w:t>
      </w:r>
    </w:p>
    <w:p w14:paraId="7DEE2E2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27419CA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0F1D61F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0B0ADE9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3209393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712DC8E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4ED604B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38E4FC8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4A7BD86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default" w:ascii="方正小标宋简体" w:hAnsi="方正小标宋简体" w:eastAsia="方正小标宋简体" w:cs="方正小标宋简体"/>
          <w:b/>
          <w:bCs/>
          <w:i w:val="0"/>
          <w:iCs w:val="0"/>
          <w:caps w:val="0"/>
          <w:color w:val="333333"/>
          <w:spacing w:val="0"/>
          <w:sz w:val="32"/>
          <w:szCs w:val="32"/>
          <w:shd w:val="clear" w:fill="FFFFFF"/>
          <w:lang w:val="en-US" w:eastAsia="zh-CN"/>
        </w:rPr>
      </w:pPr>
      <w:r>
        <w:rPr>
          <w:rStyle w:val="9"/>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2025年4月</w:t>
      </w:r>
    </w:p>
    <w:p w14:paraId="776C02C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sectPr>
          <w:headerReference r:id="rId3" w:type="default"/>
          <w:pgSz w:w="11906" w:h="16838"/>
          <w:pgMar w:top="1440" w:right="1800" w:bottom="1440" w:left="1800" w:header="851" w:footer="992" w:gutter="0"/>
          <w:pgNumType w:fmt="decimal"/>
          <w:cols w:space="425" w:num="1"/>
          <w:docGrid w:type="lines" w:linePitch="312" w:charSpace="0"/>
        </w:sectPr>
      </w:pPr>
      <w:r>
        <w:rPr>
          <w:rStyle w:val="9"/>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项目管理科</w:t>
      </w:r>
    </w:p>
    <w:sdt>
      <w:sdtPr>
        <w:rPr>
          <w:rFonts w:ascii="宋体" w:hAnsi="宋体" w:eastAsia="宋体" w:cstheme="minorBidi"/>
          <w:b/>
          <w:bCs/>
          <w:kern w:val="2"/>
          <w:sz w:val="44"/>
          <w:szCs w:val="44"/>
          <w:lang w:val="en-US" w:eastAsia="zh-CN" w:bidi="ar-SA"/>
        </w:rPr>
        <w:id w:val="147451446"/>
        <w15:color w:val="DBDBDB"/>
        <w:docPartObj>
          <w:docPartGallery w:val="Table of Contents"/>
          <w:docPartUnique/>
        </w:docPartObj>
      </w:sdtPr>
      <w:sdtEndPr>
        <w:rPr>
          <w:rFonts w:asciiTheme="minorHAnsi" w:hAnsiTheme="minorHAnsi" w:eastAsiaTheme="minorEastAsia" w:cstheme="minorBidi"/>
          <w:b/>
          <w:bCs/>
          <w:kern w:val="2"/>
          <w:sz w:val="21"/>
          <w:szCs w:val="24"/>
          <w:lang w:val="en-US" w:eastAsia="zh-CN" w:bidi="ar-SA"/>
        </w:rPr>
      </w:sdtEndPr>
      <w:sdtContent>
        <w:p w14:paraId="2CCC7DDE">
          <w:pPr>
            <w:keepNext w:val="0"/>
            <w:keepLines w:val="0"/>
            <w:pageBreakBefore w:val="0"/>
            <w:widowControl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r>
            <w:rPr>
              <w:rFonts w:ascii="宋体" w:hAnsi="宋体" w:eastAsia="宋体"/>
              <w:b/>
              <w:bCs/>
              <w:sz w:val="44"/>
              <w:szCs w:val="44"/>
            </w:rPr>
            <w:t>目录</w:t>
          </w:r>
        </w:p>
        <w:p w14:paraId="74EA707C">
          <w:pPr>
            <w:keepNext w:val="0"/>
            <w:keepLines w:val="0"/>
            <w:pageBreakBefore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p>
        <w:p w14:paraId="7ED57FB7">
          <w:pPr>
            <w:pStyle w:val="10"/>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r>
            <w:fldChar w:fldCharType="begin"/>
          </w:r>
          <w:r>
            <w:instrText xml:space="preserve">TOC \o "1-1" \h \u </w:instrText>
          </w:r>
          <w:r>
            <w:fldChar w:fldCharType="separate"/>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_Toc25162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第一部分 中共中央办公厅 国务院办公厅印发</w:t>
          </w:r>
        </w:p>
        <w:p w14:paraId="1E40E693">
          <w:pPr>
            <w:pStyle w:val="10"/>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rPr>
          </w:pPr>
          <w:r>
            <w:rPr>
              <w:rFonts w:hint="eastAsia" w:ascii="黑体" w:hAnsi="黑体" w:eastAsia="黑体" w:cs="黑体"/>
              <w:sz w:val="32"/>
              <w:szCs w:val="32"/>
              <w:lang w:val="en-US" w:eastAsia="zh-CN"/>
            </w:rPr>
            <w:t>《提振消费专项行动方案》</w:t>
          </w:r>
          <w:r>
            <w:rPr>
              <w:rFonts w:hint="eastAsia" w:ascii="黑体" w:hAnsi="黑体" w:eastAsia="黑体" w:cs="黑体"/>
              <w:sz w:val="32"/>
              <w:szCs w:val="32"/>
            </w:rPr>
            <w:tab/>
          </w:r>
          <w:r>
            <w:rPr>
              <w:rFonts w:hint="eastAsia" w:ascii="黑体" w:hAnsi="黑体" w:eastAsia="黑体" w:cs="黑体"/>
              <w:sz w:val="32"/>
              <w:szCs w:val="32"/>
              <w:lang w:val="en-US" w:eastAsia="zh-CN"/>
            </w:rPr>
            <w:t>1</w:t>
          </w:r>
          <w:r>
            <w:rPr>
              <w:rFonts w:hint="eastAsia" w:ascii="黑体" w:hAnsi="黑体" w:eastAsia="黑体" w:cs="黑体"/>
              <w:sz w:val="32"/>
              <w:szCs w:val="32"/>
            </w:rPr>
            <w:fldChar w:fldCharType="end"/>
          </w:r>
        </w:p>
        <w:p w14:paraId="71FE899E">
          <w:pPr>
            <w:pStyle w:val="10"/>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_Toc8378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7</w:t>
          </w:r>
        </w:p>
        <w:p w14:paraId="16F790A1">
          <w:pPr>
            <w:pStyle w:val="10"/>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 xml:space="preserve">第二部分 关于金融支持体育产业高质量发展的指导意见 </w:t>
          </w:r>
        </w:p>
        <w:p w14:paraId="22A686FD">
          <w:pPr>
            <w:pStyle w:val="10"/>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r>
            <w:rPr>
              <w:rFonts w:hint="eastAsia" w:ascii="黑体" w:hAnsi="黑体" w:eastAsia="黑体" w:cs="黑体"/>
              <w:sz w:val="32"/>
              <w:szCs w:val="32"/>
            </w:rPr>
            <w:tab/>
          </w:r>
          <w:r>
            <w:rPr>
              <w:rFonts w:hint="eastAsia" w:ascii="黑体" w:hAnsi="黑体" w:eastAsia="黑体" w:cs="黑体"/>
              <w:sz w:val="32"/>
              <w:szCs w:val="32"/>
              <w:lang w:val="en-US" w:eastAsia="zh-CN"/>
            </w:rPr>
            <w:t>9</w:t>
          </w:r>
        </w:p>
        <w:p w14:paraId="66DEA378">
          <w:pPr>
            <w:pStyle w:val="10"/>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_Toc17425 </w:instrText>
          </w:r>
          <w:r>
            <w:rPr>
              <w:rFonts w:hint="eastAsia" w:ascii="黑体" w:hAnsi="黑体" w:eastAsia="黑体" w:cs="黑体"/>
              <w:sz w:val="32"/>
              <w:szCs w:val="32"/>
            </w:rPr>
            <w:fldChar w:fldCharType="separate"/>
          </w:r>
          <w:r>
            <w:rPr>
              <w:rFonts w:hint="eastAsia" w:ascii="黑体" w:hAnsi="黑体" w:eastAsia="黑体" w:cs="黑体"/>
              <w:i w:val="0"/>
              <w:iCs w:val="0"/>
              <w:caps w:val="0"/>
              <w:spacing w:val="0"/>
              <w:sz w:val="32"/>
              <w:szCs w:val="32"/>
              <w:shd w:val="clear" w:fill="FFFFFF"/>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14</w:t>
          </w:r>
        </w:p>
        <w:p w14:paraId="123134FE">
          <w:pPr>
            <w:pStyle w:val="10"/>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14:paraId="3D5FBC81">
          <w:pPr>
            <w:pStyle w:val="10"/>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14:paraId="68C588E5">
          <w:pPr>
            <w:pStyle w:val="10"/>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14:paraId="39FD592A">
          <w:pPr>
            <w:keepNext w:val="0"/>
            <w:keepLines w:val="0"/>
            <w:pageBreakBefore w:val="0"/>
            <w:kinsoku/>
            <w:wordWrap/>
            <w:overflowPunct/>
            <w:topLinePunct w:val="0"/>
            <w:autoSpaceDE/>
            <w:autoSpaceDN/>
            <w:bidi w:val="0"/>
            <w:adjustRightInd/>
            <w:snapToGrid/>
            <w:spacing w:line="480" w:lineRule="auto"/>
            <w:ind w:firstLine="0" w:firstLineChars="0"/>
            <w:textAlignment w:val="auto"/>
            <w:rPr>
              <w:rStyle w:val="11"/>
              <w:rFonts w:hint="eastAsia" w:ascii="方正小标宋简体" w:hAnsi="方正小标宋简体" w:eastAsia="方正小标宋简体" w:cs="方正小标宋简体"/>
              <w:sz w:val="44"/>
              <w:szCs w:val="44"/>
            </w:rPr>
            <w:sectPr>
              <w:pgSz w:w="11906" w:h="16838"/>
              <w:pgMar w:top="1440" w:right="1800" w:bottom="1440" w:left="1800" w:header="851" w:footer="992" w:gutter="0"/>
              <w:cols w:space="425" w:num="1"/>
              <w:docGrid w:type="lines" w:linePitch="312" w:charSpace="0"/>
            </w:sectPr>
          </w:pPr>
          <w:r>
            <w:fldChar w:fldCharType="end"/>
          </w:r>
        </w:p>
      </w:sdtContent>
    </w:sdt>
    <w:p w14:paraId="6381DD7D">
      <w:pPr>
        <w:keepNext w:val="0"/>
        <w:keepLines w:val="0"/>
        <w:pageBreakBefore w:val="0"/>
        <w:widowControl w:val="0"/>
        <w:kinsoku/>
        <w:wordWrap/>
        <w:overflowPunct/>
        <w:topLinePunct w:val="0"/>
        <w:autoSpaceDE/>
        <w:autoSpaceDN/>
        <w:bidi w:val="0"/>
        <w:adjustRightInd/>
        <w:snapToGrid/>
        <w:spacing w:line="480" w:lineRule="auto"/>
        <w:ind w:firstLine="0" w:firstLineChars="0"/>
        <w:jc w:val="center"/>
        <w:textAlignment w:val="auto"/>
        <w:rPr>
          <w:rStyle w:val="11"/>
          <w:rFonts w:hint="eastAsia" w:ascii="方正小标宋简体" w:hAnsi="方正小标宋简体" w:eastAsia="方正小标宋简体" w:cs="方正小标宋简体"/>
          <w:sz w:val="32"/>
          <w:szCs w:val="32"/>
          <w:lang w:val="en-US" w:eastAsia="zh-CN"/>
        </w:rPr>
      </w:pPr>
      <w:r>
        <w:rPr>
          <w:rStyle w:val="11"/>
          <w:rFonts w:hint="eastAsia" w:ascii="方正小标宋简体" w:hAnsi="方正小标宋简体" w:eastAsia="方正小标宋简体" w:cs="方正小标宋简体"/>
          <w:sz w:val="32"/>
          <w:szCs w:val="32"/>
          <w:lang w:val="en-US" w:eastAsia="zh-CN"/>
        </w:rPr>
        <w:t>中共中央办公厅 国务院办公厅印发</w:t>
      </w:r>
    </w:p>
    <w:p w14:paraId="529A082A">
      <w:pPr>
        <w:keepNext w:val="0"/>
        <w:keepLines w:val="0"/>
        <w:pageBreakBefore w:val="0"/>
        <w:widowControl w:val="0"/>
        <w:kinsoku/>
        <w:wordWrap/>
        <w:overflowPunct/>
        <w:topLinePunct w:val="0"/>
        <w:autoSpaceDE/>
        <w:autoSpaceDN/>
        <w:bidi w:val="0"/>
        <w:adjustRightInd/>
        <w:snapToGrid/>
        <w:spacing w:line="480" w:lineRule="auto"/>
        <w:ind w:firstLine="0" w:firstLineChars="0"/>
        <w:jc w:val="center"/>
        <w:textAlignment w:val="auto"/>
        <w:rPr>
          <w:rStyle w:val="11"/>
          <w:rFonts w:hint="eastAsia" w:ascii="方正小标宋简体" w:hAnsi="方正小标宋简体" w:eastAsia="方正小标宋简体" w:cs="方正小标宋简体"/>
          <w:sz w:val="32"/>
          <w:szCs w:val="32"/>
          <w:lang w:val="en-US" w:eastAsia="zh-CN"/>
        </w:rPr>
      </w:pPr>
      <w:r>
        <w:rPr>
          <w:rStyle w:val="11"/>
          <w:rFonts w:hint="eastAsia" w:ascii="方正小标宋简体" w:hAnsi="方正小标宋简体" w:eastAsia="方正小标宋简体" w:cs="方正小标宋简体"/>
          <w:sz w:val="32"/>
          <w:szCs w:val="32"/>
          <w:lang w:val="en-US" w:eastAsia="zh-CN"/>
        </w:rPr>
        <w:t>《提振消费专项行动方案》</w:t>
      </w:r>
    </w:p>
    <w:p w14:paraId="34B8B3C9">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right"/>
        <w:textAlignment w:val="auto"/>
        <w:rPr>
          <w:rFonts w:hint="eastAsia" w:ascii="华文仿宋" w:hAnsi="华文仿宋" w:eastAsia="华文仿宋" w:cs="华文仿宋"/>
          <w:i w:val="0"/>
          <w:iCs w:val="0"/>
          <w:caps w:val="0"/>
          <w:color w:val="000000"/>
          <w:spacing w:val="0"/>
          <w:sz w:val="24"/>
          <w:szCs w:val="24"/>
          <w:shd w:val="clear" w:fill="FFFFFF"/>
        </w:rPr>
      </w:pPr>
      <w:r>
        <w:rPr>
          <w:rFonts w:hint="eastAsia" w:ascii="华文仿宋" w:hAnsi="华文仿宋" w:eastAsia="华文仿宋" w:cs="华文仿宋"/>
          <w:i w:val="0"/>
          <w:iCs w:val="0"/>
          <w:caps w:val="0"/>
          <w:color w:val="000000"/>
          <w:spacing w:val="0"/>
          <w:sz w:val="24"/>
          <w:szCs w:val="24"/>
          <w:shd w:val="clear" w:fill="FFFFFF"/>
        </w:rPr>
        <w:t>2025</w:t>
      </w:r>
      <w:r>
        <w:rPr>
          <w:rFonts w:hint="eastAsia" w:ascii="华文仿宋" w:hAnsi="华文仿宋" w:eastAsia="华文仿宋" w:cs="华文仿宋"/>
          <w:i w:val="0"/>
          <w:iCs w:val="0"/>
          <w:caps w:val="0"/>
          <w:color w:val="000000"/>
          <w:spacing w:val="0"/>
          <w:sz w:val="24"/>
          <w:szCs w:val="24"/>
          <w:shd w:val="clear" w:fill="FFFFFF"/>
          <w:lang w:val="en-US" w:eastAsia="zh-CN"/>
        </w:rPr>
        <w:t>年</w:t>
      </w:r>
      <w:r>
        <w:rPr>
          <w:rFonts w:hint="eastAsia" w:ascii="华文仿宋" w:hAnsi="华文仿宋" w:eastAsia="华文仿宋" w:cs="华文仿宋"/>
          <w:i w:val="0"/>
          <w:iCs w:val="0"/>
          <w:caps w:val="0"/>
          <w:color w:val="000000"/>
          <w:spacing w:val="0"/>
          <w:sz w:val="24"/>
          <w:szCs w:val="24"/>
          <w:shd w:val="clear" w:fill="FFFFFF"/>
        </w:rPr>
        <w:t>03</w:t>
      </w:r>
      <w:r>
        <w:rPr>
          <w:rFonts w:hint="eastAsia" w:ascii="华文仿宋" w:hAnsi="华文仿宋" w:eastAsia="华文仿宋" w:cs="华文仿宋"/>
          <w:i w:val="0"/>
          <w:iCs w:val="0"/>
          <w:caps w:val="0"/>
          <w:color w:val="000000"/>
          <w:spacing w:val="0"/>
          <w:sz w:val="24"/>
          <w:szCs w:val="24"/>
          <w:shd w:val="clear" w:fill="FFFFFF"/>
          <w:lang w:val="en-US" w:eastAsia="zh-CN"/>
        </w:rPr>
        <w:t>月</w:t>
      </w:r>
      <w:r>
        <w:rPr>
          <w:rFonts w:hint="eastAsia" w:ascii="华文仿宋" w:hAnsi="华文仿宋" w:eastAsia="华文仿宋" w:cs="华文仿宋"/>
          <w:i w:val="0"/>
          <w:iCs w:val="0"/>
          <w:caps w:val="0"/>
          <w:color w:val="000000"/>
          <w:spacing w:val="0"/>
          <w:sz w:val="24"/>
          <w:szCs w:val="24"/>
          <w:shd w:val="clear" w:fill="FFFFFF"/>
        </w:rPr>
        <w:t xml:space="preserve">17 </w:t>
      </w:r>
      <w:r>
        <w:rPr>
          <w:rFonts w:hint="eastAsia" w:ascii="华文仿宋" w:hAnsi="华文仿宋" w:eastAsia="华文仿宋" w:cs="华文仿宋"/>
          <w:i w:val="0"/>
          <w:iCs w:val="0"/>
          <w:caps w:val="0"/>
          <w:color w:val="000000"/>
          <w:spacing w:val="0"/>
          <w:sz w:val="24"/>
          <w:szCs w:val="24"/>
          <w:shd w:val="clear" w:fill="FFFFFF"/>
          <w:lang w:val="en-US" w:eastAsia="zh-CN"/>
        </w:rPr>
        <w:t>日</w:t>
      </w:r>
    </w:p>
    <w:p w14:paraId="1B428C0E">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right"/>
        <w:textAlignment w:val="auto"/>
        <w:rPr>
          <w:rFonts w:hint="eastAsia" w:ascii="华文仿宋" w:hAnsi="华文仿宋" w:eastAsia="华文仿宋" w:cs="华文仿宋"/>
          <w:i w:val="0"/>
          <w:iCs w:val="0"/>
          <w:caps w:val="0"/>
          <w:color w:val="000000"/>
          <w:spacing w:val="0"/>
          <w:sz w:val="24"/>
          <w:szCs w:val="24"/>
          <w:shd w:val="clear" w:fill="FFFFFF"/>
        </w:rPr>
      </w:pPr>
      <w:r>
        <w:rPr>
          <w:rFonts w:hint="eastAsia" w:ascii="华文仿宋" w:hAnsi="华文仿宋" w:eastAsia="华文仿宋" w:cs="华文仿宋"/>
          <w:i w:val="0"/>
          <w:iCs w:val="0"/>
          <w:caps w:val="0"/>
          <w:color w:val="000000"/>
          <w:spacing w:val="0"/>
          <w:sz w:val="24"/>
          <w:szCs w:val="24"/>
          <w:shd w:val="clear" w:fill="FFFFFF"/>
        </w:rPr>
        <w:t>新华社</w:t>
      </w:r>
    </w:p>
    <w:p w14:paraId="2BD7A44F">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近日，中共中央办公厅、国务院办公厅印发《提振消费专项行动方案》，并发出通知，要求各地区各部门结合实际认真贯彻落实。</w:t>
      </w:r>
    </w:p>
    <w:p w14:paraId="4EB062DF">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《提振消费专项行动方案》全文如下。</w:t>
      </w:r>
    </w:p>
    <w:p w14:paraId="41906FBC">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为大力提振消费，全方位扩大国内需求，以增收减负提升消费能力，以高质量供给创造有效需求，以优化消费环境增强消费意愿，针对性解决制约消费的突出矛盾问题，现就实施提振消费专项行动制定本方案。</w:t>
      </w:r>
    </w:p>
    <w:p w14:paraId="485751BC">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黑体" w:hAnsi="黑体" w:eastAsia="黑体" w:cs="黑体"/>
          <w:i w:val="0"/>
          <w:iCs w:val="0"/>
          <w:caps w:val="0"/>
          <w:color w:val="000000"/>
          <w:spacing w:val="0"/>
          <w:sz w:val="24"/>
          <w:szCs w:val="24"/>
        </w:rPr>
        <w:t>一、城乡居民增收促进行动</w:t>
      </w:r>
    </w:p>
    <w:p w14:paraId="19081CEC">
      <w:pPr>
        <w:keepNext w:val="0"/>
        <w:keepLines w:val="0"/>
        <w:pageBreakBefore w:val="0"/>
        <w:widowControl w:val="0"/>
        <w:numPr>
          <w:ilvl w:val="0"/>
          <w:numId w:val="1"/>
        </w:numPr>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促进工资性收入合理增长。</w:t>
      </w:r>
    </w:p>
    <w:p w14:paraId="341D6DF5">
      <w:pPr>
        <w:keepNext w:val="0"/>
        <w:keepLines w:val="0"/>
        <w:pageBreakBefore w:val="0"/>
        <w:widowControl w:val="0"/>
        <w:numPr>
          <w:ilvl w:val="0"/>
          <w:numId w:val="1"/>
        </w:numPr>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拓宽财产性收入渠道。</w:t>
      </w:r>
    </w:p>
    <w:p w14:paraId="30FC5005">
      <w:pPr>
        <w:keepNext w:val="0"/>
        <w:keepLines w:val="0"/>
        <w:pageBreakBefore w:val="0"/>
        <w:widowControl w:val="0"/>
        <w:numPr>
          <w:ilvl w:val="0"/>
          <w:numId w:val="1"/>
        </w:numPr>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多措并举促进农民增收。</w:t>
      </w:r>
    </w:p>
    <w:p w14:paraId="0728CA51">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（四）扎实解决拖欠账款问题。</w:t>
      </w:r>
    </w:p>
    <w:p w14:paraId="445614F0">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黑体" w:hAnsi="黑体" w:eastAsia="黑体" w:cs="黑体"/>
          <w:i w:val="0"/>
          <w:iCs w:val="0"/>
          <w:caps w:val="0"/>
          <w:color w:val="000000"/>
          <w:spacing w:val="0"/>
          <w:sz w:val="24"/>
          <w:szCs w:val="24"/>
        </w:rPr>
        <w:t>二、消费能力保障支持行动</w:t>
      </w:r>
    </w:p>
    <w:p w14:paraId="000EAA41">
      <w:pPr>
        <w:keepNext w:val="0"/>
        <w:keepLines w:val="0"/>
        <w:pageBreakBefore w:val="0"/>
        <w:widowControl w:val="0"/>
        <w:numPr>
          <w:ilvl w:val="0"/>
          <w:numId w:val="2"/>
        </w:numPr>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加大生育养育保障力度。</w:t>
      </w:r>
    </w:p>
    <w:p w14:paraId="0488C999">
      <w:pPr>
        <w:keepNext w:val="0"/>
        <w:keepLines w:val="0"/>
        <w:pageBreakBefore w:val="0"/>
        <w:widowControl w:val="0"/>
        <w:numPr>
          <w:ilvl w:val="0"/>
          <w:numId w:val="2"/>
        </w:numPr>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强化教育支撑。</w:t>
      </w:r>
    </w:p>
    <w:p w14:paraId="3CA47C65">
      <w:pPr>
        <w:keepNext w:val="0"/>
        <w:keepLines w:val="0"/>
        <w:pageBreakBefore w:val="0"/>
        <w:widowControl w:val="0"/>
        <w:numPr>
          <w:ilvl w:val="0"/>
          <w:numId w:val="2"/>
        </w:numPr>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提高医疗养老保障能力。</w:t>
      </w:r>
    </w:p>
    <w:p w14:paraId="481A1AC7">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（八）保障重点群体基本生活。</w:t>
      </w:r>
    </w:p>
    <w:p w14:paraId="32EB33C9">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黑体" w:hAnsi="黑体" w:eastAsia="黑体" w:cs="黑体"/>
          <w:i w:val="0"/>
          <w:iCs w:val="0"/>
          <w:caps w:val="0"/>
          <w:color w:val="000000"/>
          <w:spacing w:val="0"/>
          <w:sz w:val="24"/>
          <w:szCs w:val="24"/>
        </w:rPr>
        <w:t>三、服务消费提质惠民行动</w:t>
      </w:r>
    </w:p>
    <w:p w14:paraId="55BEC088">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（九）优化“一老一小”服务供给。推进全社会适老化改造，支持地方试点探索、整体推进多层建筑加装电梯和发展老年助餐服务。</w:t>
      </w:r>
      <w:r>
        <w:rPr>
          <w:rFonts w:hint="eastAsia" w:ascii="华文仿宋" w:hAnsi="华文仿宋" w:eastAsia="华文仿宋" w:cs="华文仿宋"/>
          <w:i w:val="0"/>
          <w:iCs w:val="0"/>
          <w:caps w:val="0"/>
          <w:color w:val="000000"/>
          <w:spacing w:val="0"/>
          <w:sz w:val="24"/>
          <w:szCs w:val="24"/>
          <w:u w:val="single"/>
        </w:rPr>
        <w:t>积极发展抗衰老、银发旅游等产业，释放银发消费市场潜力。鼓励发展社区嵌入式托育、用人单位办托和托幼一体服务。</w:t>
      </w:r>
      <w:r>
        <w:rPr>
          <w:rFonts w:hint="eastAsia" w:ascii="华文仿宋" w:hAnsi="华文仿宋" w:eastAsia="华文仿宋" w:cs="华文仿宋"/>
          <w:i w:val="0"/>
          <w:iCs w:val="0"/>
          <w:caps w:val="0"/>
          <w:color w:val="000000"/>
          <w:spacing w:val="0"/>
          <w:sz w:val="24"/>
          <w:szCs w:val="24"/>
        </w:rPr>
        <w:t>支持和规范社会力量发展养老托育服务，完善养老服务价格形成机制。鼓励有条件的地方结合实际对普惠托育机构给予场地支持和运营补助等。</w:t>
      </w:r>
    </w:p>
    <w:p w14:paraId="33088765">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（十）促进生活服务消费。</w:t>
      </w:r>
      <w:r>
        <w:rPr>
          <w:rFonts w:hint="eastAsia" w:ascii="华文仿宋" w:hAnsi="华文仿宋" w:eastAsia="华文仿宋" w:cs="华文仿宋"/>
          <w:i w:val="0"/>
          <w:iCs w:val="0"/>
          <w:caps w:val="0"/>
          <w:color w:val="000000"/>
          <w:spacing w:val="0"/>
          <w:sz w:val="24"/>
          <w:szCs w:val="24"/>
          <w:u w:val="single"/>
        </w:rPr>
        <w:t>加强服务供给能力建设，支持服务消费场景创新、业态融合、产业集聚。</w:t>
      </w:r>
      <w:r>
        <w:rPr>
          <w:rFonts w:hint="eastAsia" w:ascii="华文仿宋" w:hAnsi="华文仿宋" w:eastAsia="华文仿宋" w:cs="华文仿宋"/>
          <w:i w:val="0"/>
          <w:iCs w:val="0"/>
          <w:caps w:val="0"/>
          <w:color w:val="000000"/>
          <w:spacing w:val="0"/>
          <w:sz w:val="24"/>
          <w:szCs w:val="24"/>
        </w:rPr>
        <w:t>提升餐饮服务品质，支持地方发展特色餐饮。加大家政服务培训力度，鼓励更多高等学校、职业学校开设家政相关专业，组织实施巾帼家政提质扩容专项培训工程，完善家政行业标准规范体系和信用体系。结合城市一刻钟便民生活圈和城市社区嵌入式服务设施建设，加快配齐购物、餐饮、家政、维修等社区居民服务网点。</w:t>
      </w:r>
    </w:p>
    <w:p w14:paraId="3E72FE4D">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（十一）</w:t>
      </w:r>
      <w:r>
        <w:rPr>
          <w:rFonts w:hint="eastAsia" w:ascii="华文仿宋" w:hAnsi="华文仿宋" w:eastAsia="华文仿宋" w:cs="华文仿宋"/>
          <w:i w:val="0"/>
          <w:iCs w:val="0"/>
          <w:caps w:val="0"/>
          <w:color w:val="000000"/>
          <w:spacing w:val="0"/>
          <w:sz w:val="24"/>
          <w:szCs w:val="24"/>
          <w:u w:val="single"/>
        </w:rPr>
        <w:t>扩大文体旅游消费。深化线上线下、商旅文体健多业态消费融合，创新多元化消费场景。支持旅游景区景点、文博单位拓展服务项目，合理延长经营时间，扩大接待规模。支持各地增加优质运动项目和特色体育赛事供给。优化营业性演出、体育赛事和各类大型群众性活动审批流程，</w:t>
      </w:r>
      <w:r>
        <w:rPr>
          <w:rFonts w:hint="eastAsia" w:ascii="华文仿宋" w:hAnsi="华文仿宋" w:eastAsia="华文仿宋" w:cs="华文仿宋"/>
          <w:i w:val="0"/>
          <w:iCs w:val="0"/>
          <w:caps w:val="0"/>
          <w:color w:val="000000"/>
          <w:spacing w:val="0"/>
          <w:sz w:val="24"/>
          <w:szCs w:val="24"/>
          <w:u w:val="none"/>
        </w:rPr>
        <w:t>安全可控提高可售（发）票数量，严格落实巡演项目首演地内容审核负责制，推行“一次审批、全国巡演”。</w:t>
      </w:r>
    </w:p>
    <w:p w14:paraId="2CC6984E">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（十二）推动冰雪消费。</w:t>
      </w:r>
      <w:r>
        <w:rPr>
          <w:rFonts w:hint="eastAsia" w:ascii="华文仿宋" w:hAnsi="华文仿宋" w:eastAsia="华文仿宋" w:cs="华文仿宋"/>
          <w:i w:val="0"/>
          <w:iCs w:val="0"/>
          <w:caps w:val="0"/>
          <w:color w:val="000000"/>
          <w:spacing w:val="0"/>
          <w:sz w:val="24"/>
          <w:szCs w:val="24"/>
          <w:u w:val="single"/>
        </w:rPr>
        <w:t>启动实施冰雪旅游提升计划，组织开展冰雪消费季等促消费活动，建设一批冰雪主题高品质旅游景区、度假区，支持冰雪资源富集地区建设全球知名冰雪旅游高质量目的地。</w:t>
      </w:r>
      <w:r>
        <w:rPr>
          <w:rFonts w:hint="eastAsia" w:ascii="华文仿宋" w:hAnsi="华文仿宋" w:eastAsia="华文仿宋" w:cs="华文仿宋"/>
          <w:i w:val="0"/>
          <w:iCs w:val="0"/>
          <w:caps w:val="0"/>
          <w:color w:val="000000"/>
          <w:spacing w:val="0"/>
          <w:sz w:val="24"/>
          <w:szCs w:val="24"/>
        </w:rPr>
        <w:t>鼓励各地因时因地丰富冰雪场地和消费产品供给。</w:t>
      </w:r>
    </w:p>
    <w:p w14:paraId="11D9D242">
      <w:pPr>
        <w:keepNext w:val="0"/>
        <w:keepLines w:val="0"/>
        <w:pageBreakBefore w:val="0"/>
        <w:widowControl w:val="0"/>
        <w:numPr>
          <w:ilvl w:val="0"/>
          <w:numId w:val="3"/>
        </w:numPr>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发展入境消费</w:t>
      </w:r>
      <w:r>
        <w:rPr>
          <w:rFonts w:hint="eastAsia" w:ascii="华文仿宋" w:hAnsi="华文仿宋" w:eastAsia="华文仿宋" w:cs="华文仿宋"/>
          <w:i w:val="0"/>
          <w:iCs w:val="0"/>
          <w:caps w:val="0"/>
          <w:color w:val="000000"/>
          <w:spacing w:val="0"/>
          <w:sz w:val="24"/>
          <w:szCs w:val="24"/>
          <w:lang w:eastAsia="zh-CN"/>
        </w:rPr>
        <w:t>。</w:t>
      </w:r>
    </w:p>
    <w:p w14:paraId="6B948384">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（十四）稳步推进服务业扩大开放。扩大电信、医疗、教育等领域开放试点。</w:t>
      </w:r>
      <w:r>
        <w:rPr>
          <w:rFonts w:hint="eastAsia" w:ascii="华文仿宋" w:hAnsi="华文仿宋" w:eastAsia="华文仿宋" w:cs="华文仿宋"/>
          <w:i w:val="0"/>
          <w:iCs w:val="0"/>
          <w:caps w:val="0"/>
          <w:color w:val="000000"/>
          <w:spacing w:val="0"/>
          <w:sz w:val="24"/>
          <w:szCs w:val="24"/>
          <w:u w:val="single"/>
        </w:rPr>
        <w:t>聚焦居民消费升级需求，推动医疗健康、文化娱乐等优质生活性服务进口。推动将露营、民宿、物业服务、“互联网＋医疗”等服务消费条目纳入鼓励外商投资产业目录。</w:t>
      </w:r>
    </w:p>
    <w:p w14:paraId="743AF1B4">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黑体" w:hAnsi="黑体" w:eastAsia="黑体" w:cs="黑体"/>
          <w:i w:val="0"/>
          <w:iCs w:val="0"/>
          <w:caps w:val="0"/>
          <w:color w:val="000000"/>
          <w:spacing w:val="0"/>
          <w:sz w:val="24"/>
          <w:szCs w:val="24"/>
        </w:rPr>
        <w:t>四、大宗消费更新升级行动</w:t>
      </w:r>
    </w:p>
    <w:p w14:paraId="2A3665C0">
      <w:pPr>
        <w:keepNext w:val="0"/>
        <w:keepLines w:val="0"/>
        <w:pageBreakBefore w:val="0"/>
        <w:widowControl w:val="0"/>
        <w:numPr>
          <w:ilvl w:val="0"/>
          <w:numId w:val="4"/>
        </w:numPr>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加大消费品以旧换新支持力度</w:t>
      </w:r>
      <w:r>
        <w:rPr>
          <w:rFonts w:hint="eastAsia" w:ascii="华文仿宋" w:hAnsi="华文仿宋" w:eastAsia="华文仿宋" w:cs="华文仿宋"/>
          <w:i w:val="0"/>
          <w:iCs w:val="0"/>
          <w:caps w:val="0"/>
          <w:color w:val="000000"/>
          <w:spacing w:val="0"/>
          <w:sz w:val="24"/>
          <w:szCs w:val="24"/>
          <w:lang w:eastAsia="zh-CN"/>
        </w:rPr>
        <w:t>。</w:t>
      </w:r>
    </w:p>
    <w:p w14:paraId="706489D9">
      <w:pPr>
        <w:keepNext w:val="0"/>
        <w:keepLines w:val="0"/>
        <w:pageBreakBefore w:val="0"/>
        <w:widowControl w:val="0"/>
        <w:numPr>
          <w:ilvl w:val="0"/>
          <w:numId w:val="4"/>
        </w:numPr>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更好满足住房消费需求。</w:t>
      </w:r>
    </w:p>
    <w:p w14:paraId="2791F62C">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（十七）延伸汽车消费链条。</w:t>
      </w:r>
    </w:p>
    <w:p w14:paraId="66F4936A">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黑体" w:hAnsi="黑体" w:eastAsia="黑体" w:cs="黑体"/>
          <w:i w:val="0"/>
          <w:iCs w:val="0"/>
          <w:caps w:val="0"/>
          <w:color w:val="000000"/>
          <w:spacing w:val="0"/>
          <w:sz w:val="24"/>
          <w:szCs w:val="24"/>
        </w:rPr>
        <w:t>五、消费品质提升行动</w:t>
      </w:r>
    </w:p>
    <w:p w14:paraId="105CC393">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（十八）强化消费品牌引领。</w:t>
      </w:r>
      <w:r>
        <w:rPr>
          <w:rFonts w:hint="eastAsia" w:ascii="华文仿宋" w:hAnsi="华文仿宋" w:eastAsia="华文仿宋" w:cs="华文仿宋"/>
          <w:i w:val="0"/>
          <w:iCs w:val="0"/>
          <w:caps w:val="0"/>
          <w:color w:val="000000"/>
          <w:spacing w:val="0"/>
          <w:sz w:val="24"/>
          <w:szCs w:val="24"/>
          <w:u w:val="single"/>
        </w:rPr>
        <w:t>聚焦商贸、物流、文旅等服务领域，分类制定提升服务品质政策，打造更多中国服务品牌。将中华优秀传统文化融入产品设计，支持开发原创知识产权（IP）品牌，促进动漫、游戏、电竞及其周边衍生品等消费，开拓国货“潮品”国内外增量市场。</w:t>
      </w:r>
      <w:r>
        <w:rPr>
          <w:rFonts w:hint="eastAsia" w:ascii="华文仿宋" w:hAnsi="华文仿宋" w:eastAsia="华文仿宋" w:cs="华文仿宋"/>
          <w:i w:val="0"/>
          <w:iCs w:val="0"/>
          <w:caps w:val="0"/>
          <w:color w:val="000000"/>
          <w:spacing w:val="0"/>
          <w:sz w:val="24"/>
          <w:szCs w:val="24"/>
        </w:rPr>
        <w:t>因地制宜推进首发经济，鼓励国内外优质商品和服务品牌开设首店、举办首发首秀首展。支持推广消费新业态新模式。组织开展“购在中国”系列活动，打造中国消费名品方阵。</w:t>
      </w:r>
    </w:p>
    <w:p w14:paraId="417FF7E2">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（十九）支持新型消费加快发展。</w:t>
      </w:r>
      <w:r>
        <w:rPr>
          <w:rFonts w:hint="eastAsia" w:ascii="华文仿宋" w:hAnsi="华文仿宋" w:eastAsia="华文仿宋" w:cs="华文仿宋"/>
          <w:i w:val="0"/>
          <w:iCs w:val="0"/>
          <w:caps w:val="0"/>
          <w:color w:val="000000"/>
          <w:spacing w:val="0"/>
          <w:sz w:val="24"/>
          <w:szCs w:val="24"/>
          <w:u w:val="single"/>
        </w:rPr>
        <w:t>深入实施数字消费提升行动，大力培育品质电商。开展“人工智能＋”行动，促进“人工智能＋消费”，</w:t>
      </w:r>
      <w:r>
        <w:rPr>
          <w:rFonts w:hint="eastAsia" w:ascii="华文仿宋" w:hAnsi="华文仿宋" w:eastAsia="华文仿宋" w:cs="华文仿宋"/>
          <w:i w:val="0"/>
          <w:iCs w:val="0"/>
          <w:caps w:val="0"/>
          <w:color w:val="000000"/>
          <w:spacing w:val="0"/>
          <w:sz w:val="24"/>
          <w:szCs w:val="24"/>
        </w:rPr>
        <w:t>加速推动自动驾驶、智能穿戴、超高清视频、脑机接口、机器人、增材制造等新技术新产品开发与应用推广，开辟高成长性消费新赛道。开展健康消费专项行动。加快完善低空经济监管体系，有序发展低空旅游、航空运动、消费级无人机等低空消费。不断丰富邮轮航线和旅游产品，推进游艇登记注册和报备便利化。</w:t>
      </w:r>
    </w:p>
    <w:p w14:paraId="335B0B74">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（二十）提高内外贸一体化水平。</w:t>
      </w:r>
    </w:p>
    <w:p w14:paraId="27B71FDD">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黑体" w:hAnsi="黑体" w:eastAsia="黑体" w:cs="黑体"/>
          <w:i w:val="0"/>
          <w:iCs w:val="0"/>
          <w:caps w:val="0"/>
          <w:color w:val="000000"/>
          <w:spacing w:val="0"/>
          <w:sz w:val="24"/>
          <w:szCs w:val="24"/>
        </w:rPr>
      </w:pPr>
      <w:r>
        <w:rPr>
          <w:rFonts w:hint="eastAsia" w:ascii="黑体" w:hAnsi="黑体" w:eastAsia="黑体" w:cs="黑体"/>
          <w:i w:val="0"/>
          <w:iCs w:val="0"/>
          <w:caps w:val="0"/>
          <w:color w:val="000000"/>
          <w:spacing w:val="0"/>
          <w:sz w:val="24"/>
          <w:szCs w:val="24"/>
        </w:rPr>
        <w:t>六、消费环境改善提升行动</w:t>
      </w:r>
    </w:p>
    <w:p w14:paraId="20C19240">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（二十一）保障休息休假权益。</w:t>
      </w:r>
    </w:p>
    <w:p w14:paraId="40E02412">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（二十二）营造放心消费环境。</w:t>
      </w:r>
      <w:r>
        <w:rPr>
          <w:rFonts w:hint="eastAsia" w:ascii="华文仿宋" w:hAnsi="华文仿宋" w:eastAsia="华文仿宋" w:cs="华文仿宋"/>
          <w:i w:val="0"/>
          <w:iCs w:val="0"/>
          <w:caps w:val="0"/>
          <w:color w:val="000000"/>
          <w:spacing w:val="0"/>
          <w:sz w:val="24"/>
          <w:szCs w:val="24"/>
          <w:u w:val="single"/>
        </w:rPr>
        <w:t>实施优化消费环境三年行动，进一步完善质量标准、信用约束、综合治理、消费维权等制度。健全消费品和服务消费标准体系，加强消费领域信用体系建设，健全消费争议多元化解机制，推行更高效的消费维权方式。</w:t>
      </w:r>
      <w:r>
        <w:rPr>
          <w:rFonts w:hint="eastAsia" w:ascii="华文仿宋" w:hAnsi="华文仿宋" w:eastAsia="华文仿宋" w:cs="华文仿宋"/>
          <w:i w:val="0"/>
          <w:iCs w:val="0"/>
          <w:caps w:val="0"/>
          <w:color w:val="000000"/>
          <w:spacing w:val="0"/>
          <w:sz w:val="24"/>
          <w:szCs w:val="24"/>
        </w:rPr>
        <w:t>规范网络销售、直播带货领域“全网最低价”等不合理经营行为，倡导实价优质，依法严厉打击售卖假冒伪劣产品行为，加强缺陷产品召回监管。深化电视层层收费和操作复杂治理。</w:t>
      </w:r>
    </w:p>
    <w:p w14:paraId="582F7F14">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黑体" w:hAnsi="黑体" w:eastAsia="黑体" w:cs="黑体"/>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（二十三）完善城乡消费设施。深入实施县域商业建设行动和“千集万店”改造提升，加强县级物流配送中心和乡村终端物流配送设施建设。</w:t>
      </w:r>
      <w:r>
        <w:rPr>
          <w:rFonts w:hint="eastAsia" w:ascii="华文仿宋" w:hAnsi="华文仿宋" w:eastAsia="华文仿宋" w:cs="华文仿宋"/>
          <w:i w:val="0"/>
          <w:iCs w:val="0"/>
          <w:caps w:val="0"/>
          <w:color w:val="000000"/>
          <w:spacing w:val="0"/>
          <w:sz w:val="24"/>
          <w:szCs w:val="24"/>
          <w:u w:val="single"/>
        </w:rPr>
        <w:t>积极发展智慧商圈、沉浸式体验空间等，推动传统百货等实体店改造成为新型商业场所。加大对夜间消费集聚区域的经营活动场地、公共交通运力、临时停车泊位等配套保障力度。</w:t>
      </w:r>
    </w:p>
    <w:p w14:paraId="4B9EE56D">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黑体" w:hAnsi="黑体" w:eastAsia="黑体" w:cs="黑体"/>
          <w:i w:val="0"/>
          <w:iCs w:val="0"/>
          <w:caps w:val="0"/>
          <w:color w:val="000000"/>
          <w:spacing w:val="0"/>
          <w:sz w:val="24"/>
          <w:szCs w:val="24"/>
        </w:rPr>
        <w:t>七、限制措施清理优化行动</w:t>
      </w:r>
    </w:p>
    <w:p w14:paraId="039824F4">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（二十四）有序减少消费限制。</w:t>
      </w:r>
    </w:p>
    <w:p w14:paraId="531DB84F">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（二十五）持续优化营商环境。</w:t>
      </w:r>
      <w:r>
        <w:rPr>
          <w:rFonts w:hint="eastAsia" w:ascii="华文仿宋" w:hAnsi="华文仿宋" w:eastAsia="华文仿宋" w:cs="华文仿宋"/>
          <w:i w:val="0"/>
          <w:iCs w:val="0"/>
          <w:caps w:val="0"/>
          <w:color w:val="000000"/>
          <w:spacing w:val="0"/>
          <w:sz w:val="24"/>
          <w:szCs w:val="24"/>
          <w:u w:val="single"/>
        </w:rPr>
        <w:t>完善市场准入负面清单管理模式，以环保、卫生、安保、质检、消防等领域为重点，深入清理整治各类市场准入壁垒，营造稳定公平透明可预期的市场环境。</w:t>
      </w:r>
      <w:r>
        <w:rPr>
          <w:rFonts w:hint="eastAsia" w:ascii="华文仿宋" w:hAnsi="华文仿宋" w:eastAsia="华文仿宋" w:cs="华文仿宋"/>
          <w:i w:val="0"/>
          <w:iCs w:val="0"/>
          <w:caps w:val="0"/>
          <w:color w:val="000000"/>
          <w:spacing w:val="0"/>
          <w:sz w:val="24"/>
          <w:szCs w:val="24"/>
        </w:rPr>
        <w:t>鼓励各地区对促销活动、社区集市、户外展示、招牌设施设置等简化审批流程，实行线上即报即办。以跨部门联合方式提升监管抽查效率，对大众消费场所无事不扰。</w:t>
      </w:r>
    </w:p>
    <w:p w14:paraId="1E8AAFE0">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黑体" w:hAnsi="黑体" w:eastAsia="黑体" w:cs="黑体"/>
          <w:i w:val="0"/>
          <w:iCs w:val="0"/>
          <w:caps w:val="0"/>
          <w:color w:val="000000"/>
          <w:spacing w:val="0"/>
          <w:sz w:val="24"/>
          <w:szCs w:val="24"/>
        </w:rPr>
        <w:t>八、完善支持政策</w:t>
      </w:r>
    </w:p>
    <w:p w14:paraId="4C6243DD">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（二十六）加强促消费政策协同联动。</w:t>
      </w:r>
    </w:p>
    <w:p w14:paraId="3AF580FF">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（二十七）强化投资对消费的支撑作用。更好统筹投资和消费，</w:t>
      </w:r>
      <w:r>
        <w:rPr>
          <w:rFonts w:hint="eastAsia" w:ascii="华文仿宋" w:hAnsi="华文仿宋" w:eastAsia="华文仿宋" w:cs="华文仿宋"/>
          <w:i w:val="0"/>
          <w:iCs w:val="0"/>
          <w:caps w:val="0"/>
          <w:color w:val="000000"/>
          <w:spacing w:val="0"/>
          <w:sz w:val="24"/>
          <w:szCs w:val="24"/>
          <w:u w:val="single"/>
        </w:rPr>
        <w:t>扩大消费基础设施、消费服务功能提升类、消费新业态新模式的有效投资，推动实现投资效益提高和消费扩容升级的良性互促。中央预算内投资等加力支持教育医疗、技能培训、养老托育、文旅体育等领域项目建设，补齐公共服务短板。</w:t>
      </w:r>
      <w:r>
        <w:rPr>
          <w:rFonts w:hint="eastAsia" w:ascii="华文仿宋" w:hAnsi="华文仿宋" w:eastAsia="华文仿宋" w:cs="华文仿宋"/>
          <w:i w:val="0"/>
          <w:iCs w:val="0"/>
          <w:caps w:val="0"/>
          <w:color w:val="000000"/>
          <w:spacing w:val="0"/>
          <w:sz w:val="24"/>
          <w:szCs w:val="24"/>
        </w:rPr>
        <w:t>支持符合条件的消费、文化旅游等领域项目发行基础设施领域不动产投资信托基金（REITs）。</w:t>
      </w:r>
    </w:p>
    <w:p w14:paraId="41B43CF1">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二十八）发挥财政政策引导带动作用。运用财政补贴、贷款贴息等政策工具，突出重点、精准施策，将促消费同惠民生、补短板结合起来，扩大消费需求，提升消费能力，更好发挥消费在畅通国民经济循环、拉动经济增长中的积极作用。</w:t>
      </w:r>
    </w:p>
    <w:p w14:paraId="57969B5F">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（二十九）强化信贷支持。</w:t>
      </w:r>
    </w:p>
    <w:p w14:paraId="5C5FC72A">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（三十）完善消费配套保障措施。</w:t>
      </w:r>
      <w:r>
        <w:rPr>
          <w:rFonts w:hint="eastAsia" w:ascii="华文仿宋" w:hAnsi="华文仿宋" w:eastAsia="华文仿宋" w:cs="华文仿宋"/>
          <w:i w:val="0"/>
          <w:iCs w:val="0"/>
          <w:caps w:val="0"/>
          <w:color w:val="000000"/>
          <w:spacing w:val="0"/>
          <w:sz w:val="24"/>
          <w:szCs w:val="24"/>
          <w:u w:val="single"/>
        </w:rPr>
        <w:t>鼓励各级工会将经费用于节日慰问品、职工健身、文化体育等消费领域。</w:t>
      </w:r>
      <w:r>
        <w:rPr>
          <w:rFonts w:hint="eastAsia" w:ascii="华文仿宋" w:hAnsi="华文仿宋" w:eastAsia="华文仿宋" w:cs="华文仿宋"/>
          <w:i w:val="0"/>
          <w:iCs w:val="0"/>
          <w:caps w:val="0"/>
          <w:color w:val="000000"/>
          <w:spacing w:val="0"/>
          <w:sz w:val="24"/>
          <w:szCs w:val="24"/>
        </w:rPr>
        <w:t>加力实施消费帮扶，加强产销精准对接。探索开展有奖发票活动。健全服务消费、消费新业态新模式统计监测，加强买方分地区实物商品网上零售额统计，完善全口径消费统计制度。</w:t>
      </w:r>
    </w:p>
    <w:p w14:paraId="1D7F74E9">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rPr>
      </w:pPr>
      <w:r>
        <w:rPr>
          <w:rFonts w:hint="eastAsia" w:ascii="华文仿宋" w:hAnsi="华文仿宋" w:eastAsia="华文仿宋" w:cs="华文仿宋"/>
          <w:i w:val="0"/>
          <w:iCs w:val="0"/>
          <w:caps w:val="0"/>
          <w:color w:val="000000"/>
          <w:spacing w:val="0"/>
          <w:sz w:val="24"/>
          <w:szCs w:val="24"/>
        </w:rPr>
        <w:t>各地区各部门要把提振消费摆到更加突出位置，按职责分工切实履行责任，加强协同联动，完善工作机制，因地制宜探索务实举措，加快形成工作合力，稳定市场预期，扎实推动提振消费各项政策措施更快更好落地见效。</w:t>
      </w:r>
    </w:p>
    <w:p w14:paraId="6C5DEB38">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lang w:val="en-US" w:eastAsia="zh-CN"/>
        </w:rPr>
      </w:pPr>
      <w:r>
        <w:rPr>
          <w:rFonts w:hint="eastAsia" w:ascii="华文仿宋" w:hAnsi="华文仿宋" w:eastAsia="华文仿宋" w:cs="华文仿宋"/>
          <w:b/>
          <w:bCs/>
          <w:i w:val="0"/>
          <w:iCs w:val="0"/>
          <w:caps w:val="0"/>
          <w:color w:val="000000"/>
          <w:spacing w:val="0"/>
          <w:sz w:val="24"/>
          <w:szCs w:val="24"/>
          <w:lang w:val="en-US" w:eastAsia="zh-CN"/>
        </w:rPr>
        <w:t>该《方案》有以下几点需我司注意：</w:t>
      </w:r>
    </w:p>
    <w:p w14:paraId="32AEFCC7">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b/>
          <w:bCs/>
          <w:i w:val="0"/>
          <w:iCs w:val="0"/>
          <w:caps w:val="0"/>
          <w:color w:val="000000"/>
          <w:spacing w:val="0"/>
          <w:sz w:val="24"/>
          <w:szCs w:val="24"/>
          <w:lang w:val="en-US" w:eastAsia="zh-CN"/>
        </w:rPr>
        <w:t>1. 深化大众体育赛事普惠性</w:t>
      </w:r>
      <w:r>
        <w:rPr>
          <w:rFonts w:hint="eastAsia" w:ascii="华文仿宋" w:hAnsi="华文仿宋" w:eastAsia="华文仿宋" w:cs="华文仿宋"/>
          <w:b/>
          <w:bCs/>
          <w:i w:val="0"/>
          <w:iCs w:val="0"/>
          <w:caps w:val="0"/>
          <w:color w:val="000000"/>
          <w:spacing w:val="0"/>
          <w:sz w:val="24"/>
          <w:szCs w:val="24"/>
          <w:lang w:val="en-US" w:eastAsia="zh-CN"/>
        </w:rPr>
        <w:t>。</w:t>
      </w:r>
      <w:r>
        <w:rPr>
          <w:rFonts w:hint="default" w:ascii="华文仿宋" w:hAnsi="华文仿宋" w:eastAsia="华文仿宋" w:cs="华文仿宋"/>
          <w:i w:val="0"/>
          <w:iCs w:val="0"/>
          <w:caps w:val="0"/>
          <w:color w:val="000000"/>
          <w:spacing w:val="0"/>
          <w:sz w:val="24"/>
          <w:szCs w:val="24"/>
          <w:lang w:val="en-US" w:eastAsia="zh-CN"/>
        </w:rPr>
        <w:t>政策提出“扩大全民健身服务供给”，我司需加强低门槛、趣味化赛事的策划，如增设</w:t>
      </w:r>
      <w:r>
        <w:rPr>
          <w:rFonts w:hint="eastAsia" w:ascii="华文仿宋" w:hAnsi="华文仿宋" w:eastAsia="华文仿宋" w:cs="华文仿宋"/>
          <w:i w:val="0"/>
          <w:iCs w:val="0"/>
          <w:caps w:val="0"/>
          <w:color w:val="000000"/>
          <w:spacing w:val="0"/>
          <w:sz w:val="24"/>
          <w:szCs w:val="24"/>
          <w:lang w:val="en-US" w:eastAsia="zh-CN"/>
        </w:rPr>
        <w:t>杭州以及东阳</w:t>
      </w:r>
      <w:r>
        <w:rPr>
          <w:rFonts w:hint="default" w:ascii="华文仿宋" w:hAnsi="华文仿宋" w:eastAsia="华文仿宋" w:cs="华文仿宋"/>
          <w:i w:val="0"/>
          <w:iCs w:val="0"/>
          <w:caps w:val="0"/>
          <w:color w:val="000000"/>
          <w:spacing w:val="0"/>
          <w:sz w:val="24"/>
          <w:szCs w:val="24"/>
          <w:lang w:val="en-US" w:eastAsia="zh-CN"/>
        </w:rPr>
        <w:t>社区</w:t>
      </w:r>
      <w:r>
        <w:rPr>
          <w:rFonts w:hint="eastAsia" w:ascii="华文仿宋" w:hAnsi="华文仿宋" w:eastAsia="华文仿宋" w:cs="华文仿宋"/>
          <w:i w:val="0"/>
          <w:iCs w:val="0"/>
          <w:caps w:val="0"/>
          <w:color w:val="000000"/>
          <w:spacing w:val="0"/>
          <w:sz w:val="24"/>
          <w:szCs w:val="24"/>
          <w:lang w:val="en-US" w:eastAsia="zh-CN"/>
        </w:rPr>
        <w:t>的</w:t>
      </w:r>
      <w:r>
        <w:rPr>
          <w:rFonts w:hint="default" w:ascii="华文仿宋" w:hAnsi="华文仿宋" w:eastAsia="华文仿宋" w:cs="华文仿宋"/>
          <w:i w:val="0"/>
          <w:iCs w:val="0"/>
          <w:caps w:val="0"/>
          <w:color w:val="000000"/>
          <w:spacing w:val="0"/>
          <w:sz w:val="24"/>
          <w:szCs w:val="24"/>
          <w:lang w:val="en-US" w:eastAsia="zh-CN"/>
        </w:rPr>
        <w:t>体能挑战赛、青少年运动嘉年华等，通过简化规则、增设家庭组别等方式，吸引全年龄段参与，尤其覆盖中老年及儿童群体，强化普惠属性。</w:t>
      </w:r>
    </w:p>
    <w:p w14:paraId="67AEF5E2">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p>
    <w:p w14:paraId="25384BCA">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b/>
          <w:bCs/>
          <w:i w:val="0"/>
          <w:iCs w:val="0"/>
          <w:caps w:val="0"/>
          <w:color w:val="000000"/>
          <w:spacing w:val="0"/>
          <w:sz w:val="24"/>
          <w:szCs w:val="24"/>
          <w:lang w:val="en-US" w:eastAsia="zh-CN"/>
        </w:rPr>
        <w:t>2. 推动“体育+文旅”场景融合</w:t>
      </w:r>
      <w:r>
        <w:rPr>
          <w:rFonts w:hint="eastAsia" w:ascii="华文仿宋" w:hAnsi="华文仿宋" w:eastAsia="华文仿宋" w:cs="华文仿宋"/>
          <w:b/>
          <w:bCs/>
          <w:i w:val="0"/>
          <w:iCs w:val="0"/>
          <w:caps w:val="0"/>
          <w:color w:val="000000"/>
          <w:spacing w:val="0"/>
          <w:sz w:val="24"/>
          <w:szCs w:val="24"/>
          <w:lang w:val="en-US" w:eastAsia="zh-CN"/>
        </w:rPr>
        <w:t>。</w:t>
      </w:r>
      <w:r>
        <w:rPr>
          <w:rFonts w:hint="default" w:ascii="华文仿宋" w:hAnsi="华文仿宋" w:eastAsia="华文仿宋" w:cs="华文仿宋"/>
          <w:i w:val="0"/>
          <w:iCs w:val="0"/>
          <w:caps w:val="0"/>
          <w:color w:val="000000"/>
          <w:spacing w:val="0"/>
          <w:sz w:val="24"/>
          <w:szCs w:val="24"/>
          <w:lang w:val="en-US" w:eastAsia="zh-CN"/>
        </w:rPr>
        <w:t>政策强调“促进服务消费供需适配”，</w:t>
      </w:r>
      <w:r>
        <w:rPr>
          <w:rFonts w:hint="eastAsia" w:ascii="华文仿宋" w:hAnsi="华文仿宋" w:eastAsia="华文仿宋" w:cs="华文仿宋"/>
          <w:i w:val="0"/>
          <w:iCs w:val="0"/>
          <w:caps w:val="0"/>
          <w:color w:val="000000"/>
          <w:spacing w:val="0"/>
          <w:sz w:val="24"/>
          <w:szCs w:val="24"/>
          <w:lang w:val="en-US" w:eastAsia="zh-CN"/>
        </w:rPr>
        <w:t>我司</w:t>
      </w:r>
      <w:r>
        <w:rPr>
          <w:rFonts w:hint="default" w:ascii="华文仿宋" w:hAnsi="华文仿宋" w:eastAsia="华文仿宋" w:cs="华文仿宋"/>
          <w:i w:val="0"/>
          <w:iCs w:val="0"/>
          <w:caps w:val="0"/>
          <w:color w:val="000000"/>
          <w:spacing w:val="0"/>
          <w:sz w:val="24"/>
          <w:szCs w:val="24"/>
          <w:lang w:val="en-US" w:eastAsia="zh-CN"/>
        </w:rPr>
        <w:t>可联合</w:t>
      </w:r>
      <w:r>
        <w:rPr>
          <w:rFonts w:hint="eastAsia" w:ascii="华文仿宋" w:hAnsi="华文仿宋" w:eastAsia="华文仿宋" w:cs="华文仿宋"/>
          <w:i w:val="0"/>
          <w:iCs w:val="0"/>
          <w:caps w:val="0"/>
          <w:color w:val="000000"/>
          <w:spacing w:val="0"/>
          <w:sz w:val="24"/>
          <w:szCs w:val="24"/>
          <w:lang w:val="en-US" w:eastAsia="zh-CN"/>
        </w:rPr>
        <w:t>东阳</w:t>
      </w:r>
      <w:r>
        <w:rPr>
          <w:rFonts w:hint="default" w:ascii="华文仿宋" w:hAnsi="华文仿宋" w:eastAsia="华文仿宋" w:cs="华文仿宋"/>
          <w:i w:val="0"/>
          <w:iCs w:val="0"/>
          <w:caps w:val="0"/>
          <w:color w:val="000000"/>
          <w:spacing w:val="0"/>
          <w:sz w:val="24"/>
          <w:szCs w:val="24"/>
          <w:lang w:val="en-US" w:eastAsia="zh-CN"/>
        </w:rPr>
        <w:t>文旅资源打造特色IP活动。例如在赛事中嵌入非遗体育项目体验、运动主题短途游（徒步+乡村文化探访），或与</w:t>
      </w:r>
      <w:r>
        <w:rPr>
          <w:rFonts w:hint="eastAsia" w:ascii="华文仿宋" w:hAnsi="华文仿宋" w:eastAsia="华文仿宋" w:cs="华文仿宋"/>
          <w:i w:val="0"/>
          <w:iCs w:val="0"/>
          <w:caps w:val="0"/>
          <w:color w:val="000000"/>
          <w:spacing w:val="0"/>
          <w:sz w:val="24"/>
          <w:szCs w:val="24"/>
          <w:lang w:val="en-US" w:eastAsia="zh-CN"/>
        </w:rPr>
        <w:t>当地</w:t>
      </w:r>
      <w:r>
        <w:rPr>
          <w:rFonts w:hint="default" w:ascii="华文仿宋" w:hAnsi="华文仿宋" w:eastAsia="华文仿宋" w:cs="华文仿宋"/>
          <w:i w:val="0"/>
          <w:iCs w:val="0"/>
          <w:caps w:val="0"/>
          <w:color w:val="000000"/>
          <w:spacing w:val="0"/>
          <w:sz w:val="24"/>
          <w:szCs w:val="24"/>
          <w:lang w:val="en-US" w:eastAsia="zh-CN"/>
        </w:rPr>
        <w:t>景区合作推出“完赛免门票”联动权益，提升消费附加值。</w:t>
      </w:r>
    </w:p>
    <w:p w14:paraId="03EB1237">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b/>
          <w:bCs/>
          <w:i w:val="0"/>
          <w:iCs w:val="0"/>
          <w:caps w:val="0"/>
          <w:color w:val="000000"/>
          <w:spacing w:val="0"/>
          <w:sz w:val="24"/>
          <w:szCs w:val="24"/>
          <w:lang w:val="en-US" w:eastAsia="zh-CN"/>
        </w:rPr>
        <w:t>3. 构建阶梯式品牌赛事体系</w:t>
      </w:r>
      <w:r>
        <w:rPr>
          <w:rFonts w:hint="eastAsia" w:ascii="华文仿宋" w:hAnsi="华文仿宋" w:eastAsia="华文仿宋" w:cs="华文仿宋"/>
          <w:b/>
          <w:bCs/>
          <w:i w:val="0"/>
          <w:iCs w:val="0"/>
          <w:caps w:val="0"/>
          <w:color w:val="000000"/>
          <w:spacing w:val="0"/>
          <w:sz w:val="24"/>
          <w:szCs w:val="24"/>
          <w:lang w:val="en-US" w:eastAsia="zh-CN"/>
        </w:rPr>
        <w:t>。</w:t>
      </w:r>
      <w:r>
        <w:rPr>
          <w:rFonts w:hint="default" w:ascii="华文仿宋" w:hAnsi="华文仿宋" w:eastAsia="华文仿宋" w:cs="华文仿宋"/>
          <w:i w:val="0"/>
          <w:iCs w:val="0"/>
          <w:caps w:val="0"/>
          <w:color w:val="000000"/>
          <w:spacing w:val="0"/>
          <w:sz w:val="24"/>
          <w:szCs w:val="24"/>
          <w:lang w:val="en-US" w:eastAsia="zh-CN"/>
        </w:rPr>
        <w:t>响应“培育特色消费品牌”要求，</w:t>
      </w:r>
      <w:r>
        <w:rPr>
          <w:rFonts w:hint="eastAsia" w:ascii="华文仿宋" w:hAnsi="华文仿宋" w:eastAsia="华文仿宋" w:cs="华文仿宋"/>
          <w:i w:val="0"/>
          <w:iCs w:val="0"/>
          <w:caps w:val="0"/>
          <w:color w:val="000000"/>
          <w:spacing w:val="0"/>
          <w:sz w:val="24"/>
          <w:szCs w:val="24"/>
          <w:lang w:val="en-US" w:eastAsia="zh-CN"/>
        </w:rPr>
        <w:t>我司</w:t>
      </w:r>
      <w:r>
        <w:rPr>
          <w:rFonts w:hint="default" w:ascii="华文仿宋" w:hAnsi="华文仿宋" w:eastAsia="华文仿宋" w:cs="华文仿宋"/>
          <w:i w:val="0"/>
          <w:iCs w:val="0"/>
          <w:caps w:val="0"/>
          <w:color w:val="000000"/>
          <w:spacing w:val="0"/>
          <w:sz w:val="24"/>
          <w:szCs w:val="24"/>
          <w:lang w:val="en-US" w:eastAsia="zh-CN"/>
        </w:rPr>
        <w:t>需完善赛事层级架构：针对新手设立“运动达人启蒙赛”，针对爱好者举办</w:t>
      </w:r>
      <w:r>
        <w:rPr>
          <w:rFonts w:hint="eastAsia" w:ascii="华文仿宋" w:hAnsi="华文仿宋" w:eastAsia="华文仿宋" w:cs="华文仿宋"/>
          <w:i w:val="0"/>
          <w:iCs w:val="0"/>
          <w:caps w:val="0"/>
          <w:color w:val="000000"/>
          <w:spacing w:val="0"/>
          <w:sz w:val="24"/>
          <w:szCs w:val="24"/>
          <w:lang w:val="en-US" w:eastAsia="zh-CN"/>
        </w:rPr>
        <w:t>杭州</w:t>
      </w:r>
      <w:r>
        <w:rPr>
          <w:rFonts w:hint="default" w:ascii="华文仿宋" w:hAnsi="华文仿宋" w:eastAsia="华文仿宋" w:cs="华文仿宋"/>
          <w:i w:val="0"/>
          <w:iCs w:val="0"/>
          <w:caps w:val="0"/>
          <w:color w:val="000000"/>
          <w:spacing w:val="0"/>
          <w:sz w:val="24"/>
          <w:szCs w:val="24"/>
          <w:lang w:val="en-US" w:eastAsia="zh-CN"/>
        </w:rPr>
        <w:t>城市联赛，针对高水准群体引入省级邀请赛。同步开发配套培训课程（如赛事规则解析、技能提升营），形成“训赛一体”闭环。</w:t>
      </w:r>
    </w:p>
    <w:p w14:paraId="25EF5B76">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b/>
          <w:bCs/>
          <w:i w:val="0"/>
          <w:iCs w:val="0"/>
          <w:caps w:val="0"/>
          <w:color w:val="000000"/>
          <w:spacing w:val="0"/>
          <w:sz w:val="24"/>
          <w:szCs w:val="24"/>
          <w:lang w:val="en-US" w:eastAsia="zh-CN"/>
        </w:rPr>
        <w:t>4. 探索数字化赛事创新模式</w:t>
      </w:r>
      <w:r>
        <w:rPr>
          <w:rFonts w:hint="eastAsia" w:ascii="华文仿宋" w:hAnsi="华文仿宋" w:eastAsia="华文仿宋" w:cs="华文仿宋"/>
          <w:b/>
          <w:bCs/>
          <w:i w:val="0"/>
          <w:iCs w:val="0"/>
          <w:caps w:val="0"/>
          <w:color w:val="000000"/>
          <w:spacing w:val="0"/>
          <w:sz w:val="24"/>
          <w:szCs w:val="24"/>
          <w:lang w:val="en-US" w:eastAsia="zh-CN"/>
        </w:rPr>
        <w:t>。</w:t>
      </w:r>
      <w:r>
        <w:rPr>
          <w:rFonts w:hint="default" w:ascii="华文仿宋" w:hAnsi="华文仿宋" w:eastAsia="华文仿宋" w:cs="华文仿宋"/>
          <w:i w:val="0"/>
          <w:iCs w:val="0"/>
          <w:caps w:val="0"/>
          <w:color w:val="000000"/>
          <w:spacing w:val="0"/>
          <w:sz w:val="24"/>
          <w:szCs w:val="24"/>
          <w:lang w:val="en-US" w:eastAsia="zh-CN"/>
        </w:rPr>
        <w:t xml:space="preserve"> 政策鼓励“培育消费新业态”，</w:t>
      </w:r>
      <w:r>
        <w:rPr>
          <w:rFonts w:hint="eastAsia" w:ascii="华文仿宋" w:hAnsi="华文仿宋" w:eastAsia="华文仿宋" w:cs="华文仿宋"/>
          <w:i w:val="0"/>
          <w:iCs w:val="0"/>
          <w:caps w:val="0"/>
          <w:color w:val="000000"/>
          <w:spacing w:val="0"/>
          <w:sz w:val="24"/>
          <w:szCs w:val="24"/>
          <w:lang w:val="en-US" w:eastAsia="zh-CN"/>
        </w:rPr>
        <w:t>我司</w:t>
      </w:r>
      <w:r>
        <w:rPr>
          <w:rFonts w:hint="default" w:ascii="华文仿宋" w:hAnsi="华文仿宋" w:eastAsia="华文仿宋" w:cs="华文仿宋"/>
          <w:i w:val="0"/>
          <w:iCs w:val="0"/>
          <w:caps w:val="0"/>
          <w:color w:val="000000"/>
          <w:spacing w:val="0"/>
          <w:sz w:val="24"/>
          <w:szCs w:val="24"/>
          <w:lang w:val="en-US" w:eastAsia="zh-CN"/>
        </w:rPr>
        <w:t>可拓展“线上+线下”融合场景。例如开发运动打卡小程序，用户上传训练视频AI判定完成度并积分；</w:t>
      </w:r>
      <w:r>
        <w:rPr>
          <w:rFonts w:hint="eastAsia" w:ascii="华文仿宋" w:hAnsi="华文仿宋" w:eastAsia="华文仿宋" w:cs="华文仿宋"/>
          <w:i w:val="0"/>
          <w:iCs w:val="0"/>
          <w:caps w:val="0"/>
          <w:color w:val="000000"/>
          <w:spacing w:val="0"/>
          <w:sz w:val="24"/>
          <w:szCs w:val="24"/>
          <w:lang w:val="en-US" w:eastAsia="zh-CN"/>
        </w:rPr>
        <w:t>还可以</w:t>
      </w:r>
      <w:r>
        <w:rPr>
          <w:rFonts w:hint="default" w:ascii="华文仿宋" w:hAnsi="华文仿宋" w:eastAsia="华文仿宋" w:cs="华文仿宋"/>
          <w:i w:val="0"/>
          <w:iCs w:val="0"/>
          <w:caps w:val="0"/>
          <w:color w:val="000000"/>
          <w:spacing w:val="0"/>
          <w:sz w:val="24"/>
          <w:szCs w:val="24"/>
          <w:lang w:val="en-US" w:eastAsia="zh-CN"/>
        </w:rPr>
        <w:t>举办“</w:t>
      </w:r>
      <w:r>
        <w:rPr>
          <w:rFonts w:hint="eastAsia" w:ascii="华文仿宋" w:hAnsi="华文仿宋" w:eastAsia="华文仿宋" w:cs="华文仿宋"/>
          <w:i w:val="0"/>
          <w:iCs w:val="0"/>
          <w:caps w:val="0"/>
          <w:color w:val="000000"/>
          <w:spacing w:val="0"/>
          <w:sz w:val="24"/>
          <w:szCs w:val="24"/>
          <w:lang w:val="en-US" w:eastAsia="zh-CN"/>
        </w:rPr>
        <w:t>线上</w:t>
      </w:r>
      <w:r>
        <w:rPr>
          <w:rFonts w:hint="default" w:ascii="华文仿宋" w:hAnsi="华文仿宋" w:eastAsia="华文仿宋" w:cs="华文仿宋"/>
          <w:i w:val="0"/>
          <w:iCs w:val="0"/>
          <w:caps w:val="0"/>
          <w:color w:val="000000"/>
          <w:spacing w:val="0"/>
          <w:sz w:val="24"/>
          <w:szCs w:val="24"/>
          <w:lang w:val="en-US" w:eastAsia="zh-CN"/>
        </w:rPr>
        <w:t>运动会”，通过</w:t>
      </w:r>
      <w:r>
        <w:rPr>
          <w:rFonts w:hint="eastAsia" w:ascii="华文仿宋" w:hAnsi="华文仿宋" w:eastAsia="华文仿宋" w:cs="华文仿宋"/>
          <w:i w:val="0"/>
          <w:iCs w:val="0"/>
          <w:caps w:val="0"/>
          <w:color w:val="000000"/>
          <w:spacing w:val="0"/>
          <w:sz w:val="24"/>
          <w:szCs w:val="24"/>
          <w:lang w:val="en-US" w:eastAsia="zh-CN"/>
        </w:rPr>
        <w:t>线上APP或小程序</w:t>
      </w:r>
      <w:r>
        <w:rPr>
          <w:rFonts w:hint="default" w:ascii="华文仿宋" w:hAnsi="华文仿宋" w:eastAsia="华文仿宋" w:cs="华文仿宋"/>
          <w:i w:val="0"/>
          <w:iCs w:val="0"/>
          <w:caps w:val="0"/>
          <w:color w:val="000000"/>
          <w:spacing w:val="0"/>
          <w:sz w:val="24"/>
          <w:szCs w:val="24"/>
          <w:lang w:val="en-US" w:eastAsia="zh-CN"/>
        </w:rPr>
        <w:t>实现异地同场竞技，增强科技感与传播力。</w:t>
      </w:r>
    </w:p>
    <w:p w14:paraId="1832AF4D">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b/>
          <w:bCs/>
          <w:i w:val="0"/>
          <w:iCs w:val="0"/>
          <w:caps w:val="0"/>
          <w:color w:val="000000"/>
          <w:spacing w:val="0"/>
          <w:sz w:val="24"/>
          <w:szCs w:val="24"/>
          <w:lang w:val="en-US" w:eastAsia="zh-CN"/>
        </w:rPr>
        <w:t>5. 强化新媒体矩阵精准触达</w:t>
      </w:r>
      <w:r>
        <w:rPr>
          <w:rFonts w:hint="eastAsia" w:ascii="华文仿宋" w:hAnsi="华文仿宋" w:eastAsia="华文仿宋" w:cs="华文仿宋"/>
          <w:b/>
          <w:bCs/>
          <w:i w:val="0"/>
          <w:iCs w:val="0"/>
          <w:caps w:val="0"/>
          <w:color w:val="000000"/>
          <w:spacing w:val="0"/>
          <w:sz w:val="24"/>
          <w:szCs w:val="24"/>
          <w:lang w:val="en-US" w:eastAsia="zh-CN"/>
        </w:rPr>
        <w:t>。</w:t>
      </w:r>
      <w:r>
        <w:rPr>
          <w:rFonts w:hint="default" w:ascii="华文仿宋" w:hAnsi="华文仿宋" w:eastAsia="华文仿宋" w:cs="华文仿宋"/>
          <w:b/>
          <w:bCs/>
          <w:i w:val="0"/>
          <w:iCs w:val="0"/>
          <w:caps w:val="0"/>
          <w:color w:val="000000"/>
          <w:spacing w:val="0"/>
          <w:sz w:val="24"/>
          <w:szCs w:val="24"/>
          <w:lang w:val="en-US" w:eastAsia="zh-CN"/>
        </w:rPr>
        <w:t xml:space="preserve"> </w:t>
      </w:r>
      <w:r>
        <w:rPr>
          <w:rFonts w:hint="default" w:ascii="华文仿宋" w:hAnsi="华文仿宋" w:eastAsia="华文仿宋" w:cs="华文仿宋"/>
          <w:i w:val="0"/>
          <w:iCs w:val="0"/>
          <w:caps w:val="0"/>
          <w:color w:val="000000"/>
          <w:spacing w:val="0"/>
          <w:sz w:val="24"/>
          <w:szCs w:val="24"/>
          <w:lang w:val="en-US" w:eastAsia="zh-CN"/>
        </w:rPr>
        <w:t>借力政策“创新消费营销方式”，</w:t>
      </w:r>
      <w:r>
        <w:rPr>
          <w:rFonts w:hint="eastAsia" w:ascii="华文仿宋" w:hAnsi="华文仿宋" w:eastAsia="华文仿宋" w:cs="华文仿宋"/>
          <w:i w:val="0"/>
          <w:iCs w:val="0"/>
          <w:caps w:val="0"/>
          <w:color w:val="000000"/>
          <w:spacing w:val="0"/>
          <w:sz w:val="24"/>
          <w:szCs w:val="24"/>
          <w:lang w:val="en-US" w:eastAsia="zh-CN"/>
        </w:rPr>
        <w:t>我司</w:t>
      </w:r>
      <w:r>
        <w:rPr>
          <w:rFonts w:hint="default" w:ascii="华文仿宋" w:hAnsi="华文仿宋" w:eastAsia="华文仿宋" w:cs="华文仿宋"/>
          <w:i w:val="0"/>
          <w:iCs w:val="0"/>
          <w:caps w:val="0"/>
          <w:color w:val="000000"/>
          <w:spacing w:val="0"/>
          <w:sz w:val="24"/>
          <w:szCs w:val="24"/>
          <w:lang w:val="en-US" w:eastAsia="zh-CN"/>
        </w:rPr>
        <w:t>需优化新媒体运营策略</w:t>
      </w:r>
      <w:r>
        <w:rPr>
          <w:rFonts w:hint="eastAsia" w:ascii="华文仿宋" w:hAnsi="华文仿宋" w:eastAsia="华文仿宋" w:cs="华文仿宋"/>
          <w:i w:val="0"/>
          <w:iCs w:val="0"/>
          <w:caps w:val="0"/>
          <w:color w:val="000000"/>
          <w:spacing w:val="0"/>
          <w:sz w:val="24"/>
          <w:szCs w:val="24"/>
          <w:lang w:val="en-US" w:eastAsia="zh-CN"/>
        </w:rPr>
        <w:t>，提升内容的针对性</w:t>
      </w:r>
      <w:r>
        <w:rPr>
          <w:rFonts w:hint="default" w:ascii="华文仿宋" w:hAnsi="华文仿宋" w:eastAsia="华文仿宋" w:cs="华文仿宋"/>
          <w:i w:val="0"/>
          <w:iCs w:val="0"/>
          <w:caps w:val="0"/>
          <w:color w:val="000000"/>
          <w:spacing w:val="0"/>
          <w:sz w:val="24"/>
          <w:szCs w:val="24"/>
          <w:lang w:val="en-US" w:eastAsia="zh-CN"/>
        </w:rPr>
        <w:t>。针对青少年群体，在短视频平台投放“</w:t>
      </w:r>
      <w:r>
        <w:rPr>
          <w:rFonts w:hint="eastAsia" w:ascii="华文仿宋" w:hAnsi="华文仿宋" w:eastAsia="华文仿宋" w:cs="华文仿宋"/>
          <w:i w:val="0"/>
          <w:iCs w:val="0"/>
          <w:caps w:val="0"/>
          <w:color w:val="000000"/>
          <w:spacing w:val="0"/>
          <w:sz w:val="24"/>
          <w:szCs w:val="24"/>
          <w:lang w:val="en-US" w:eastAsia="zh-CN"/>
        </w:rPr>
        <w:t>青少年成长运动建议</w:t>
      </w:r>
      <w:r>
        <w:rPr>
          <w:rFonts w:hint="default" w:ascii="华文仿宋" w:hAnsi="华文仿宋" w:eastAsia="华文仿宋" w:cs="华文仿宋"/>
          <w:i w:val="0"/>
          <w:iCs w:val="0"/>
          <w:caps w:val="0"/>
          <w:color w:val="000000"/>
          <w:spacing w:val="0"/>
          <w:sz w:val="24"/>
          <w:szCs w:val="24"/>
          <w:lang w:val="en-US" w:eastAsia="zh-CN"/>
        </w:rPr>
        <w:t>”；针对</w:t>
      </w:r>
      <w:r>
        <w:rPr>
          <w:rFonts w:hint="eastAsia" w:ascii="华文仿宋" w:hAnsi="华文仿宋" w:eastAsia="华文仿宋" w:cs="华文仿宋"/>
          <w:i w:val="0"/>
          <w:iCs w:val="0"/>
          <w:caps w:val="0"/>
          <w:color w:val="000000"/>
          <w:spacing w:val="0"/>
          <w:sz w:val="24"/>
          <w:szCs w:val="24"/>
          <w:lang w:val="en-US" w:eastAsia="zh-CN"/>
        </w:rPr>
        <w:t>家长等</w:t>
      </w:r>
      <w:r>
        <w:rPr>
          <w:rFonts w:hint="default" w:ascii="华文仿宋" w:hAnsi="华文仿宋" w:eastAsia="华文仿宋" w:cs="华文仿宋"/>
          <w:i w:val="0"/>
          <w:iCs w:val="0"/>
          <w:caps w:val="0"/>
          <w:color w:val="000000"/>
          <w:spacing w:val="0"/>
          <w:sz w:val="24"/>
          <w:szCs w:val="24"/>
          <w:lang w:val="en-US" w:eastAsia="zh-CN"/>
        </w:rPr>
        <w:t>职场人群，在知识社区推送“办公室健身科普”；</w:t>
      </w:r>
      <w:r>
        <w:rPr>
          <w:rFonts w:hint="eastAsia" w:ascii="华文仿宋" w:hAnsi="华文仿宋" w:eastAsia="华文仿宋" w:cs="华文仿宋"/>
          <w:i w:val="0"/>
          <w:iCs w:val="0"/>
          <w:caps w:val="0"/>
          <w:color w:val="000000"/>
          <w:spacing w:val="0"/>
          <w:sz w:val="24"/>
          <w:szCs w:val="24"/>
          <w:lang w:val="en-US" w:eastAsia="zh-CN"/>
        </w:rPr>
        <w:t>在小程序或视频号、抖音号</w:t>
      </w:r>
      <w:r>
        <w:rPr>
          <w:rFonts w:hint="default" w:ascii="华文仿宋" w:hAnsi="华文仿宋" w:eastAsia="华文仿宋" w:cs="华文仿宋"/>
          <w:i w:val="0"/>
          <w:iCs w:val="0"/>
          <w:caps w:val="0"/>
          <w:color w:val="000000"/>
          <w:spacing w:val="0"/>
          <w:sz w:val="24"/>
          <w:szCs w:val="24"/>
          <w:lang w:val="en-US" w:eastAsia="zh-CN"/>
        </w:rPr>
        <w:t>开展“训练直播带练”，实现精准引流</w:t>
      </w:r>
      <w:r>
        <w:rPr>
          <w:rFonts w:hint="eastAsia" w:ascii="华文仿宋" w:hAnsi="华文仿宋" w:eastAsia="华文仿宋" w:cs="华文仿宋"/>
          <w:i w:val="0"/>
          <w:iCs w:val="0"/>
          <w:caps w:val="0"/>
          <w:color w:val="000000"/>
          <w:spacing w:val="0"/>
          <w:sz w:val="24"/>
          <w:szCs w:val="24"/>
          <w:lang w:val="en-US" w:eastAsia="zh-CN"/>
        </w:rPr>
        <w:t>。</w:t>
      </w:r>
    </w:p>
    <w:p w14:paraId="42073BA9">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lang w:val="en-US" w:eastAsia="zh-CN"/>
        </w:rPr>
      </w:pPr>
    </w:p>
    <w:p w14:paraId="01D8815F">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lang w:val="en-US" w:eastAsia="zh-CN"/>
        </w:rPr>
      </w:pPr>
    </w:p>
    <w:p w14:paraId="563D54A0">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lang w:val="en-US" w:eastAsia="zh-CN"/>
        </w:rPr>
      </w:pPr>
    </w:p>
    <w:p w14:paraId="425E8EED">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lang w:val="en-US" w:eastAsia="zh-CN"/>
        </w:rPr>
      </w:pPr>
    </w:p>
    <w:p w14:paraId="2E2269EB">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lang w:val="en-US" w:eastAsia="zh-CN"/>
        </w:rPr>
      </w:pPr>
    </w:p>
    <w:p w14:paraId="54E04B4B">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华文仿宋" w:hAnsi="华文仿宋" w:eastAsia="华文仿宋" w:cs="华文仿宋"/>
          <w:i w:val="0"/>
          <w:iCs w:val="0"/>
          <w:caps w:val="0"/>
          <w:color w:val="000000"/>
          <w:spacing w:val="0"/>
          <w:sz w:val="24"/>
          <w:szCs w:val="24"/>
          <w:lang w:val="en-US" w:eastAsia="zh-CN"/>
        </w:rPr>
      </w:pPr>
    </w:p>
    <w:p w14:paraId="5DFA5A5D">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p>
    <w:p w14:paraId="757C41F7">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left"/>
        <w:textAlignment w:val="auto"/>
        <w:rPr>
          <w:rFonts w:hint="default" w:ascii="华文仿宋" w:hAnsi="华文仿宋" w:eastAsia="华文仿宋" w:cs="华文仿宋"/>
          <w:i w:val="0"/>
          <w:iCs w:val="0"/>
          <w:caps w:val="0"/>
          <w:color w:val="000000"/>
          <w:spacing w:val="0"/>
          <w:sz w:val="24"/>
          <w:szCs w:val="24"/>
          <w:lang w:val="en-US" w:eastAsia="zh-CN"/>
        </w:rPr>
      </w:pPr>
    </w:p>
    <w:p w14:paraId="44A7DE8F">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643" w:firstLineChars="200"/>
        <w:jc w:val="center"/>
        <w:textAlignment w:val="auto"/>
        <w:rPr>
          <w:rFonts w:hint="eastAsia" w:ascii="方正小标宋简体" w:hAnsi="方正小标宋简体" w:eastAsia="方正小标宋简体" w:cs="方正小标宋简体"/>
          <w:b/>
          <w:bCs/>
          <w:i w:val="0"/>
          <w:iCs w:val="0"/>
          <w:caps w:val="0"/>
          <w:color w:val="000000"/>
          <w:spacing w:val="0"/>
          <w:sz w:val="32"/>
          <w:szCs w:val="32"/>
          <w:lang w:val="en-US" w:eastAsia="zh-CN"/>
        </w:rPr>
      </w:pPr>
      <w:r>
        <w:rPr>
          <w:rFonts w:hint="eastAsia" w:ascii="方正小标宋简体" w:hAnsi="方正小标宋简体" w:eastAsia="方正小标宋简体" w:cs="方正小标宋简体"/>
          <w:b/>
          <w:bCs/>
          <w:i w:val="0"/>
          <w:iCs w:val="0"/>
          <w:caps w:val="0"/>
          <w:color w:val="000000"/>
          <w:spacing w:val="0"/>
          <w:sz w:val="32"/>
          <w:szCs w:val="32"/>
          <w:lang w:val="en-US" w:eastAsia="zh-CN"/>
        </w:rPr>
        <w:t>关于金融支持体育产业高</w:t>
      </w:r>
      <w:bookmarkStart w:id="0" w:name="_GoBack"/>
      <w:r>
        <w:rPr>
          <w:rFonts w:hint="eastAsia" w:ascii="方正小标宋简体" w:hAnsi="方正小标宋简体" w:eastAsia="方正小标宋简体" w:cs="方正小标宋简体"/>
          <w:b/>
          <w:bCs/>
          <w:i w:val="0"/>
          <w:iCs w:val="0"/>
          <w:caps w:val="0"/>
          <w:color w:val="000000"/>
          <w:spacing w:val="0"/>
          <w:sz w:val="32"/>
          <w:szCs w:val="32"/>
          <w:lang w:val="en-US" w:eastAsia="zh-CN"/>
        </w:rPr>
        <w:t>质量发展的指导</w:t>
      </w:r>
      <w:bookmarkEnd w:id="0"/>
      <w:r>
        <w:rPr>
          <w:rFonts w:hint="eastAsia" w:ascii="方正小标宋简体" w:hAnsi="方正小标宋简体" w:eastAsia="方正小标宋简体" w:cs="方正小标宋简体"/>
          <w:b/>
          <w:bCs/>
          <w:i w:val="0"/>
          <w:iCs w:val="0"/>
          <w:caps w:val="0"/>
          <w:color w:val="000000"/>
          <w:spacing w:val="0"/>
          <w:sz w:val="32"/>
          <w:szCs w:val="32"/>
          <w:lang w:val="en-US" w:eastAsia="zh-CN"/>
        </w:rPr>
        <w:t>意见</w:t>
      </w:r>
    </w:p>
    <w:p w14:paraId="38AF85D2">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0" w:firstLineChars="200"/>
        <w:jc w:val="right"/>
        <w:textAlignment w:val="auto"/>
        <w:rPr>
          <w:rFonts w:hint="default" w:ascii="华文仿宋" w:hAnsi="华文仿宋" w:eastAsia="华文仿宋" w:cs="华文仿宋"/>
          <w:b w:val="0"/>
          <w:bCs w:val="0"/>
          <w:i w:val="0"/>
          <w:iCs w:val="0"/>
          <w:caps w:val="0"/>
          <w:color w:val="000000"/>
          <w:spacing w:val="0"/>
          <w:sz w:val="24"/>
          <w:szCs w:val="24"/>
          <w:lang w:val="en-US" w:eastAsia="zh-CN"/>
        </w:rPr>
      </w:pPr>
      <w:r>
        <w:rPr>
          <w:rFonts w:hint="eastAsia" w:ascii="华文仿宋" w:hAnsi="华文仿宋" w:eastAsia="华文仿宋" w:cs="华文仿宋"/>
          <w:b w:val="0"/>
          <w:bCs w:val="0"/>
          <w:i w:val="0"/>
          <w:iCs w:val="0"/>
          <w:caps w:val="0"/>
          <w:color w:val="000000"/>
          <w:spacing w:val="0"/>
          <w:sz w:val="24"/>
          <w:szCs w:val="24"/>
          <w:lang w:val="en-US" w:eastAsia="zh-CN"/>
        </w:rPr>
        <w:t>2025年4月11日</w:t>
      </w:r>
    </w:p>
    <w:p w14:paraId="1ABADDA9">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0" w:firstLineChars="200"/>
        <w:jc w:val="right"/>
        <w:textAlignment w:val="auto"/>
        <w:rPr>
          <w:rFonts w:hint="eastAsia" w:ascii="华文仿宋" w:hAnsi="华文仿宋" w:eastAsia="华文仿宋" w:cs="华文仿宋"/>
          <w:b w:val="0"/>
          <w:bCs w:val="0"/>
          <w:i w:val="0"/>
          <w:iCs w:val="0"/>
          <w:caps w:val="0"/>
          <w:color w:val="000000"/>
          <w:spacing w:val="0"/>
          <w:sz w:val="24"/>
          <w:szCs w:val="24"/>
          <w:lang w:val="en-US" w:eastAsia="zh-CN"/>
        </w:rPr>
      </w:pPr>
      <w:r>
        <w:rPr>
          <w:rFonts w:hint="eastAsia" w:ascii="华文仿宋" w:hAnsi="华文仿宋" w:eastAsia="华文仿宋" w:cs="华文仿宋"/>
          <w:b w:val="0"/>
          <w:bCs w:val="0"/>
          <w:i w:val="0"/>
          <w:iCs w:val="0"/>
          <w:caps w:val="0"/>
          <w:color w:val="000000"/>
          <w:spacing w:val="0"/>
          <w:sz w:val="24"/>
          <w:szCs w:val="24"/>
          <w:lang w:val="en-US" w:eastAsia="zh-CN"/>
        </w:rPr>
        <w:t>中国人民银行网站</w:t>
      </w:r>
    </w:p>
    <w:p w14:paraId="66D0D72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体育产业是朝阳产业、健康产业、幸福产业，对促进国民经济发展、提升人民生活品质具有重要作用。为深入贯彻落实党中央、国务院决策部署，强化体育金融服务，支持体育产业高质量发展，进一步促进扩大体育消费，现提出以下意见：</w:t>
      </w:r>
    </w:p>
    <w:p w14:paraId="33AA3F19">
      <w:pPr>
        <w:keepNext w:val="0"/>
        <w:keepLines w:val="0"/>
        <w:pageBreakBefore w:val="0"/>
        <w:widowControl w:val="0"/>
        <w:numPr>
          <w:ilvl w:val="0"/>
          <w:numId w:val="5"/>
        </w:numPr>
        <w:kinsoku/>
        <w:wordWrap/>
        <w:overflowPunct/>
        <w:topLinePunct w:val="0"/>
        <w:autoSpaceDE/>
        <w:autoSpaceDN/>
        <w:bidi w:val="0"/>
        <w:adjustRightInd/>
        <w:snapToGrid/>
        <w:spacing w:line="480" w:lineRule="auto"/>
        <w:ind w:firstLine="480" w:firstLineChars="200"/>
        <w:jc w:val="left"/>
        <w:textAlignment w:val="auto"/>
        <w:rPr>
          <w:rFonts w:hint="eastAsia" w:ascii="黑体" w:hAnsi="黑体" w:eastAsia="黑体" w:cs="黑体"/>
          <w:i w:val="0"/>
          <w:iCs w:val="0"/>
          <w:caps w:val="0"/>
          <w:color w:val="000000"/>
          <w:spacing w:val="0"/>
          <w:sz w:val="24"/>
          <w:szCs w:val="24"/>
          <w:lang w:val="en-US" w:eastAsia="zh-CN"/>
        </w:rPr>
      </w:pPr>
      <w:r>
        <w:rPr>
          <w:rFonts w:hint="eastAsia" w:ascii="黑体" w:hAnsi="黑体" w:eastAsia="黑体" w:cs="黑体"/>
          <w:i w:val="0"/>
          <w:iCs w:val="0"/>
          <w:caps w:val="0"/>
          <w:color w:val="000000"/>
          <w:spacing w:val="0"/>
          <w:sz w:val="24"/>
          <w:szCs w:val="24"/>
          <w:lang w:val="en-US" w:eastAsia="zh-CN"/>
        </w:rPr>
        <w:t>总体要求</w:t>
      </w:r>
    </w:p>
    <w:p w14:paraId="2D649969">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坚持以习近平新时代中国特色社会主义思想为指导，深入贯彻党的二十大、二十届三中全会、中央经济工作会议和中央金融工作会议精神，认真落实党中央、国务院关于加快推进体育强国建设的决策部署，深刻把握金融工作的政治性、人民性，纵深推进金融供给侧结构性改革，加快构建适应体育产业发展、多层次、广覆盖的金融产品和服务体系，持续丰富体育领域金融资源供给，切实提升金融支持体育产业发展的能力和水平。</w:t>
      </w:r>
    </w:p>
    <w:p w14:paraId="24DA8D31">
      <w:pPr>
        <w:keepNext w:val="0"/>
        <w:keepLines w:val="0"/>
        <w:pageBreakBefore w:val="0"/>
        <w:widowControl w:val="0"/>
        <w:numPr>
          <w:ilvl w:val="0"/>
          <w:numId w:val="5"/>
        </w:numPr>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黑体" w:hAnsi="黑体" w:eastAsia="黑体" w:cs="黑体"/>
          <w:i w:val="0"/>
          <w:iCs w:val="0"/>
          <w:caps w:val="0"/>
          <w:color w:val="000000"/>
          <w:spacing w:val="0"/>
          <w:sz w:val="24"/>
          <w:szCs w:val="24"/>
          <w:lang w:val="en-US" w:eastAsia="zh-CN"/>
        </w:rPr>
      </w:pPr>
      <w:r>
        <w:rPr>
          <w:rFonts w:hint="eastAsia" w:ascii="黑体" w:hAnsi="黑体" w:eastAsia="黑体" w:cs="黑体"/>
          <w:i w:val="0"/>
          <w:iCs w:val="0"/>
          <w:caps w:val="0"/>
          <w:color w:val="000000"/>
          <w:spacing w:val="0"/>
          <w:sz w:val="24"/>
          <w:szCs w:val="24"/>
          <w:lang w:val="en-US" w:eastAsia="zh-CN"/>
        </w:rPr>
        <w:t>加大体育产业发展重点领域的金融支持力度</w:t>
      </w:r>
    </w:p>
    <w:p w14:paraId="525B2281">
      <w:pPr>
        <w:keepNext w:val="0"/>
        <w:keepLines w:val="0"/>
        <w:pageBreakBefore w:val="0"/>
        <w:widowControl w:val="0"/>
        <w:numPr>
          <w:ilvl w:val="0"/>
          <w:numId w:val="6"/>
        </w:numPr>
        <w:kinsoku/>
        <w:wordWrap/>
        <w:overflowPunct/>
        <w:topLinePunct w:val="0"/>
        <w:autoSpaceDE/>
        <w:autoSpaceDN/>
        <w:bidi w:val="0"/>
        <w:adjustRightInd/>
        <w:snapToGrid/>
        <w:spacing w:line="480" w:lineRule="auto"/>
        <w:ind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强化体育基础设施建设金融保障。</w:t>
      </w:r>
      <w:r>
        <w:rPr>
          <w:rFonts w:hint="default" w:ascii="华文仿宋" w:hAnsi="华文仿宋" w:eastAsia="华文仿宋" w:cs="华文仿宋"/>
          <w:i w:val="0"/>
          <w:iCs w:val="0"/>
          <w:caps w:val="0"/>
          <w:color w:val="000000"/>
          <w:spacing w:val="0"/>
          <w:sz w:val="24"/>
          <w:szCs w:val="24"/>
          <w:u w:val="single"/>
          <w:lang w:val="en-US" w:eastAsia="zh-CN"/>
        </w:rPr>
        <w:t>积极支持体育领域重大工程、重点项目建设，加大对体育场馆、体育服务综合体、冰雪运动场地、高质量户外运动目的地等体育基础设施建设和运营的支持力度，支持发展体育与文化、旅游、康养相融合的新模式、新业态，切实满足相关经营主体合理融资需求</w:t>
      </w:r>
      <w:r>
        <w:rPr>
          <w:rFonts w:hint="eastAsia" w:ascii="华文仿宋" w:hAnsi="华文仿宋" w:eastAsia="华文仿宋" w:cs="华文仿宋"/>
          <w:i w:val="0"/>
          <w:iCs w:val="0"/>
          <w:caps w:val="0"/>
          <w:color w:val="000000"/>
          <w:spacing w:val="0"/>
          <w:sz w:val="24"/>
          <w:szCs w:val="24"/>
          <w:u w:val="single"/>
          <w:lang w:val="en-US" w:eastAsia="zh-CN"/>
        </w:rPr>
        <w:t>。</w:t>
      </w:r>
    </w:p>
    <w:p w14:paraId="2CC825B2">
      <w:pPr>
        <w:keepNext w:val="0"/>
        <w:keepLines w:val="0"/>
        <w:pageBreakBefore w:val="0"/>
        <w:widowControl w:val="0"/>
        <w:numPr>
          <w:ilvl w:val="0"/>
          <w:numId w:val="6"/>
        </w:numPr>
        <w:kinsoku/>
        <w:wordWrap/>
        <w:overflowPunct/>
        <w:topLinePunct w:val="0"/>
        <w:autoSpaceDE/>
        <w:autoSpaceDN/>
        <w:bidi w:val="0"/>
        <w:adjustRightInd/>
        <w:snapToGrid/>
        <w:spacing w:line="480" w:lineRule="auto"/>
        <w:ind w:left="0" w:leftChars="0"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u w:val="single"/>
          <w:lang w:val="en-US" w:eastAsia="zh-CN"/>
        </w:rPr>
        <w:t>加大体育用品制造业、体育服务业等领域金融供给力度。</w:t>
      </w:r>
      <w:r>
        <w:rPr>
          <w:rFonts w:hint="default" w:ascii="华文仿宋" w:hAnsi="华文仿宋" w:eastAsia="华文仿宋" w:cs="华文仿宋"/>
          <w:i w:val="0"/>
          <w:iCs w:val="0"/>
          <w:caps w:val="0"/>
          <w:color w:val="000000"/>
          <w:spacing w:val="0"/>
          <w:sz w:val="24"/>
          <w:szCs w:val="24"/>
          <w:lang w:val="en-US" w:eastAsia="zh-CN"/>
        </w:rPr>
        <w:t>聚焦体育用品制造业企业在研发、采购、生产、销售、运输等环节的金融服务需求，提供多层次、综合性金融支持，助力培育一批细分领域的“专精特新”中小企业、“瞪羚”企业和“隐形冠军”企业，促进体育制造业转型升级。依托产业链核心企业，规范发展供应链金融业务，满足链上中小微企业合理融资需求。用好用足创业担保贷款等政策，支持体育服务业相关经营主体发展壮大、做强做优。</w:t>
      </w:r>
    </w:p>
    <w:p w14:paraId="1B1823C7">
      <w:pPr>
        <w:keepNext w:val="0"/>
        <w:keepLines w:val="0"/>
        <w:pageBreakBefore w:val="0"/>
        <w:widowControl w:val="0"/>
        <w:numPr>
          <w:ilvl w:val="0"/>
          <w:numId w:val="6"/>
        </w:numPr>
        <w:kinsoku/>
        <w:wordWrap/>
        <w:overflowPunct/>
        <w:topLinePunct w:val="0"/>
        <w:autoSpaceDE/>
        <w:autoSpaceDN/>
        <w:bidi w:val="0"/>
        <w:adjustRightInd/>
        <w:snapToGrid/>
        <w:spacing w:line="480" w:lineRule="auto"/>
        <w:ind w:left="0" w:leftChars="0"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发挥金融促进体育消费增长功能。持续加大对体育消费领域信贷支持力度，丰富适应全生命周期体育消费新业态发展需要的金融产品，</w:t>
      </w:r>
      <w:r>
        <w:rPr>
          <w:rFonts w:hint="default" w:ascii="华文仿宋" w:hAnsi="华文仿宋" w:eastAsia="华文仿宋" w:cs="华文仿宋"/>
          <w:i w:val="0"/>
          <w:iCs w:val="0"/>
          <w:caps w:val="0"/>
          <w:color w:val="000000"/>
          <w:spacing w:val="0"/>
          <w:sz w:val="24"/>
          <w:szCs w:val="24"/>
          <w:u w:val="single"/>
          <w:lang w:val="en-US" w:eastAsia="zh-CN"/>
        </w:rPr>
        <w:t>围绕体育消费场景，联合打造一系列“体育+商业”的主题消费场景、主题营销活动，在体育消费券、积分奖励等方面开展合作，拓展体育健身、体育观赛、体育培训、体育旅游等消费新空间。</w:t>
      </w:r>
      <w:r>
        <w:rPr>
          <w:rFonts w:hint="default" w:ascii="华文仿宋" w:hAnsi="华文仿宋" w:eastAsia="华文仿宋" w:cs="华文仿宋"/>
          <w:i w:val="0"/>
          <w:iCs w:val="0"/>
          <w:caps w:val="0"/>
          <w:color w:val="000000"/>
          <w:spacing w:val="0"/>
          <w:sz w:val="24"/>
          <w:szCs w:val="24"/>
          <w:lang w:val="en-US" w:eastAsia="zh-CN"/>
        </w:rPr>
        <w:t>推广数字人民币在体育消费领域应用，鼓励有条件的地区派发数字人民币体育消费券</w:t>
      </w:r>
      <w:r>
        <w:rPr>
          <w:rFonts w:hint="eastAsia" w:ascii="华文仿宋" w:hAnsi="华文仿宋" w:eastAsia="华文仿宋" w:cs="华文仿宋"/>
          <w:i w:val="0"/>
          <w:iCs w:val="0"/>
          <w:caps w:val="0"/>
          <w:color w:val="000000"/>
          <w:spacing w:val="0"/>
          <w:sz w:val="24"/>
          <w:szCs w:val="24"/>
          <w:lang w:val="en-US" w:eastAsia="zh-CN"/>
        </w:rPr>
        <w:t>。</w:t>
      </w:r>
    </w:p>
    <w:p w14:paraId="640EA47D">
      <w:pPr>
        <w:keepNext w:val="0"/>
        <w:keepLines w:val="0"/>
        <w:pageBreakBefore w:val="0"/>
        <w:widowControl w:val="0"/>
        <w:numPr>
          <w:ilvl w:val="0"/>
          <w:numId w:val="6"/>
        </w:numPr>
        <w:kinsoku/>
        <w:wordWrap/>
        <w:overflowPunct/>
        <w:topLinePunct w:val="0"/>
        <w:autoSpaceDE/>
        <w:autoSpaceDN/>
        <w:bidi w:val="0"/>
        <w:adjustRightInd/>
        <w:snapToGrid/>
        <w:spacing w:line="480" w:lineRule="auto"/>
        <w:ind w:left="0" w:leftChars="0"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支持金融赋能职业体育、冰雪经济发展。</w:t>
      </w:r>
      <w:r>
        <w:rPr>
          <w:rFonts w:hint="default" w:ascii="华文仿宋" w:hAnsi="华文仿宋" w:eastAsia="华文仿宋" w:cs="华文仿宋"/>
          <w:i w:val="0"/>
          <w:iCs w:val="0"/>
          <w:caps w:val="0"/>
          <w:color w:val="000000"/>
          <w:spacing w:val="0"/>
          <w:sz w:val="24"/>
          <w:szCs w:val="24"/>
          <w:u w:val="single"/>
          <w:lang w:val="en-US" w:eastAsia="zh-CN"/>
        </w:rPr>
        <w:t>围绕足球、篮球、排球、乒乓球、羽毛球等职业体育俱乐部建设和发展需求，健全职业体育俱乐部多元化投融资体系，为职业体育俱乐部设施改造升级和配套服务提供金融支持。</w:t>
      </w:r>
      <w:r>
        <w:rPr>
          <w:rFonts w:hint="default" w:ascii="华文仿宋" w:hAnsi="华文仿宋" w:eastAsia="华文仿宋" w:cs="华文仿宋"/>
          <w:i w:val="0"/>
          <w:iCs w:val="0"/>
          <w:caps w:val="0"/>
          <w:color w:val="000000"/>
          <w:spacing w:val="0"/>
          <w:sz w:val="24"/>
          <w:szCs w:val="24"/>
          <w:lang w:val="en-US" w:eastAsia="zh-CN"/>
        </w:rPr>
        <w:t>支持冰雪运动重点场地场馆建设，支持冰雪装备产业扩容升级，支持冰雪文化产业和旅游产业发展，积极满足冰雪运动领域和冰雪经济相关产业资金需求。</w:t>
      </w:r>
    </w:p>
    <w:p w14:paraId="584B14C4">
      <w:pPr>
        <w:keepNext w:val="0"/>
        <w:keepLines w:val="0"/>
        <w:pageBreakBefore w:val="0"/>
        <w:widowControl w:val="0"/>
        <w:numPr>
          <w:ilvl w:val="0"/>
          <w:numId w:val="6"/>
        </w:numPr>
        <w:kinsoku/>
        <w:wordWrap/>
        <w:overflowPunct/>
        <w:topLinePunct w:val="0"/>
        <w:autoSpaceDE/>
        <w:autoSpaceDN/>
        <w:bidi w:val="0"/>
        <w:adjustRightInd/>
        <w:snapToGrid/>
        <w:spacing w:line="480" w:lineRule="auto"/>
        <w:ind w:left="0" w:leftChars="0"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提升体育赛事金融服务质效。</w:t>
      </w:r>
      <w:r>
        <w:rPr>
          <w:rFonts w:hint="default" w:ascii="华文仿宋" w:hAnsi="华文仿宋" w:eastAsia="华文仿宋" w:cs="华文仿宋"/>
          <w:i w:val="0"/>
          <w:iCs w:val="0"/>
          <w:caps w:val="0"/>
          <w:color w:val="000000"/>
          <w:spacing w:val="0"/>
          <w:sz w:val="24"/>
          <w:szCs w:val="24"/>
          <w:u w:val="single"/>
          <w:lang w:val="en-US" w:eastAsia="zh-CN"/>
        </w:rPr>
        <w:t>支持金融机构与体育赛事主办方深入合作，打造覆盖赛前、赛中、赛后全生命周期的赛事金融服务体系</w:t>
      </w:r>
      <w:r>
        <w:rPr>
          <w:rFonts w:hint="default" w:ascii="华文仿宋" w:hAnsi="华文仿宋" w:eastAsia="华文仿宋" w:cs="华文仿宋"/>
          <w:i w:val="0"/>
          <w:iCs w:val="0"/>
          <w:caps w:val="0"/>
          <w:color w:val="000000"/>
          <w:spacing w:val="0"/>
          <w:sz w:val="24"/>
          <w:szCs w:val="24"/>
          <w:lang w:val="en-US" w:eastAsia="zh-CN"/>
        </w:rPr>
        <w:t>，为体育赛事特别是国际体育赛事提供银行贷款、融资租赁、保险保障、货币兑换、银行卡支付、汇率查询、数字人民币等综合性金融服务。</w:t>
      </w:r>
      <w:r>
        <w:rPr>
          <w:rFonts w:hint="default" w:ascii="华文仿宋" w:hAnsi="华文仿宋" w:eastAsia="华文仿宋" w:cs="华文仿宋"/>
          <w:i w:val="0"/>
          <w:iCs w:val="0"/>
          <w:caps w:val="0"/>
          <w:color w:val="000000"/>
          <w:spacing w:val="0"/>
          <w:sz w:val="24"/>
          <w:szCs w:val="24"/>
          <w:u w:val="single"/>
          <w:lang w:val="en-US" w:eastAsia="zh-CN"/>
        </w:rPr>
        <w:t>鼓励金融机构根据区域特色，为民族体育赛事提供个性化金融服务。</w:t>
      </w:r>
      <w:r>
        <w:rPr>
          <w:rFonts w:hint="default" w:ascii="华文仿宋" w:hAnsi="华文仿宋" w:eastAsia="华文仿宋" w:cs="华文仿宋"/>
          <w:i w:val="0"/>
          <w:iCs w:val="0"/>
          <w:caps w:val="0"/>
          <w:color w:val="000000"/>
          <w:spacing w:val="0"/>
          <w:sz w:val="24"/>
          <w:szCs w:val="24"/>
          <w:lang w:val="en-US" w:eastAsia="zh-CN"/>
        </w:rPr>
        <w:t>加强群众体育赛事、民族体育赛事与金融消费者权益保护宣传教育工作相结合，推动全民体育素养与金融素养双提升。</w:t>
      </w:r>
    </w:p>
    <w:p w14:paraId="7B17D00F">
      <w:pPr>
        <w:keepNext w:val="0"/>
        <w:keepLines w:val="0"/>
        <w:pageBreakBefore w:val="0"/>
        <w:widowControl w:val="0"/>
        <w:numPr>
          <w:ilvl w:val="0"/>
          <w:numId w:val="5"/>
        </w:numPr>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黑体" w:hAnsi="黑体" w:eastAsia="黑体" w:cs="黑体"/>
          <w:i w:val="0"/>
          <w:iCs w:val="0"/>
          <w:caps w:val="0"/>
          <w:color w:val="000000"/>
          <w:spacing w:val="0"/>
          <w:sz w:val="24"/>
          <w:szCs w:val="24"/>
          <w:lang w:val="en-US" w:eastAsia="zh-CN"/>
        </w:rPr>
      </w:pPr>
      <w:r>
        <w:rPr>
          <w:rFonts w:hint="eastAsia" w:ascii="黑体" w:hAnsi="黑体" w:eastAsia="黑体" w:cs="黑体"/>
          <w:i w:val="0"/>
          <w:iCs w:val="0"/>
          <w:caps w:val="0"/>
          <w:color w:val="000000"/>
          <w:spacing w:val="0"/>
          <w:sz w:val="24"/>
          <w:szCs w:val="24"/>
          <w:lang w:val="en-US" w:eastAsia="zh-CN"/>
        </w:rPr>
        <w:t>着力提升金融服务体育产业发展的专业化能力</w:t>
      </w:r>
    </w:p>
    <w:p w14:paraId="4F0773F0">
      <w:pPr>
        <w:keepNext w:val="0"/>
        <w:keepLines w:val="0"/>
        <w:pageBreakBefore w:val="0"/>
        <w:widowControl w:val="0"/>
        <w:numPr>
          <w:ilvl w:val="0"/>
          <w:numId w:val="6"/>
        </w:numPr>
        <w:kinsoku/>
        <w:wordWrap/>
        <w:overflowPunct/>
        <w:topLinePunct w:val="0"/>
        <w:autoSpaceDE/>
        <w:autoSpaceDN/>
        <w:bidi w:val="0"/>
        <w:adjustRightInd/>
        <w:snapToGrid/>
        <w:spacing w:line="480" w:lineRule="auto"/>
        <w:ind w:left="0" w:leftChars="0"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建立健全多层次、广覆盖、差异化的金融服务体系。</w:t>
      </w:r>
    </w:p>
    <w:p w14:paraId="33AB6BEF">
      <w:pPr>
        <w:keepNext w:val="0"/>
        <w:keepLines w:val="0"/>
        <w:pageBreakBefore w:val="0"/>
        <w:widowControl w:val="0"/>
        <w:numPr>
          <w:ilvl w:val="0"/>
          <w:numId w:val="6"/>
        </w:numPr>
        <w:kinsoku/>
        <w:wordWrap/>
        <w:overflowPunct/>
        <w:topLinePunct w:val="0"/>
        <w:autoSpaceDE/>
        <w:autoSpaceDN/>
        <w:bidi w:val="0"/>
        <w:adjustRightInd/>
        <w:snapToGrid/>
        <w:spacing w:line="480" w:lineRule="auto"/>
        <w:ind w:left="0" w:leftChars="0"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充分发挥债券市场融资功能。引导金融机构运用小微企业专项金融债募集资金支持体育企业发展。支持运营模式相对成熟、市场竞争力强、认可度高的体育企业选择不同期限、不同规模的债务融资品种进行信用融资。支持符合条件的体育企业发行公司债券，</w:t>
      </w:r>
      <w:r>
        <w:rPr>
          <w:rFonts w:hint="default" w:ascii="华文仿宋" w:hAnsi="华文仿宋" w:eastAsia="华文仿宋" w:cs="华文仿宋"/>
          <w:i w:val="0"/>
          <w:iCs w:val="0"/>
          <w:caps w:val="0"/>
          <w:color w:val="000000"/>
          <w:spacing w:val="0"/>
          <w:sz w:val="24"/>
          <w:szCs w:val="24"/>
          <w:u w:val="single"/>
          <w:lang w:val="en-US" w:eastAsia="zh-CN"/>
        </w:rPr>
        <w:t>用于体育基础设施、大型体育场馆、体育公园、健身步道等投资规模大、回报周期长的体育产业项目。</w:t>
      </w:r>
      <w:r>
        <w:rPr>
          <w:rFonts w:hint="default" w:ascii="华文仿宋" w:hAnsi="华文仿宋" w:eastAsia="华文仿宋" w:cs="华文仿宋"/>
          <w:i w:val="0"/>
          <w:iCs w:val="0"/>
          <w:caps w:val="0"/>
          <w:color w:val="000000"/>
          <w:spacing w:val="0"/>
          <w:sz w:val="24"/>
          <w:szCs w:val="24"/>
          <w:lang w:val="en-US" w:eastAsia="zh-CN"/>
        </w:rPr>
        <w:t>支持符合条件的体育企业运用债券融资支持工具等多种增信方式提升融资主体债务信用等级、增强债务履约保障水平、提高融资可得性、降低融资成本。</w:t>
      </w:r>
    </w:p>
    <w:p w14:paraId="4A583607">
      <w:pPr>
        <w:keepNext w:val="0"/>
        <w:keepLines w:val="0"/>
        <w:pageBreakBefore w:val="0"/>
        <w:widowControl w:val="0"/>
        <w:numPr>
          <w:ilvl w:val="0"/>
          <w:numId w:val="6"/>
        </w:numPr>
        <w:kinsoku/>
        <w:wordWrap/>
        <w:overflowPunct/>
        <w:topLinePunct w:val="0"/>
        <w:autoSpaceDE/>
        <w:autoSpaceDN/>
        <w:bidi w:val="0"/>
        <w:adjustRightInd/>
        <w:snapToGrid/>
        <w:spacing w:line="480" w:lineRule="auto"/>
        <w:ind w:left="0" w:leftChars="0"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构建对接精准、资金配置高效的股权融资模式。</w:t>
      </w:r>
    </w:p>
    <w:p w14:paraId="50B200A0">
      <w:pPr>
        <w:keepNext w:val="0"/>
        <w:keepLines w:val="0"/>
        <w:pageBreakBefore w:val="0"/>
        <w:widowControl w:val="0"/>
        <w:numPr>
          <w:ilvl w:val="0"/>
          <w:numId w:val="6"/>
        </w:numPr>
        <w:kinsoku/>
        <w:wordWrap/>
        <w:overflowPunct/>
        <w:topLinePunct w:val="0"/>
        <w:autoSpaceDE/>
        <w:autoSpaceDN/>
        <w:bidi w:val="0"/>
        <w:adjustRightInd/>
        <w:snapToGrid/>
        <w:spacing w:line="480" w:lineRule="auto"/>
        <w:ind w:left="0" w:leftChars="0"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提高体育产业发展保险保障水平。鼓励保险业进一步发挥保险工具风险补偿和保障功能，针对体育产业风险保障需求，开展体育赛事等保险业务。鼓励保险机构充分发挥个性化险种定制能力的优势，创新推出体育赛事险等更多体育产业商业险品种。发挥信用保险多险种综合保险作用，开发和探索体育产业服务贸易承保业务，为体育企业提供融资便利、风险保障和资信服务。完善专业运动员和参与体育运动群众的保险保障体系，在生命健康、财产安全、创业发展、财富管理等方面提供优质金融服务。</w:t>
      </w:r>
    </w:p>
    <w:p w14:paraId="2A5971EC">
      <w:pPr>
        <w:keepNext w:val="0"/>
        <w:keepLines w:val="0"/>
        <w:pageBreakBefore w:val="0"/>
        <w:widowControl w:val="0"/>
        <w:numPr>
          <w:ilvl w:val="0"/>
          <w:numId w:val="7"/>
        </w:numPr>
        <w:kinsoku/>
        <w:wordWrap/>
        <w:overflowPunct/>
        <w:topLinePunct w:val="0"/>
        <w:autoSpaceDE/>
        <w:autoSpaceDN/>
        <w:bidi w:val="0"/>
        <w:adjustRightInd/>
        <w:snapToGrid/>
        <w:spacing w:line="480" w:lineRule="auto"/>
        <w:ind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发挥融资租赁服务体育产业发展的潜能。推动融资租赁行业加强体育产业租赁物适格性管理，</w:t>
      </w:r>
      <w:r>
        <w:rPr>
          <w:rFonts w:hint="default" w:ascii="华文仿宋" w:hAnsi="华文仿宋" w:eastAsia="华文仿宋" w:cs="华文仿宋"/>
          <w:i w:val="0"/>
          <w:iCs w:val="0"/>
          <w:caps w:val="0"/>
          <w:color w:val="000000"/>
          <w:spacing w:val="0"/>
          <w:sz w:val="24"/>
          <w:szCs w:val="24"/>
          <w:u w:val="single"/>
          <w:lang w:val="en-US" w:eastAsia="zh-CN"/>
        </w:rPr>
        <w:t>围绕体育产业特点打造专业化、特色化的融资租赁产品与服务体系，为相关企业设备引进与更新、产品销售、资产盘活等需求提供灵活的融资租赁服务。</w:t>
      </w:r>
    </w:p>
    <w:p w14:paraId="0A82E710">
      <w:pPr>
        <w:keepNext w:val="0"/>
        <w:keepLines w:val="0"/>
        <w:pageBreakBefore w:val="0"/>
        <w:widowControl w:val="0"/>
        <w:numPr>
          <w:ilvl w:val="0"/>
          <w:numId w:val="7"/>
        </w:numPr>
        <w:kinsoku/>
        <w:wordWrap/>
        <w:overflowPunct/>
        <w:topLinePunct w:val="0"/>
        <w:autoSpaceDE/>
        <w:autoSpaceDN/>
        <w:bidi w:val="0"/>
        <w:adjustRightInd/>
        <w:snapToGrid/>
        <w:spacing w:line="480" w:lineRule="auto"/>
        <w:ind w:left="0" w:leftChars="0"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做好支持优势企业、优势品牌和优势项目“走出去”金融服务工作。鼓励金融机构为体育企业特别是我国优势项目和民族项目在境外开展业务提供融资支持，</w:t>
      </w:r>
      <w:r>
        <w:rPr>
          <w:rFonts w:hint="default" w:ascii="华文仿宋" w:hAnsi="华文仿宋" w:eastAsia="华文仿宋" w:cs="华文仿宋"/>
          <w:i w:val="0"/>
          <w:iCs w:val="0"/>
          <w:caps w:val="0"/>
          <w:color w:val="000000"/>
          <w:spacing w:val="0"/>
          <w:sz w:val="24"/>
          <w:szCs w:val="24"/>
          <w:u w:val="single"/>
          <w:lang w:val="en-US" w:eastAsia="zh-CN"/>
        </w:rPr>
        <w:t>开发适合体育企业“走出去”特点的金融产品，助力打造一批具有国际竞争力的知名体育企业和具有国际影响力的自主体育品牌。</w:t>
      </w:r>
      <w:r>
        <w:rPr>
          <w:rFonts w:hint="default" w:ascii="华文仿宋" w:hAnsi="华文仿宋" w:eastAsia="华文仿宋" w:cs="华文仿宋"/>
          <w:i w:val="0"/>
          <w:iCs w:val="0"/>
          <w:caps w:val="0"/>
          <w:color w:val="000000"/>
          <w:spacing w:val="0"/>
          <w:sz w:val="24"/>
          <w:szCs w:val="24"/>
          <w:lang w:val="en-US" w:eastAsia="zh-CN"/>
        </w:rPr>
        <w:t>指导银行业金融机构优化体育企业外汇业务办理流程，提高体育产业贸易投资便利度，满足体育企业对外贸易、跨境融资和投资等合理用汇需求。</w:t>
      </w:r>
    </w:p>
    <w:p w14:paraId="4A3FF5A3">
      <w:pPr>
        <w:keepNext w:val="0"/>
        <w:keepLines w:val="0"/>
        <w:pageBreakBefore w:val="0"/>
        <w:widowControl w:val="0"/>
        <w:numPr>
          <w:ilvl w:val="0"/>
          <w:numId w:val="5"/>
        </w:numPr>
        <w:kinsoku/>
        <w:wordWrap/>
        <w:overflowPunct/>
        <w:topLinePunct w:val="0"/>
        <w:autoSpaceDE/>
        <w:autoSpaceDN/>
        <w:bidi w:val="0"/>
        <w:adjustRightInd/>
        <w:snapToGrid/>
        <w:spacing w:line="480" w:lineRule="auto"/>
        <w:ind w:left="0" w:leftChars="0"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eastAsia" w:ascii="黑体" w:hAnsi="黑体" w:eastAsia="黑体" w:cs="黑体"/>
          <w:i w:val="0"/>
          <w:iCs w:val="0"/>
          <w:caps w:val="0"/>
          <w:color w:val="000000"/>
          <w:spacing w:val="0"/>
          <w:sz w:val="24"/>
          <w:szCs w:val="24"/>
          <w:lang w:val="en-US" w:eastAsia="zh-CN"/>
        </w:rPr>
        <w:t>强化工作组织实施</w:t>
      </w:r>
    </w:p>
    <w:p w14:paraId="71E706DB">
      <w:pPr>
        <w:keepNext w:val="0"/>
        <w:keepLines w:val="0"/>
        <w:pageBreakBefore w:val="0"/>
        <w:widowControl w:val="0"/>
        <w:numPr>
          <w:ilvl w:val="0"/>
          <w:numId w:val="7"/>
        </w:numPr>
        <w:kinsoku/>
        <w:wordWrap/>
        <w:overflowPunct/>
        <w:topLinePunct w:val="0"/>
        <w:autoSpaceDE/>
        <w:autoSpaceDN/>
        <w:bidi w:val="0"/>
        <w:adjustRightInd/>
        <w:snapToGrid/>
        <w:spacing w:line="480" w:lineRule="auto"/>
        <w:ind w:left="0" w:leftChars="0"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加强组织实施保障。</w:t>
      </w:r>
    </w:p>
    <w:p w14:paraId="52B7AE13">
      <w:pPr>
        <w:keepNext w:val="0"/>
        <w:keepLines w:val="0"/>
        <w:pageBreakBefore w:val="0"/>
        <w:widowControl w:val="0"/>
        <w:numPr>
          <w:ilvl w:val="0"/>
          <w:numId w:val="7"/>
        </w:numPr>
        <w:kinsoku/>
        <w:wordWrap/>
        <w:overflowPunct/>
        <w:topLinePunct w:val="0"/>
        <w:autoSpaceDE/>
        <w:autoSpaceDN/>
        <w:bidi w:val="0"/>
        <w:adjustRightInd/>
        <w:snapToGrid/>
        <w:spacing w:line="480" w:lineRule="auto"/>
        <w:ind w:left="0" w:leftChars="0"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强化政策联动合力。</w:t>
      </w:r>
    </w:p>
    <w:p w14:paraId="2F4EE5E6">
      <w:pPr>
        <w:keepNext w:val="0"/>
        <w:keepLines w:val="0"/>
        <w:pageBreakBefore w:val="0"/>
        <w:widowControl w:val="0"/>
        <w:numPr>
          <w:ilvl w:val="0"/>
          <w:numId w:val="7"/>
        </w:numPr>
        <w:kinsoku/>
        <w:wordWrap/>
        <w:overflowPunct/>
        <w:topLinePunct w:val="0"/>
        <w:autoSpaceDE/>
        <w:autoSpaceDN/>
        <w:bidi w:val="0"/>
        <w:adjustRightInd/>
        <w:snapToGrid/>
        <w:spacing w:line="480" w:lineRule="auto"/>
        <w:ind w:left="0" w:leftChars="0"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完善信用信息共享。</w:t>
      </w:r>
    </w:p>
    <w:p w14:paraId="4CF0E074">
      <w:pPr>
        <w:keepNext w:val="0"/>
        <w:keepLines w:val="0"/>
        <w:pageBreakBefore w:val="0"/>
        <w:widowControl w:val="0"/>
        <w:numPr>
          <w:ilvl w:val="0"/>
          <w:numId w:val="7"/>
        </w:numPr>
        <w:kinsoku/>
        <w:wordWrap/>
        <w:overflowPunct/>
        <w:topLinePunct w:val="0"/>
        <w:autoSpaceDE/>
        <w:autoSpaceDN/>
        <w:bidi w:val="0"/>
        <w:adjustRightInd/>
        <w:snapToGrid/>
        <w:spacing w:line="480" w:lineRule="auto"/>
        <w:ind w:left="0" w:leftChars="0"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开展监测与调查研究。</w:t>
      </w:r>
    </w:p>
    <w:p w14:paraId="297FD2BD">
      <w:pPr>
        <w:keepNext w:val="0"/>
        <w:keepLines w:val="0"/>
        <w:pageBreakBefore w:val="0"/>
        <w:widowControl w:val="0"/>
        <w:numPr>
          <w:ilvl w:val="0"/>
          <w:numId w:val="7"/>
        </w:numPr>
        <w:kinsoku/>
        <w:wordWrap/>
        <w:overflowPunct/>
        <w:topLinePunct w:val="0"/>
        <w:autoSpaceDE/>
        <w:autoSpaceDN/>
        <w:bidi w:val="0"/>
        <w:adjustRightInd/>
        <w:snapToGrid/>
        <w:spacing w:line="480" w:lineRule="auto"/>
        <w:ind w:left="0" w:leftChars="0"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加强政策宣传解读。</w:t>
      </w:r>
      <w:r>
        <w:rPr>
          <w:rFonts w:hint="default" w:ascii="华文仿宋" w:hAnsi="华文仿宋" w:eastAsia="华文仿宋" w:cs="华文仿宋"/>
          <w:i w:val="0"/>
          <w:iCs w:val="0"/>
          <w:caps w:val="0"/>
          <w:color w:val="000000"/>
          <w:spacing w:val="0"/>
          <w:sz w:val="24"/>
          <w:szCs w:val="24"/>
          <w:u w:val="single"/>
          <w:lang w:val="en-US" w:eastAsia="zh-CN"/>
        </w:rPr>
        <w:t>各单位结合奥运周期、大赛周期等热门时间点，适时召开新闻发布会、政策宣讲会、企业座谈会、产品推介会等，加强政策和产品宣传推广，丰富宣传形式、提高宣传频率、扩大宣传范围，主动将金融支持政策、金融产品和服务信息推送至体育产业经营主体，积极营造良好工作氛围。</w:t>
      </w:r>
    </w:p>
    <w:p w14:paraId="20EA9827">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eastAsia" w:ascii="华文仿宋" w:hAnsi="华文仿宋" w:eastAsia="华文仿宋" w:cs="华文仿宋"/>
          <w:b/>
          <w:bCs/>
          <w:i w:val="0"/>
          <w:iCs w:val="0"/>
          <w:caps w:val="0"/>
          <w:color w:val="000000"/>
          <w:spacing w:val="0"/>
          <w:sz w:val="24"/>
          <w:szCs w:val="24"/>
          <w:lang w:val="en-US" w:eastAsia="zh-CN"/>
        </w:rPr>
        <w:t>该</w:t>
      </w:r>
      <w:r>
        <w:rPr>
          <w:rFonts w:hint="default" w:ascii="华文仿宋" w:hAnsi="华文仿宋" w:eastAsia="华文仿宋" w:cs="华文仿宋"/>
          <w:b/>
          <w:bCs/>
          <w:i w:val="0"/>
          <w:iCs w:val="0"/>
          <w:caps w:val="0"/>
          <w:color w:val="000000"/>
          <w:spacing w:val="0"/>
          <w:sz w:val="24"/>
          <w:szCs w:val="24"/>
          <w:lang w:val="en-US" w:eastAsia="zh-CN"/>
        </w:rPr>
        <w:t>《意见》有以下几点需我司关注：</w:t>
      </w:r>
    </w:p>
    <w:p w14:paraId="258FE385">
      <w:pPr>
        <w:keepNext w:val="0"/>
        <w:keepLines w:val="0"/>
        <w:pageBreakBefore w:val="0"/>
        <w:widowControl w:val="0"/>
        <w:numPr>
          <w:ilvl w:val="0"/>
          <w:numId w:val="8"/>
        </w:numPr>
        <w:kinsoku/>
        <w:wordWrap/>
        <w:overflowPunct/>
        <w:topLinePunct w:val="0"/>
        <w:autoSpaceDE/>
        <w:autoSpaceDN/>
        <w:bidi w:val="0"/>
        <w:adjustRightInd/>
        <w:snapToGrid/>
        <w:spacing w:line="480" w:lineRule="auto"/>
        <w:ind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《意见》提出通过金融工具支持体育产业与消费升级、冰雪经济、职业体育等融合发展。对于我司这类涵盖体</w:t>
      </w:r>
      <w:r>
        <w:rPr>
          <w:rFonts w:hint="eastAsia" w:ascii="华文仿宋" w:hAnsi="华文仿宋" w:eastAsia="华文仿宋" w:cs="华文仿宋"/>
          <w:i w:val="0"/>
          <w:iCs w:val="0"/>
          <w:caps w:val="0"/>
          <w:color w:val="000000"/>
          <w:spacing w:val="0"/>
          <w:sz w:val="24"/>
          <w:szCs w:val="24"/>
          <w:lang w:val="en-US" w:eastAsia="zh-CN"/>
        </w:rPr>
        <w:t xml:space="preserve"> </w:t>
      </w:r>
      <w:r>
        <w:rPr>
          <w:rFonts w:hint="default" w:ascii="华文仿宋" w:hAnsi="华文仿宋" w:eastAsia="华文仿宋" w:cs="华文仿宋"/>
          <w:i w:val="0"/>
          <w:iCs w:val="0"/>
          <w:caps w:val="0"/>
          <w:color w:val="000000"/>
          <w:spacing w:val="0"/>
          <w:sz w:val="24"/>
          <w:szCs w:val="24"/>
          <w:lang w:val="en-US" w:eastAsia="zh-CN"/>
        </w:rPr>
        <w:t>育文化开发和教培业务的企业，需紧抓政策红利方向，主动对接地方政府资源，可申请相关金融产品用于升级培训场馆设施、布局冰雪运动教培项目</w:t>
      </w:r>
      <w:r>
        <w:rPr>
          <w:rFonts w:hint="eastAsia" w:ascii="华文仿宋" w:hAnsi="华文仿宋" w:eastAsia="华文仿宋" w:cs="华文仿宋"/>
          <w:i w:val="0"/>
          <w:iCs w:val="0"/>
          <w:caps w:val="0"/>
          <w:color w:val="000000"/>
          <w:spacing w:val="0"/>
          <w:sz w:val="24"/>
          <w:szCs w:val="24"/>
          <w:lang w:val="en-US" w:eastAsia="zh-CN"/>
        </w:rPr>
        <w:t>。</w:t>
      </w:r>
    </w:p>
    <w:p w14:paraId="5DEEA833">
      <w:pPr>
        <w:keepNext w:val="0"/>
        <w:keepLines w:val="0"/>
        <w:pageBreakBefore w:val="0"/>
        <w:widowControl w:val="0"/>
        <w:numPr>
          <w:ilvl w:val="0"/>
          <w:numId w:val="8"/>
        </w:numPr>
        <w:kinsoku/>
        <w:wordWrap/>
        <w:overflowPunct/>
        <w:topLinePunct w:val="0"/>
        <w:autoSpaceDE/>
        <w:autoSpaceDN/>
        <w:bidi w:val="0"/>
        <w:adjustRightInd/>
        <w:snapToGrid/>
        <w:spacing w:line="480" w:lineRule="auto"/>
        <w:ind w:left="0" w:leftChars="0"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我司可通过投保“体育培训</w:t>
      </w:r>
      <w:r>
        <w:rPr>
          <w:rFonts w:hint="eastAsia" w:ascii="华文仿宋" w:hAnsi="华文仿宋" w:eastAsia="华文仿宋" w:cs="华文仿宋"/>
          <w:i w:val="0"/>
          <w:iCs w:val="0"/>
          <w:caps w:val="0"/>
          <w:color w:val="000000"/>
          <w:spacing w:val="0"/>
          <w:sz w:val="24"/>
          <w:szCs w:val="24"/>
          <w:lang w:val="en-US" w:eastAsia="zh-CN"/>
        </w:rPr>
        <w:t>综合</w:t>
      </w:r>
      <w:r>
        <w:rPr>
          <w:rFonts w:hint="default" w:ascii="华文仿宋" w:hAnsi="华文仿宋" w:eastAsia="华文仿宋" w:cs="华文仿宋"/>
          <w:i w:val="0"/>
          <w:iCs w:val="0"/>
          <w:caps w:val="0"/>
          <w:color w:val="000000"/>
          <w:spacing w:val="0"/>
          <w:sz w:val="24"/>
          <w:szCs w:val="24"/>
          <w:lang w:val="en-US" w:eastAsia="zh-CN"/>
        </w:rPr>
        <w:t>责任险”，“赛事意外险”等相关</w:t>
      </w:r>
      <w:r>
        <w:rPr>
          <w:rFonts w:hint="eastAsia" w:ascii="华文仿宋" w:hAnsi="华文仿宋" w:eastAsia="华文仿宋" w:cs="华文仿宋"/>
          <w:i w:val="0"/>
          <w:iCs w:val="0"/>
          <w:caps w:val="0"/>
          <w:color w:val="000000"/>
          <w:spacing w:val="0"/>
          <w:sz w:val="24"/>
          <w:szCs w:val="24"/>
          <w:lang w:val="en-US" w:eastAsia="zh-CN"/>
        </w:rPr>
        <w:t>险种，丰富公司险种配置</w:t>
      </w:r>
      <w:r>
        <w:rPr>
          <w:rFonts w:hint="default" w:ascii="华文仿宋" w:hAnsi="华文仿宋" w:eastAsia="华文仿宋" w:cs="华文仿宋"/>
          <w:i w:val="0"/>
          <w:iCs w:val="0"/>
          <w:caps w:val="0"/>
          <w:color w:val="000000"/>
          <w:spacing w:val="0"/>
          <w:sz w:val="24"/>
          <w:szCs w:val="24"/>
          <w:lang w:val="en-US" w:eastAsia="zh-CN"/>
        </w:rPr>
        <w:t>，提高客户人生安全保障能力，降低运营风险，增强客户信任度和认可度。此外，利用融资租赁模式租赁相关运动项目器材，减少重资产投入，实现企业轻资产运营。</w:t>
      </w:r>
    </w:p>
    <w:p w14:paraId="0FB16CB8">
      <w:pPr>
        <w:keepNext w:val="0"/>
        <w:keepLines w:val="0"/>
        <w:pageBreakBefore w:val="0"/>
        <w:widowControl w:val="0"/>
        <w:numPr>
          <w:ilvl w:val="0"/>
          <w:numId w:val="8"/>
        </w:numPr>
        <w:kinsoku/>
        <w:wordWrap/>
        <w:overflowPunct/>
        <w:topLinePunct w:val="0"/>
        <w:autoSpaceDE/>
        <w:autoSpaceDN/>
        <w:bidi w:val="0"/>
        <w:adjustRightInd/>
        <w:snapToGrid/>
        <w:spacing w:line="480" w:lineRule="auto"/>
        <w:ind w:left="0" w:leftChars="0"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《意见》鼓励企业创新业务模式，深挖消费场景潜力，促进“体育+文化+旅游+康养”融合，支持全生命周期消费场景开发。我司体育夏令营活动可结合当地相关传统文化元素，争取与地区文旅形成深度合作</w:t>
      </w:r>
      <w:r>
        <w:rPr>
          <w:rFonts w:hint="eastAsia" w:ascii="华文仿宋" w:hAnsi="华文仿宋" w:eastAsia="华文仿宋" w:cs="华文仿宋"/>
          <w:i w:val="0"/>
          <w:iCs w:val="0"/>
          <w:caps w:val="0"/>
          <w:color w:val="000000"/>
          <w:spacing w:val="0"/>
          <w:sz w:val="24"/>
          <w:szCs w:val="24"/>
          <w:lang w:val="en-US" w:eastAsia="zh-CN"/>
        </w:rPr>
        <w:t>，</w:t>
      </w:r>
      <w:r>
        <w:rPr>
          <w:rFonts w:hint="default" w:ascii="华文仿宋" w:hAnsi="华文仿宋" w:eastAsia="华文仿宋" w:cs="华文仿宋"/>
          <w:i w:val="0"/>
          <w:iCs w:val="0"/>
          <w:caps w:val="0"/>
          <w:color w:val="000000"/>
          <w:spacing w:val="0"/>
          <w:sz w:val="24"/>
          <w:szCs w:val="24"/>
          <w:lang w:val="en-US" w:eastAsia="zh-CN"/>
        </w:rPr>
        <w:t>打造差异化IP，提升客户体验度和新鲜感，增加客户粘性。</w:t>
      </w:r>
    </w:p>
    <w:p w14:paraId="48CC2E9B">
      <w:pPr>
        <w:keepNext w:val="0"/>
        <w:keepLines w:val="0"/>
        <w:pageBreakBefore w:val="0"/>
        <w:widowControl w:val="0"/>
        <w:numPr>
          <w:ilvl w:val="0"/>
          <w:numId w:val="8"/>
        </w:numPr>
        <w:kinsoku/>
        <w:wordWrap/>
        <w:overflowPunct/>
        <w:topLinePunct w:val="0"/>
        <w:autoSpaceDE/>
        <w:autoSpaceDN/>
        <w:bidi w:val="0"/>
        <w:adjustRightInd/>
        <w:snapToGrid/>
        <w:spacing w:line="480" w:lineRule="auto"/>
        <w:ind w:left="0" w:leftChars="0"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线上课程平台</w:t>
      </w:r>
      <w:r>
        <w:rPr>
          <w:rFonts w:hint="eastAsia" w:ascii="华文仿宋" w:hAnsi="华文仿宋" w:eastAsia="华文仿宋" w:cs="华文仿宋"/>
          <w:i w:val="0"/>
          <w:iCs w:val="0"/>
          <w:caps w:val="0"/>
          <w:color w:val="000000"/>
          <w:spacing w:val="0"/>
          <w:sz w:val="24"/>
          <w:szCs w:val="24"/>
          <w:lang w:val="en-US" w:eastAsia="zh-CN"/>
        </w:rPr>
        <w:t>可以借助</w:t>
      </w:r>
      <w:r>
        <w:rPr>
          <w:rFonts w:hint="default" w:ascii="华文仿宋" w:hAnsi="华文仿宋" w:eastAsia="华文仿宋" w:cs="华文仿宋"/>
          <w:i w:val="0"/>
          <w:iCs w:val="0"/>
          <w:caps w:val="0"/>
          <w:color w:val="000000"/>
          <w:spacing w:val="0"/>
          <w:sz w:val="24"/>
          <w:szCs w:val="24"/>
          <w:lang w:val="en-US" w:eastAsia="zh-CN"/>
        </w:rPr>
        <w:t>线上推流</w:t>
      </w:r>
      <w:r>
        <w:rPr>
          <w:rFonts w:hint="eastAsia" w:ascii="华文仿宋" w:hAnsi="华文仿宋" w:eastAsia="华文仿宋" w:cs="华文仿宋"/>
          <w:i w:val="0"/>
          <w:iCs w:val="0"/>
          <w:caps w:val="0"/>
          <w:color w:val="000000"/>
          <w:spacing w:val="0"/>
          <w:sz w:val="24"/>
          <w:szCs w:val="24"/>
          <w:lang w:val="en-US" w:eastAsia="zh-CN"/>
        </w:rPr>
        <w:t>手段</w:t>
      </w:r>
      <w:r>
        <w:rPr>
          <w:rFonts w:hint="default" w:ascii="华文仿宋" w:hAnsi="华文仿宋" w:eastAsia="华文仿宋" w:cs="华文仿宋"/>
          <w:i w:val="0"/>
          <w:iCs w:val="0"/>
          <w:caps w:val="0"/>
          <w:color w:val="000000"/>
          <w:spacing w:val="0"/>
          <w:sz w:val="24"/>
          <w:szCs w:val="24"/>
          <w:lang w:val="en-US" w:eastAsia="zh-CN"/>
        </w:rPr>
        <w:t>，吸引年轻用户，开发青少年体适能评估系统，帮助客户更好的发掘自身需求，后续可根据场馆和教练能力开发中老年康养课程等，适配政策</w:t>
      </w:r>
      <w:r>
        <w:rPr>
          <w:rFonts w:hint="eastAsia" w:ascii="华文仿宋" w:hAnsi="华文仿宋" w:eastAsia="华文仿宋" w:cs="华文仿宋"/>
          <w:i w:val="0"/>
          <w:iCs w:val="0"/>
          <w:caps w:val="0"/>
          <w:color w:val="000000"/>
          <w:spacing w:val="0"/>
          <w:sz w:val="24"/>
          <w:szCs w:val="24"/>
          <w:lang w:val="en-US" w:eastAsia="zh-CN"/>
        </w:rPr>
        <w:t>所提倡</w:t>
      </w:r>
      <w:r>
        <w:rPr>
          <w:rFonts w:hint="default" w:ascii="华文仿宋" w:hAnsi="华文仿宋" w:eastAsia="华文仿宋" w:cs="华文仿宋"/>
          <w:i w:val="0"/>
          <w:iCs w:val="0"/>
          <w:caps w:val="0"/>
          <w:color w:val="000000"/>
          <w:spacing w:val="0"/>
          <w:sz w:val="24"/>
          <w:szCs w:val="24"/>
          <w:lang w:val="en-US" w:eastAsia="zh-CN"/>
        </w:rPr>
        <w:t>的全生命周期消费需求。</w:t>
      </w:r>
    </w:p>
    <w:p w14:paraId="6FF1EB14">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r>
        <w:rPr>
          <w:rFonts w:hint="default" w:ascii="华文仿宋" w:hAnsi="华文仿宋" w:eastAsia="华文仿宋" w:cs="华文仿宋"/>
          <w:i w:val="0"/>
          <w:iCs w:val="0"/>
          <w:caps w:val="0"/>
          <w:color w:val="000000"/>
          <w:spacing w:val="0"/>
          <w:sz w:val="24"/>
          <w:szCs w:val="24"/>
          <w:lang w:val="en-US" w:eastAsia="zh-CN"/>
        </w:rPr>
        <w:t>5、我司可结合奥运周期、热门大赛事项周期等，</w:t>
      </w:r>
      <w:r>
        <w:rPr>
          <w:rFonts w:hint="eastAsia" w:ascii="华文仿宋" w:hAnsi="华文仿宋" w:eastAsia="华文仿宋" w:cs="华文仿宋"/>
          <w:i w:val="0"/>
          <w:iCs w:val="0"/>
          <w:caps w:val="0"/>
          <w:color w:val="000000"/>
          <w:spacing w:val="0"/>
          <w:sz w:val="24"/>
          <w:szCs w:val="24"/>
          <w:lang w:val="en-US" w:eastAsia="zh-CN"/>
        </w:rPr>
        <w:t>建立相应的赛事响应机制，结合赛事热点进行</w:t>
      </w:r>
      <w:r>
        <w:rPr>
          <w:rFonts w:hint="default" w:ascii="华文仿宋" w:hAnsi="华文仿宋" w:eastAsia="华文仿宋" w:cs="华文仿宋"/>
          <w:i w:val="0"/>
          <w:iCs w:val="0"/>
          <w:caps w:val="0"/>
          <w:color w:val="000000"/>
          <w:spacing w:val="0"/>
          <w:sz w:val="24"/>
          <w:szCs w:val="24"/>
          <w:lang w:val="en-US" w:eastAsia="zh-CN"/>
        </w:rPr>
        <w:t>相关内容宣讲</w:t>
      </w:r>
      <w:r>
        <w:rPr>
          <w:rFonts w:hint="eastAsia" w:ascii="华文仿宋" w:hAnsi="华文仿宋" w:eastAsia="华文仿宋" w:cs="华文仿宋"/>
          <w:i w:val="0"/>
          <w:iCs w:val="0"/>
          <w:caps w:val="0"/>
          <w:color w:val="000000"/>
          <w:spacing w:val="0"/>
          <w:sz w:val="24"/>
          <w:szCs w:val="24"/>
          <w:lang w:val="en-US" w:eastAsia="zh-CN"/>
        </w:rPr>
        <w:t>，举办</w:t>
      </w:r>
      <w:r>
        <w:rPr>
          <w:rFonts w:hint="default" w:ascii="华文仿宋" w:hAnsi="华文仿宋" w:eastAsia="华文仿宋" w:cs="华文仿宋"/>
          <w:i w:val="0"/>
          <w:iCs w:val="0"/>
          <w:caps w:val="0"/>
          <w:color w:val="000000"/>
          <w:spacing w:val="0"/>
          <w:sz w:val="24"/>
          <w:szCs w:val="24"/>
          <w:lang w:val="en-US" w:eastAsia="zh-CN"/>
        </w:rPr>
        <w:t>校园、</w:t>
      </w:r>
      <w:r>
        <w:rPr>
          <w:rFonts w:hint="eastAsia" w:ascii="华文仿宋" w:hAnsi="华文仿宋" w:eastAsia="华文仿宋" w:cs="华文仿宋"/>
          <w:i w:val="0"/>
          <w:iCs w:val="0"/>
          <w:caps w:val="0"/>
          <w:color w:val="000000"/>
          <w:spacing w:val="0"/>
          <w:sz w:val="24"/>
          <w:szCs w:val="24"/>
          <w:lang w:val="en-US" w:eastAsia="zh-CN"/>
        </w:rPr>
        <w:t>公益</w:t>
      </w:r>
      <w:r>
        <w:rPr>
          <w:rFonts w:hint="default" w:ascii="华文仿宋" w:hAnsi="华文仿宋" w:eastAsia="华文仿宋" w:cs="华文仿宋"/>
          <w:i w:val="0"/>
          <w:iCs w:val="0"/>
          <w:caps w:val="0"/>
          <w:color w:val="000000"/>
          <w:spacing w:val="0"/>
          <w:sz w:val="24"/>
          <w:szCs w:val="24"/>
          <w:lang w:val="en-US" w:eastAsia="zh-CN"/>
        </w:rPr>
        <w:t>讲座，结合线下+线上双重宣传模式，促进相关</w:t>
      </w:r>
      <w:r>
        <w:rPr>
          <w:rFonts w:hint="eastAsia" w:ascii="华文仿宋" w:hAnsi="华文仿宋" w:eastAsia="华文仿宋" w:cs="华文仿宋"/>
          <w:i w:val="0"/>
          <w:iCs w:val="0"/>
          <w:caps w:val="0"/>
          <w:color w:val="000000"/>
          <w:spacing w:val="0"/>
          <w:sz w:val="24"/>
          <w:szCs w:val="24"/>
          <w:lang w:val="en-US" w:eastAsia="zh-CN"/>
        </w:rPr>
        <w:t>赛事热点</w:t>
      </w:r>
      <w:r>
        <w:rPr>
          <w:rFonts w:hint="default" w:ascii="华文仿宋" w:hAnsi="华文仿宋" w:eastAsia="华文仿宋" w:cs="华文仿宋"/>
          <w:i w:val="0"/>
          <w:iCs w:val="0"/>
          <w:caps w:val="0"/>
          <w:color w:val="000000"/>
          <w:spacing w:val="0"/>
          <w:sz w:val="24"/>
          <w:szCs w:val="24"/>
          <w:lang w:val="en-US" w:eastAsia="zh-CN"/>
        </w:rPr>
        <w:t>与公司产品的传播，打造品牌知名度，形成产业规模效应。</w:t>
      </w:r>
    </w:p>
    <w:p w14:paraId="703C2B00">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0" w:firstLineChars="200"/>
        <w:jc w:val="left"/>
        <w:textAlignment w:val="auto"/>
        <w:rPr>
          <w:rFonts w:hint="default" w:ascii="华文仿宋" w:hAnsi="华文仿宋" w:eastAsia="华文仿宋" w:cs="华文仿宋"/>
          <w:i w:val="0"/>
          <w:iCs w:val="0"/>
          <w:caps w:val="0"/>
          <w:color w:val="000000"/>
          <w:spacing w:val="0"/>
          <w:sz w:val="24"/>
          <w:szCs w:val="24"/>
          <w:lang w:val="en-US" w:eastAsia="zh-CN"/>
        </w:rPr>
      </w:pPr>
    </w:p>
    <w:sectPr>
      <w:headerReference r:id="rId4" w:type="default"/>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decorative"/>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0000600000000000000"/>
    <w:charset w:val="86"/>
    <w:family w:val="auto"/>
    <w:pitch w:val="default"/>
    <w:sig w:usb0="800002BF" w:usb1="184F6CF8" w:usb2="00000012" w:usb3="00000000" w:csb0="00160001" w:csb1="1203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B481F">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E76EFA">
                          <w:pPr>
                            <w:pStyle w:val="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3BE76EFA">
                    <w:pPr>
                      <w:pStyle w:val="4"/>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5DDE7">
    <w:pPr>
      <w:pStyle w:val="5"/>
    </w:pPr>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-225425</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D9FA8">
    <w:pPr>
      <w:pStyle w:val="5"/>
    </w:pPr>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-225425</wp:posOffset>
          </wp:positionV>
          <wp:extent cx="1971675" cy="575310"/>
          <wp:effectExtent l="0" t="0" r="0" b="0"/>
          <wp:wrapTopAndBottom/>
          <wp:docPr id="1" name="图片 1"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14BD46"/>
    <w:multiLevelType w:val="singleLevel"/>
    <w:tmpl w:val="8A14BD46"/>
    <w:lvl w:ilvl="0" w:tentative="0">
      <w:start w:val="13"/>
      <w:numFmt w:val="chineseCounting"/>
      <w:suff w:val="nothing"/>
      <w:lvlText w:val="（%1）"/>
      <w:lvlJc w:val="left"/>
      <w:rPr>
        <w:rFonts w:hint="eastAsia"/>
      </w:rPr>
    </w:lvl>
  </w:abstractNum>
  <w:abstractNum w:abstractNumId="1">
    <w:nsid w:val="95DB87C9"/>
    <w:multiLevelType w:val="singleLevel"/>
    <w:tmpl w:val="95DB87C9"/>
    <w:lvl w:ilvl="0" w:tentative="0">
      <w:start w:val="15"/>
      <w:numFmt w:val="chineseCounting"/>
      <w:suff w:val="nothing"/>
      <w:lvlText w:val="（%1）"/>
      <w:lvlJc w:val="left"/>
      <w:rPr>
        <w:rFonts w:hint="eastAsia"/>
      </w:rPr>
    </w:lvl>
  </w:abstractNum>
  <w:abstractNum w:abstractNumId="2">
    <w:nsid w:val="B28F0F0C"/>
    <w:multiLevelType w:val="singleLevel"/>
    <w:tmpl w:val="B28F0F0C"/>
    <w:lvl w:ilvl="0" w:tentative="0">
      <w:start w:val="10"/>
      <w:numFmt w:val="chineseCounting"/>
      <w:suff w:val="nothing"/>
      <w:lvlText w:val="（%1）"/>
      <w:lvlJc w:val="left"/>
      <w:rPr>
        <w:rFonts w:hint="eastAsia"/>
      </w:rPr>
    </w:lvl>
  </w:abstractNum>
  <w:abstractNum w:abstractNumId="3">
    <w:nsid w:val="D4D2A1F0"/>
    <w:multiLevelType w:val="singleLevel"/>
    <w:tmpl w:val="D4D2A1F0"/>
    <w:lvl w:ilvl="0" w:tentative="0">
      <w:start w:val="1"/>
      <w:numFmt w:val="chineseCounting"/>
      <w:suff w:val="nothing"/>
      <w:lvlText w:val="（%1）"/>
      <w:lvlJc w:val="left"/>
      <w:rPr>
        <w:rFonts w:hint="eastAsia"/>
      </w:rPr>
    </w:lvl>
  </w:abstractNum>
  <w:abstractNum w:abstractNumId="4">
    <w:nsid w:val="D9385D0A"/>
    <w:multiLevelType w:val="singleLevel"/>
    <w:tmpl w:val="D9385D0A"/>
    <w:lvl w:ilvl="0" w:tentative="0">
      <w:start w:val="1"/>
      <w:numFmt w:val="chineseCounting"/>
      <w:suff w:val="nothing"/>
      <w:lvlText w:val="（%1）"/>
      <w:lvlJc w:val="left"/>
      <w:rPr>
        <w:rFonts w:hint="eastAsia"/>
      </w:rPr>
    </w:lvl>
  </w:abstractNum>
  <w:abstractNum w:abstractNumId="5">
    <w:nsid w:val="1FB5998A"/>
    <w:multiLevelType w:val="singleLevel"/>
    <w:tmpl w:val="1FB5998A"/>
    <w:lvl w:ilvl="0" w:tentative="0">
      <w:start w:val="1"/>
      <w:numFmt w:val="decimal"/>
      <w:suff w:val="nothing"/>
      <w:lvlText w:val="%1、"/>
      <w:lvlJc w:val="left"/>
    </w:lvl>
  </w:abstractNum>
  <w:abstractNum w:abstractNumId="6">
    <w:nsid w:val="2570E519"/>
    <w:multiLevelType w:val="singleLevel"/>
    <w:tmpl w:val="2570E519"/>
    <w:lvl w:ilvl="0" w:tentative="0">
      <w:start w:val="5"/>
      <w:numFmt w:val="chineseCounting"/>
      <w:suff w:val="nothing"/>
      <w:lvlText w:val="（%1）"/>
      <w:lvlJc w:val="left"/>
      <w:rPr>
        <w:rFonts w:hint="eastAsia"/>
      </w:rPr>
    </w:lvl>
  </w:abstractNum>
  <w:abstractNum w:abstractNumId="7">
    <w:nsid w:val="3838F57D"/>
    <w:multiLevelType w:val="singleLevel"/>
    <w:tmpl w:val="3838F57D"/>
    <w:lvl w:ilvl="0" w:tentative="0">
      <w:start w:val="1"/>
      <w:numFmt w:val="chineseCounting"/>
      <w:suff w:val="nothing"/>
      <w:lvlText w:val="%1、"/>
      <w:lvlJc w:val="left"/>
      <w:rPr>
        <w:rFonts w:hint="eastAsia"/>
      </w:rPr>
    </w:lvl>
  </w:abstractNum>
  <w:num w:numId="1">
    <w:abstractNumId w:val="4"/>
  </w:num>
  <w:num w:numId="2">
    <w:abstractNumId w:val="6"/>
  </w:num>
  <w:num w:numId="3">
    <w:abstractNumId w:val="0"/>
  </w:num>
  <w:num w:numId="4">
    <w:abstractNumId w:val="1"/>
  </w:num>
  <w:num w:numId="5">
    <w:abstractNumId w:val="7"/>
  </w:num>
  <w:num w:numId="6">
    <w:abstractNumId w:val="3"/>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zMGQzYjEzYjM5NDI5ODg0NTIwMzRhMWZhZmU2NTgifQ=="/>
    <w:docVar w:name="KSO_WPS_MARK_KEY" w:val="ff392c24-5c66-487f-81d3-cf2cfe04007c"/>
  </w:docVars>
  <w:rsids>
    <w:rsidRoot w:val="00000000"/>
    <w:rsid w:val="02535CBD"/>
    <w:rsid w:val="19866608"/>
    <w:rsid w:val="228B1BC6"/>
    <w:rsid w:val="38615C20"/>
    <w:rsid w:val="3DD81E4B"/>
    <w:rsid w:val="50795EBC"/>
    <w:rsid w:val="68000819"/>
    <w:rsid w:val="68C4589D"/>
    <w:rsid w:val="68EB4BE5"/>
    <w:rsid w:val="698C60AB"/>
    <w:rsid w:val="78B106FB"/>
    <w:rsid w:val="7DC57E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link w:val="1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paragraph" w:customStyle="1" w:styleId="10">
    <w:name w:val="WPSOffice手动目录 1"/>
    <w:qFormat/>
    <w:uiPriority w:val="0"/>
    <w:pPr>
      <w:ind w:leftChars="0"/>
    </w:pPr>
    <w:rPr>
      <w:rFonts w:ascii="Times New Roman" w:hAnsi="Times New Roman" w:eastAsia="宋体" w:cs="Times New Roman"/>
      <w:sz w:val="20"/>
      <w:szCs w:val="20"/>
    </w:rPr>
  </w:style>
  <w:style w:type="character" w:customStyle="1" w:styleId="11">
    <w:name w:val="标题 3 Char"/>
    <w:link w:val="3"/>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6129</Words>
  <Characters>6157</Characters>
  <Lines>0</Lines>
  <Paragraphs>0</Paragraphs>
  <TotalTime>2</TotalTime>
  <ScaleCrop>false</ScaleCrop>
  <LinksUpToDate>false</LinksUpToDate>
  <CharactersWithSpaces>6181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2025-04-22T07:44:00Z</dcterms:created>
  <dc:creator>86173</dc:creator>
  <cp:lastModifiedBy>张琦</cp:lastModifiedBy>
  <cp:lastPrinted>2025-06-09T06:43:23Z</cp:lastPrinted>
  <dcterms:modified xsi:type="dcterms:W3CDTF">2025-06-09T06:49:31Z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39B7C5D46BAE4D4A99E4DD40FAD09F32_13</vt:lpwstr>
  </property>
  <property fmtid="{D5CDD505-2E9C-101B-9397-08002B2CF9AE}" pid="4" name="KSOTemplateDocerSaveRecord">
    <vt:lpwstr>eyJoZGlkIjoiZTBhMGQ3Y2UzMDU4Zjk5ZDRkY2IwNjE2NGUwYjA0NjciLCJ1c2VySWQiOiIxNTU1MjU1NjI3In0=</vt:lpwstr>
  </property>
</Properties>
</file>