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3768C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480" w:lineRule="atLeast"/>
        <w:ind w:left="0" w:right="0" w:firstLine="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r>
        <w:rPr>
          <w:rFonts w:hint="eastAsia" w:eastAsia="宋体"/>
          <w:lang w:eastAsia="zh-CN"/>
        </w:rPr>
        <w:drawing>
          <wp:anchor distT="0" distB="0" distL="114300" distR="114300" simplePos="0" relativeHeight="251662336" behindDoc="0" locked="0" layoutInCell="1" allowOverlap="1">
            <wp:simplePos x="0" y="0"/>
            <wp:positionH relativeFrom="column">
              <wp:posOffset>-800100</wp:posOffset>
            </wp:positionH>
            <wp:positionV relativeFrom="paragraph">
              <wp:posOffset>-586740</wp:posOffset>
            </wp:positionV>
            <wp:extent cx="1971675" cy="575310"/>
            <wp:effectExtent l="0" t="0" r="0" b="0"/>
            <wp:wrapTopAndBottom/>
            <wp:docPr id="2" name="图片 2"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5f8194bf58c3f65bfdb8fa98540f37"/>
                    <pic:cNvPicPr>
                      <a:picLocks noChangeAspect="1"/>
                    </pic:cNvPicPr>
                  </pic:nvPicPr>
                  <pic:blipFill>
                    <a:blip r:embed="rId6"/>
                    <a:srcRect l="17385" t="30318" r="19387" b="36175"/>
                    <a:stretch>
                      <a:fillRect/>
                    </a:stretch>
                  </pic:blipFill>
                  <pic:spPr>
                    <a:xfrm>
                      <a:off x="0" y="0"/>
                      <a:ext cx="1971675" cy="575310"/>
                    </a:xfrm>
                    <a:prstGeom prst="rect">
                      <a:avLst/>
                    </a:prstGeom>
                  </pic:spPr>
                </pic:pic>
              </a:graphicData>
            </a:graphic>
          </wp:anchor>
        </w:drawing>
      </w:r>
      <w:r>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t>政策分析</w:t>
      </w:r>
    </w:p>
    <w:p w14:paraId="19CCE84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480" w:lineRule="atLeast"/>
        <w:ind w:left="0" w:right="0" w:firstLine="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18307886">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480" w:lineRule="atLeast"/>
        <w:ind w:left="0" w:right="0" w:firstLine="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47C556C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480" w:lineRule="atLeast"/>
        <w:ind w:left="0" w:right="0" w:firstLine="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03F7296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480" w:lineRule="atLeast"/>
        <w:ind w:left="0" w:right="0" w:firstLine="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645240F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480" w:lineRule="atLeast"/>
        <w:ind w:left="0" w:right="0" w:firstLine="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585FCF0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480" w:lineRule="atLeast"/>
        <w:ind w:left="0" w:right="0" w:firstLine="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5A33E89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480" w:lineRule="atLeast"/>
        <w:ind w:left="0" w:right="0" w:firstLine="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27DE042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480" w:lineRule="atLeast"/>
        <w:ind w:left="0" w:right="0" w:firstLine="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674D04D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480" w:lineRule="atLeast"/>
        <w:ind w:left="0" w:right="0" w:firstLine="0"/>
        <w:jc w:val="center"/>
        <w:textAlignment w:val="auto"/>
        <w:rPr>
          <w:rStyle w:val="8"/>
          <w:rFonts w:hint="default" w:ascii="方正小标宋简体" w:hAnsi="方正小标宋简体" w:eastAsia="方正小标宋简体" w:cs="方正小标宋简体"/>
          <w:b/>
          <w:bCs/>
          <w:i w:val="0"/>
          <w:iCs w:val="0"/>
          <w:caps w:val="0"/>
          <w:color w:val="333333"/>
          <w:spacing w:val="0"/>
          <w:sz w:val="32"/>
          <w:szCs w:val="32"/>
          <w:shd w:val="clear" w:fill="FFFFFF"/>
          <w:lang w:val="en-US" w:eastAsia="zh-CN"/>
        </w:rPr>
      </w:pPr>
      <w:r>
        <w:rPr>
          <w:rStyle w:val="8"/>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2025年1月</w:t>
      </w:r>
    </w:p>
    <w:p w14:paraId="3ABB322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N/>
        <w:bidi w:val="0"/>
        <w:adjustRightInd/>
        <w:snapToGrid/>
        <w:spacing w:before="132" w:beforeAutospacing="0" w:after="372" w:afterAutospacing="0" w:line="480" w:lineRule="atLeast"/>
        <w:ind w:left="0" w:right="0" w:firstLine="0"/>
        <w:jc w:val="center"/>
        <w:textAlignment w:val="auto"/>
        <w:outlineLvl w:val="0"/>
        <w:rPr>
          <w:rStyle w:val="8"/>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pPr>
      <w:bookmarkStart w:id="0" w:name="_Toc20329"/>
      <w:bookmarkStart w:id="1" w:name="_Toc21392"/>
      <w:r>
        <w:rPr>
          <w:rStyle w:val="8"/>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产业服务部</w:t>
      </w:r>
      <w:bookmarkEnd w:id="0"/>
      <w:bookmarkEnd w:id="1"/>
    </w:p>
    <w:sdt>
      <w:sdtPr>
        <w:rPr>
          <w:rFonts w:ascii="宋体" w:hAnsi="宋体" w:eastAsia="宋体" w:cstheme="minorBidi"/>
          <w:b/>
          <w:bCs/>
          <w:kern w:val="2"/>
          <w:sz w:val="44"/>
          <w:szCs w:val="44"/>
          <w:lang w:val="en-US" w:eastAsia="zh-CN" w:bidi="ar-SA"/>
        </w:rPr>
        <w:id w:val="147451446"/>
        <w15:color w:val="DBDBDB"/>
        <w:docPartObj>
          <w:docPartGallery w:val="Table of Contents"/>
          <w:docPartUnique/>
        </w:docPartObj>
      </w:sdtPr>
      <w:sdtEndPr>
        <w:rPr>
          <w:rFonts w:asciiTheme="minorHAnsi" w:hAnsiTheme="minorHAnsi" w:eastAsiaTheme="minorEastAsia" w:cstheme="minorBidi"/>
          <w:b/>
          <w:bCs/>
          <w:kern w:val="2"/>
          <w:sz w:val="21"/>
          <w:szCs w:val="24"/>
          <w:lang w:val="en-US" w:eastAsia="zh-CN" w:bidi="ar-SA"/>
        </w:rPr>
      </w:sdtEndPr>
      <w:sdtContent>
        <w:p w14:paraId="2607F006">
          <w:pPr>
            <w:keepNext w:val="0"/>
            <w:keepLines w:val="0"/>
            <w:pageBreakBefore w:val="0"/>
            <w:kinsoku/>
            <w:wordWrap/>
            <w:overflowPunct/>
            <w:topLinePunct w:val="0"/>
            <w:autoSpaceDN/>
            <w:bidi w:val="0"/>
            <w:adjustRightInd/>
            <w:snapToGrid/>
            <w:spacing w:before="132" w:after="372" w:line="240" w:lineRule="auto"/>
            <w:ind w:left="0" w:leftChars="0" w:right="0" w:rightChars="0" w:firstLine="0" w:firstLineChars="0"/>
            <w:jc w:val="center"/>
            <w:textAlignment w:val="auto"/>
            <w:rPr>
              <w:rFonts w:ascii="宋体" w:hAnsi="宋体" w:eastAsia="宋体"/>
              <w:b/>
              <w:bCs/>
              <w:sz w:val="44"/>
              <w:szCs w:val="44"/>
            </w:rPr>
          </w:pPr>
          <w:r>
            <w:rPr>
              <w:rFonts w:ascii="宋体" w:hAnsi="宋体" w:eastAsia="宋体"/>
              <w:b/>
              <w:bCs/>
              <w:sz w:val="44"/>
              <w:szCs w:val="44"/>
            </w:rPr>
            <w:t>目录</w:t>
          </w:r>
        </w:p>
        <w:p w14:paraId="0A0E5956">
          <w:pPr>
            <w:keepNext w:val="0"/>
            <w:keepLines w:val="0"/>
            <w:pageBreakBefore w:val="0"/>
            <w:kinsoku/>
            <w:wordWrap/>
            <w:overflowPunct/>
            <w:topLinePunct w:val="0"/>
            <w:autoSpaceDN/>
            <w:bidi w:val="0"/>
            <w:adjustRightInd/>
            <w:snapToGrid/>
            <w:spacing w:before="132" w:after="372" w:line="240" w:lineRule="auto"/>
            <w:ind w:left="0" w:leftChars="0" w:right="0" w:rightChars="0" w:firstLine="0" w:firstLineChars="0"/>
            <w:jc w:val="center"/>
            <w:textAlignment w:val="auto"/>
            <w:rPr>
              <w:rFonts w:ascii="宋体" w:hAnsi="宋体" w:eastAsia="宋体"/>
              <w:b/>
              <w:bCs/>
              <w:sz w:val="44"/>
              <w:szCs w:val="44"/>
            </w:rPr>
          </w:pPr>
        </w:p>
        <w:p w14:paraId="5F3C7A73">
          <w:pPr>
            <w:pStyle w:val="11"/>
            <w:keepNext w:val="0"/>
            <w:keepLines w:val="0"/>
            <w:pageBreakBefore w:val="0"/>
            <w:tabs>
              <w:tab w:val="right" w:leader="dot" w:pos="8306"/>
            </w:tabs>
            <w:kinsoku/>
            <w:wordWrap/>
            <w:overflowPunct/>
            <w:topLinePunct w:val="0"/>
            <w:autoSpaceDN/>
            <w:bidi w:val="0"/>
            <w:adjustRightInd/>
            <w:snapToGrid/>
            <w:spacing w:before="132" w:after="372"/>
            <w:textAlignment w:val="auto"/>
            <w:rPr>
              <w:rFonts w:hint="eastAsia" w:ascii="黑体" w:hAnsi="黑体" w:eastAsia="黑体" w:cs="黑体"/>
              <w:sz w:val="32"/>
              <w:szCs w:val="32"/>
            </w:rPr>
          </w:pPr>
          <w:r>
            <w:fldChar w:fldCharType="begin"/>
          </w:r>
          <w:r>
            <w:instrText xml:space="preserve">TOC \o "1-1" \h \u </w:instrText>
          </w:r>
          <w:r>
            <w:fldChar w:fldCharType="separate"/>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_Toc25162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第一部分 中共中央 国务院印发《教育强国建设规划纲要（2024－2035年）</w:t>
          </w:r>
          <w:r>
            <w:rPr>
              <w:rFonts w:hint="eastAsia" w:ascii="黑体" w:hAnsi="黑体" w:eastAsia="黑体" w:cs="黑体"/>
              <w:sz w:val="32"/>
              <w:szCs w:val="32"/>
            </w:rPr>
            <w:tab/>
          </w:r>
          <w:r>
            <w:rPr>
              <w:rFonts w:hint="eastAsia" w:ascii="黑体" w:hAnsi="黑体" w:eastAsia="黑体" w:cs="黑体"/>
              <w:sz w:val="32"/>
              <w:szCs w:val="32"/>
              <w:lang w:val="en-US" w:eastAsia="zh-CN"/>
            </w:rPr>
            <w:t>1</w:t>
          </w:r>
          <w:r>
            <w:rPr>
              <w:rFonts w:hint="eastAsia" w:ascii="黑体" w:hAnsi="黑体" w:eastAsia="黑体" w:cs="黑体"/>
              <w:sz w:val="32"/>
              <w:szCs w:val="32"/>
            </w:rPr>
            <w:fldChar w:fldCharType="end"/>
          </w:r>
        </w:p>
        <w:p w14:paraId="24921BFC">
          <w:pPr>
            <w:pStyle w:val="11"/>
            <w:keepNext w:val="0"/>
            <w:keepLines w:val="0"/>
            <w:pageBreakBefore w:val="0"/>
            <w:tabs>
              <w:tab w:val="right" w:leader="dot" w:pos="8306"/>
            </w:tabs>
            <w:kinsoku/>
            <w:wordWrap/>
            <w:overflowPunct/>
            <w:topLinePunct w:val="0"/>
            <w:autoSpaceDN/>
            <w:bidi w:val="0"/>
            <w:adjustRightInd/>
            <w:snapToGrid/>
            <w:spacing w:before="132" w:after="372"/>
            <w:ind w:firstLine="320" w:firstLineChars="10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_Toc8378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20</w:t>
          </w:r>
        </w:p>
        <w:p w14:paraId="50E6B4ED">
          <w:pPr>
            <w:pStyle w:val="11"/>
            <w:keepNext w:val="0"/>
            <w:keepLines w:val="0"/>
            <w:pageBreakBefore w:val="0"/>
            <w:tabs>
              <w:tab w:val="right" w:leader="dot" w:pos="8306"/>
            </w:tabs>
            <w:kinsoku/>
            <w:wordWrap/>
            <w:overflowPunct/>
            <w:topLinePunct w:val="0"/>
            <w:autoSpaceDN/>
            <w:bidi w:val="0"/>
            <w:adjustRightInd/>
            <w:snapToGrid/>
            <w:spacing w:before="132" w:after="372"/>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第二部分 2023年全国体育产业总规模与增加值数据公告</w:t>
          </w:r>
          <w:r>
            <w:rPr>
              <w:rFonts w:hint="eastAsia" w:ascii="黑体" w:hAnsi="黑体" w:eastAsia="黑体" w:cs="黑体"/>
              <w:sz w:val="32"/>
              <w:szCs w:val="32"/>
            </w:rPr>
            <w:tab/>
          </w:r>
          <w:r>
            <w:rPr>
              <w:rFonts w:hint="eastAsia" w:ascii="黑体" w:hAnsi="黑体" w:eastAsia="黑体" w:cs="黑体"/>
              <w:sz w:val="32"/>
              <w:szCs w:val="32"/>
              <w:lang w:val="en-US" w:eastAsia="zh-CN"/>
            </w:rPr>
            <w:t>21</w:t>
          </w:r>
        </w:p>
        <w:p w14:paraId="624A7A34">
          <w:pPr>
            <w:pStyle w:val="11"/>
            <w:keepNext w:val="0"/>
            <w:keepLines w:val="0"/>
            <w:pageBreakBefore w:val="0"/>
            <w:tabs>
              <w:tab w:val="right" w:leader="dot" w:pos="8306"/>
            </w:tabs>
            <w:kinsoku/>
            <w:wordWrap/>
            <w:overflowPunct/>
            <w:topLinePunct w:val="0"/>
            <w:autoSpaceDN/>
            <w:bidi w:val="0"/>
            <w:adjustRightInd/>
            <w:snapToGrid/>
            <w:spacing w:before="132" w:after="372"/>
            <w:textAlignment w:val="auto"/>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专家展望：体育产业结构优化 潜能巨大</w:t>
          </w:r>
          <w:r>
            <w:rPr>
              <w:rFonts w:hint="eastAsia" w:ascii="黑体" w:hAnsi="黑体" w:eastAsia="黑体" w:cs="黑体"/>
              <w:sz w:val="32"/>
              <w:szCs w:val="32"/>
            </w:rPr>
            <w:tab/>
          </w:r>
          <w:r>
            <w:rPr>
              <w:rFonts w:hint="eastAsia" w:ascii="黑体" w:hAnsi="黑体" w:eastAsia="黑体" w:cs="黑体"/>
              <w:sz w:val="32"/>
              <w:szCs w:val="32"/>
              <w:lang w:val="en-US" w:eastAsia="zh-CN"/>
            </w:rPr>
            <w:t>22</w:t>
          </w:r>
        </w:p>
        <w:p w14:paraId="29FA70F0">
          <w:pPr>
            <w:pStyle w:val="11"/>
            <w:keepNext w:val="0"/>
            <w:keepLines w:val="0"/>
            <w:pageBreakBefore w:val="0"/>
            <w:tabs>
              <w:tab w:val="right" w:leader="dot" w:pos="8306"/>
            </w:tabs>
            <w:kinsoku/>
            <w:wordWrap/>
            <w:overflowPunct/>
            <w:topLinePunct w:val="0"/>
            <w:autoSpaceDN/>
            <w:bidi w:val="0"/>
            <w:adjustRightInd/>
            <w:snapToGrid/>
            <w:spacing w:before="132" w:after="372"/>
            <w:ind w:firstLine="320" w:firstLineChars="10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_Toc17425 </w:instrText>
          </w:r>
          <w:r>
            <w:rPr>
              <w:rFonts w:hint="eastAsia" w:ascii="黑体" w:hAnsi="黑体" w:eastAsia="黑体" w:cs="黑体"/>
              <w:sz w:val="32"/>
              <w:szCs w:val="32"/>
            </w:rPr>
            <w:fldChar w:fldCharType="separate"/>
          </w:r>
          <w:r>
            <w:rPr>
              <w:rFonts w:hint="eastAsia" w:ascii="黑体" w:hAnsi="黑体" w:eastAsia="黑体" w:cs="黑体"/>
              <w:i w:val="0"/>
              <w:iCs w:val="0"/>
              <w:caps w:val="0"/>
              <w:spacing w:val="0"/>
              <w:sz w:val="32"/>
              <w:szCs w:val="32"/>
              <w:shd w:val="clear" w:fill="FFFFFF"/>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27</w:t>
          </w:r>
        </w:p>
        <w:p w14:paraId="3D5F89EA">
          <w:pPr>
            <w:pStyle w:val="11"/>
            <w:keepNext w:val="0"/>
            <w:keepLines w:val="0"/>
            <w:pageBreakBefore w:val="0"/>
            <w:tabs>
              <w:tab w:val="right" w:leader="dot" w:pos="8306"/>
            </w:tabs>
            <w:kinsoku/>
            <w:wordWrap/>
            <w:overflowPunct/>
            <w:topLinePunct w:val="0"/>
            <w:autoSpaceDN/>
            <w:bidi w:val="0"/>
            <w:adjustRightInd/>
            <w:snapToGrid/>
            <w:spacing w:before="132" w:after="372"/>
            <w:ind w:firstLine="320" w:firstLineChars="100"/>
            <w:textAlignment w:val="auto"/>
            <w:rPr>
              <w:rFonts w:hint="eastAsia" w:ascii="黑体" w:hAnsi="黑体" w:eastAsia="黑体" w:cs="黑体"/>
              <w:sz w:val="32"/>
              <w:szCs w:val="32"/>
              <w:lang w:val="en-US" w:eastAsia="zh-CN"/>
            </w:rPr>
          </w:pPr>
        </w:p>
        <w:p w14:paraId="3A6FDEC5">
          <w:pPr>
            <w:pStyle w:val="11"/>
            <w:keepNext w:val="0"/>
            <w:keepLines w:val="0"/>
            <w:pageBreakBefore w:val="0"/>
            <w:tabs>
              <w:tab w:val="right" w:leader="dot" w:pos="8306"/>
            </w:tabs>
            <w:kinsoku/>
            <w:wordWrap/>
            <w:overflowPunct/>
            <w:topLinePunct w:val="0"/>
            <w:autoSpaceDN/>
            <w:bidi w:val="0"/>
            <w:adjustRightInd/>
            <w:snapToGrid/>
            <w:spacing w:before="132" w:after="372"/>
            <w:textAlignment w:val="auto"/>
            <w:rPr>
              <w:rFonts w:hint="eastAsia" w:ascii="黑体" w:hAnsi="黑体" w:eastAsia="黑体" w:cs="黑体"/>
              <w:sz w:val="32"/>
              <w:szCs w:val="32"/>
              <w:lang w:val="en-US" w:eastAsia="zh-CN"/>
            </w:rPr>
          </w:pPr>
        </w:p>
        <w:p w14:paraId="2B8D5A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840" w:lineRule="atLeast"/>
            <w:ind w:left="0" w:right="0" w:firstLine="0"/>
            <w:jc w:val="center"/>
            <w:rPr>
              <w:rFonts w:hint="eastAsia" w:ascii="方正小标宋简体" w:hAnsi="方正小标宋简体" w:eastAsia="方正小标宋简体" w:cs="方正小标宋简体"/>
              <w:b w:val="0"/>
              <w:bCs w:val="0"/>
              <w:snapToGrid/>
              <w:color w:val="000000"/>
              <w:kern w:val="2"/>
              <w:sz w:val="44"/>
              <w:szCs w:val="44"/>
              <w:lang w:val="en-US" w:eastAsia="zh-CN" w:bidi="ar-SA"/>
            </w:rPr>
          </w:pPr>
          <w:r>
            <w:fldChar w:fldCharType="end"/>
          </w:r>
        </w:p>
      </w:sdtContent>
    </w:sdt>
    <w:p w14:paraId="2D1210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840" w:lineRule="atLeast"/>
        <w:ind w:left="0" w:right="0" w:firstLine="0"/>
        <w:jc w:val="center"/>
        <w:rPr>
          <w:rFonts w:hint="eastAsia" w:ascii="方正小标宋简体" w:hAnsi="方正小标宋简体" w:eastAsia="方正小标宋简体" w:cs="方正小标宋简体"/>
          <w:b w:val="0"/>
          <w:bCs w:val="0"/>
          <w:snapToGrid/>
          <w:color w:val="000000"/>
          <w:kern w:val="2"/>
          <w:sz w:val="44"/>
          <w:szCs w:val="44"/>
          <w:lang w:val="en-US" w:eastAsia="zh-CN" w:bidi="ar-SA"/>
        </w:rPr>
      </w:pPr>
    </w:p>
    <w:p w14:paraId="3F2575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840" w:lineRule="atLeast"/>
        <w:ind w:left="0" w:right="0" w:firstLine="0"/>
        <w:jc w:val="center"/>
        <w:rPr>
          <w:rFonts w:hint="eastAsia" w:ascii="方正小标宋简体" w:hAnsi="方正小标宋简体" w:eastAsia="方正小标宋简体" w:cs="方正小标宋简体"/>
          <w:b w:val="0"/>
          <w:bCs w:val="0"/>
          <w:snapToGrid/>
          <w:color w:val="000000"/>
          <w:kern w:val="2"/>
          <w:sz w:val="44"/>
          <w:szCs w:val="44"/>
          <w:lang w:val="en-US" w:eastAsia="zh-CN" w:bidi="ar-SA"/>
        </w:rPr>
      </w:pPr>
    </w:p>
    <w:p w14:paraId="270DE1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840" w:lineRule="atLeast"/>
        <w:ind w:left="0" w:right="0" w:firstLine="0"/>
        <w:jc w:val="center"/>
        <w:rPr>
          <w:rFonts w:hint="eastAsia" w:ascii="方正小标宋简体" w:hAnsi="方正小标宋简体" w:eastAsia="方正小标宋简体" w:cs="方正小标宋简体"/>
          <w:b w:val="0"/>
          <w:bCs w:val="0"/>
          <w:snapToGrid/>
          <w:color w:val="000000"/>
          <w:kern w:val="2"/>
          <w:sz w:val="44"/>
          <w:szCs w:val="44"/>
          <w:lang w:val="en-US" w:eastAsia="zh-CN" w:bidi="ar-SA"/>
        </w:rPr>
      </w:pPr>
    </w:p>
    <w:p w14:paraId="716E6E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840" w:lineRule="atLeast"/>
        <w:ind w:left="0" w:right="0" w:firstLine="0"/>
        <w:jc w:val="center"/>
        <w:rPr>
          <w:rFonts w:hint="eastAsia" w:ascii="方正小标宋简体" w:hAnsi="方正小标宋简体" w:eastAsia="方正小标宋简体" w:cs="方正小标宋简体"/>
          <w:b w:val="0"/>
          <w:bCs w:val="0"/>
          <w:snapToGrid/>
          <w:color w:val="000000"/>
          <w:kern w:val="2"/>
          <w:sz w:val="44"/>
          <w:szCs w:val="44"/>
          <w:lang w:val="en-US" w:eastAsia="zh-CN" w:bidi="ar-SA"/>
        </w:rPr>
        <w:sectPr>
          <w:headerReference r:id="rId3" w:type="default"/>
          <w:pgSz w:w="11906" w:h="16838"/>
          <w:pgMar w:top="1440" w:right="1800" w:bottom="1440" w:left="1800" w:header="851" w:footer="992" w:gutter="0"/>
          <w:cols w:space="425" w:num="1"/>
          <w:docGrid w:type="lines" w:linePitch="312" w:charSpace="0"/>
        </w:sectPr>
      </w:pPr>
    </w:p>
    <w:p w14:paraId="423C07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840" w:lineRule="atLeast"/>
        <w:ind w:left="0" w:right="0" w:firstLine="0"/>
        <w:jc w:val="center"/>
      </w:pPr>
      <w:r>
        <w:rPr>
          <w:rFonts w:hint="eastAsia" w:ascii="方正小标宋简体" w:hAnsi="方正小标宋简体" w:eastAsia="方正小标宋简体" w:cs="方正小标宋简体"/>
          <w:b w:val="0"/>
          <w:bCs w:val="0"/>
          <w:snapToGrid/>
          <w:color w:val="000000"/>
          <w:kern w:val="2"/>
          <w:sz w:val="44"/>
          <w:szCs w:val="44"/>
          <w:lang w:val="en-US" w:eastAsia="zh-CN" w:bidi="ar-SA"/>
        </w:rPr>
        <w:t>中共中央 国务院印发《教育强国建设规划</w:t>
      </w:r>
      <w:bookmarkStart w:id="2" w:name="OLE_LINK1"/>
      <w:r>
        <w:rPr>
          <w:rFonts w:hint="eastAsia" w:ascii="方正小标宋简体" w:hAnsi="方正小标宋简体" w:eastAsia="方正小标宋简体" w:cs="方正小标宋简体"/>
          <w:b w:val="0"/>
          <w:bCs w:val="0"/>
          <w:snapToGrid/>
          <w:color w:val="000000"/>
          <w:kern w:val="2"/>
          <w:sz w:val="44"/>
          <w:szCs w:val="44"/>
          <w:lang w:val="en-US" w:eastAsia="zh-CN" w:bidi="ar-SA"/>
        </w:rPr>
        <w:t>纲要</w:t>
      </w:r>
      <w:bookmarkEnd w:id="2"/>
      <w:r>
        <w:rPr>
          <w:rFonts w:hint="eastAsia" w:ascii="方正小标宋简体" w:hAnsi="方正小标宋简体" w:eastAsia="方正小标宋简体" w:cs="方正小标宋简体"/>
          <w:b w:val="0"/>
          <w:bCs w:val="0"/>
          <w:snapToGrid/>
          <w:color w:val="000000"/>
          <w:kern w:val="2"/>
          <w:sz w:val="44"/>
          <w:szCs w:val="44"/>
          <w:lang w:val="en-US" w:eastAsia="zh-CN" w:bidi="ar-SA"/>
        </w:rPr>
        <w:t>（2024－2035年）</w:t>
      </w:r>
    </w:p>
    <w:p w14:paraId="3993BF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898989"/>
          <w:spacing w:val="0"/>
          <w:sz w:val="21"/>
          <w:szCs w:val="21"/>
          <w:u w:val="none"/>
        </w:rPr>
      </w:pPr>
      <w:r>
        <w:rPr>
          <w:rFonts w:hint="eastAsia" w:ascii="宋体" w:hAnsi="宋体" w:eastAsia="宋体" w:cs="宋体"/>
          <w:i w:val="0"/>
          <w:iCs w:val="0"/>
          <w:caps w:val="0"/>
          <w:color w:val="000000"/>
          <w:spacing w:val="0"/>
          <w:kern w:val="0"/>
          <w:sz w:val="21"/>
          <w:szCs w:val="21"/>
          <w:u w:val="none"/>
          <w:shd w:val="clear" w:fill="FFFFFF"/>
          <w:lang w:val="en-US" w:eastAsia="zh-CN" w:bidi="ar"/>
        </w:rPr>
        <w:t> </w:t>
      </w:r>
      <w:r>
        <w:rPr>
          <w:rFonts w:hint="eastAsia" w:ascii="宋体" w:hAnsi="宋体" w:eastAsia="宋体" w:cs="宋体"/>
          <w:i w:val="0"/>
          <w:iCs w:val="0"/>
          <w:caps w:val="0"/>
          <w:color w:val="898989"/>
          <w:spacing w:val="0"/>
          <w:kern w:val="0"/>
          <w:sz w:val="21"/>
          <w:szCs w:val="21"/>
          <w:u w:val="none"/>
          <w:shd w:val="clear" w:fill="FFFFFF"/>
          <w:lang w:val="en-US" w:eastAsia="zh-CN" w:bidi="ar"/>
        </w:rPr>
        <w:t> </w:t>
      </w:r>
      <w:r>
        <w:rPr>
          <w:rFonts w:hint="eastAsia" w:ascii="宋体" w:hAnsi="宋体" w:eastAsia="宋体" w:cs="宋体"/>
          <w:i w:val="0"/>
          <w:iCs w:val="0"/>
          <w:caps w:val="0"/>
          <w:color w:val="000000"/>
          <w:spacing w:val="0"/>
          <w:kern w:val="0"/>
          <w:sz w:val="21"/>
          <w:szCs w:val="21"/>
          <w:u w:val="none"/>
          <w:shd w:val="clear" w:fill="FFFFFF"/>
          <w:lang w:val="en-US" w:eastAsia="zh-CN" w:bidi="ar"/>
        </w:rPr>
        <w:t> </w:t>
      </w:r>
      <w:r>
        <w:rPr>
          <w:rFonts w:hint="eastAsia" w:ascii="宋体" w:hAnsi="宋体" w:eastAsia="宋体" w:cs="宋体"/>
          <w:i w:val="0"/>
          <w:iCs w:val="0"/>
          <w:caps w:val="0"/>
          <w:color w:val="898989"/>
          <w:spacing w:val="0"/>
          <w:kern w:val="0"/>
          <w:sz w:val="21"/>
          <w:szCs w:val="21"/>
          <w:u w:val="none"/>
          <w:shd w:val="clear" w:fill="FFFFFF"/>
          <w:lang w:val="en-US" w:eastAsia="zh-CN" w:bidi="ar"/>
        </w:rPr>
        <w:t> </w:t>
      </w:r>
      <w:r>
        <w:rPr>
          <w:rFonts w:hint="eastAsia" w:ascii="宋体" w:hAnsi="宋体" w:eastAsia="宋体" w:cs="宋体"/>
          <w:i w:val="0"/>
          <w:iCs w:val="0"/>
          <w:caps w:val="0"/>
          <w:color w:val="000000"/>
          <w:spacing w:val="0"/>
          <w:kern w:val="0"/>
          <w:sz w:val="21"/>
          <w:szCs w:val="21"/>
          <w:u w:val="none"/>
          <w:shd w:val="clear" w:fill="FFFFFF"/>
          <w:lang w:val="en-US" w:eastAsia="zh-CN" w:bidi="ar"/>
        </w:rPr>
        <w:t> </w:t>
      </w:r>
    </w:p>
    <w:p w14:paraId="6EC6D23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新华社北京1月19日电 近日，中共中央、国务院印发了《教育强国建设规划纲要（2024－2035年）》，并发出通知，要求各地区各部门结合实际认真贯彻落实。</w:t>
      </w:r>
    </w:p>
    <w:p w14:paraId="0281959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《教育强国建设规划纲要（2024－2035年）》主要内容如下。</w:t>
      </w:r>
    </w:p>
    <w:p w14:paraId="7DB968E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为深入贯彻党的二十大关于加快建设教育强国的战略部署，制定本规划纲要。</w:t>
      </w:r>
    </w:p>
    <w:p w14:paraId="1E3BBB92">
      <w:pPr>
        <w:pStyle w:val="5"/>
        <w:keepNext w:val="0"/>
        <w:keepLines w:val="0"/>
        <w:pageBreakBefore w:val="0"/>
        <w:widowControl w:val="0"/>
        <w:suppressLineNumbers w:val="0"/>
        <w:suppressAutoHyphens w:val="0"/>
        <w:kinsoku/>
        <w:wordWrap/>
        <w:overflowPunct/>
        <w:topLinePunct w:val="0"/>
        <w:autoSpaceDE w:val="0"/>
        <w:autoSpaceDN/>
        <w:bidi w:val="0"/>
        <w:adjustRightInd/>
        <w:snapToGrid/>
        <w:spacing w:before="132" w:beforeAutospacing="0" w:after="372" w:afterAutospacing="0" w:line="240" w:lineRule="auto"/>
        <w:ind w:left="0" w:right="0" w:firstLine="643" w:firstLineChars="200"/>
        <w:jc w:val="both"/>
        <w:textAlignment w:val="auto"/>
        <w:rPr>
          <w:rFonts w:hint="eastAsia" w:ascii="黑体" w:hAnsi="黑体" w:eastAsia="黑体" w:cs="黑体"/>
          <w:b/>
          <w:bCs/>
          <w:strike w:val="0"/>
          <w:color w:val="auto"/>
          <w:spacing w:val="0"/>
          <w:kern w:val="21"/>
          <w:sz w:val="32"/>
          <w:szCs w:val="32"/>
          <w:highlight w:val="none"/>
          <w:lang w:val="en-US" w:eastAsia="zh-CN" w:bidi="ar"/>
        </w:rPr>
      </w:pPr>
      <w:r>
        <w:rPr>
          <w:rFonts w:hint="eastAsia" w:ascii="黑体" w:hAnsi="黑体" w:eastAsia="黑体" w:cs="黑体"/>
          <w:b/>
          <w:bCs/>
          <w:strike w:val="0"/>
          <w:color w:val="auto"/>
          <w:spacing w:val="0"/>
          <w:kern w:val="21"/>
          <w:sz w:val="32"/>
          <w:szCs w:val="32"/>
          <w:highlight w:val="none"/>
          <w:lang w:val="en-US" w:eastAsia="zh-CN" w:bidi="ar"/>
        </w:rPr>
        <w:t>一、总体要求</w:t>
      </w:r>
    </w:p>
    <w:p w14:paraId="392F173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坚持以习近平新时代中国特色社会主义思想为指导，深入贯彻党的二十大和二十届二中、三中全会精神，全面贯彻习近平总书记关于教育的重要论述，深刻领悟“两个确立”的决定性意义，坚决做到“两个维护”，坚持教育优先发展，全面贯彻党的教育方针，坚定不移走中国特色社会主义教育发展道路，坚持社会主义办学方向，全面把握教育的政治属性、人民属性、战略属性，落实立德树人根本任务，为党育人、为国育才，全面服务中国式现代化建设，扎根中国大地办教育，加快建设高质量教育体系，培养德智体美劳全面发展的社会主义建设者和接班人，加快建设具有强大思政引领力、人才竞争力、科技支撑力、民生保障力、社会协同力、国际影响力的中国特色社会主义教育强国，为建设社会主义现代化强国、全面推进中华民族伟大复兴提供有力支撑。</w:t>
      </w:r>
    </w:p>
    <w:p w14:paraId="76AC1D3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工作中要做到：坚持党对教育事业的全面领导，突出促进公平、提高质量，强化战略引领、支撑发展，深化改革创新、协同融合，坚持自主自信、胸怀天下。正确处理支撑国家战略和满足民生需求、知识学习和全面发展、培养人才和满足社会需要、规范有序和激发活力、扎根中国大地和借鉴国际经验的关系，全面构建固本铸魂的思想政治教育体系、公平优质的基础教育体系、自强卓越的高等教育体系、产教融合的职业教育体系、泛在可及的终身教育体系、创新牵引的科技支撑体系、素质精良的教师队伍体系、开放互鉴的国际合作体系，实现由大到强的系统跃升。</w:t>
      </w:r>
    </w:p>
    <w:p w14:paraId="7E29676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主要目标是：到2027年，教育强国建设取得重要阶段性成效。各级教育普及水平持续巩固提升，高质量教育体系初步形成，人民群众教育获得感明显提升，人才自主培养质量全面提高，拔尖创新人才不断涌现，关键领域改革取得实质性进展，教育布局结构与经济社会和人口高质量发展需求更加契合，具有全球影响力的重要教育中心建设迈上新台阶。到2035年，建成教育强国。党对教育事业全面领导的制度体系和工作机制系统完备，高质量教育体系全面建成，基础教育普及水平和质量稳居世界前列，学习型社会全面形成，人民群众教育满意度显著跃升，教育服务国家战略能力显著跃升，教育现代化总体实现。</w:t>
      </w:r>
    </w:p>
    <w:p w14:paraId="635D82F9">
      <w:pPr>
        <w:pStyle w:val="5"/>
        <w:keepNext w:val="0"/>
        <w:keepLines w:val="0"/>
        <w:pageBreakBefore w:val="0"/>
        <w:widowControl w:val="0"/>
        <w:suppressLineNumbers w:val="0"/>
        <w:suppressAutoHyphens w:val="0"/>
        <w:kinsoku/>
        <w:wordWrap/>
        <w:overflowPunct/>
        <w:topLinePunct w:val="0"/>
        <w:autoSpaceDE w:val="0"/>
        <w:autoSpaceDN/>
        <w:bidi w:val="0"/>
        <w:adjustRightInd/>
        <w:snapToGrid/>
        <w:spacing w:before="132" w:beforeAutospacing="0" w:after="372" w:afterAutospacing="0" w:line="240" w:lineRule="auto"/>
        <w:ind w:left="0" w:right="0" w:firstLine="643" w:firstLineChars="200"/>
        <w:jc w:val="both"/>
        <w:textAlignment w:val="auto"/>
        <w:rPr>
          <w:rFonts w:hint="eastAsia" w:ascii="黑体" w:hAnsi="黑体" w:eastAsia="黑体" w:cs="黑体"/>
          <w:b/>
          <w:bCs/>
          <w:strike w:val="0"/>
          <w:color w:val="auto"/>
          <w:spacing w:val="0"/>
          <w:kern w:val="21"/>
          <w:sz w:val="32"/>
          <w:szCs w:val="32"/>
          <w:highlight w:val="none"/>
          <w:lang w:val="en-US" w:eastAsia="zh-CN" w:bidi="ar"/>
        </w:rPr>
      </w:pPr>
      <w:r>
        <w:rPr>
          <w:rFonts w:hint="eastAsia" w:ascii="黑体" w:hAnsi="黑体" w:eastAsia="黑体" w:cs="黑体"/>
          <w:b/>
          <w:bCs/>
          <w:strike w:val="0"/>
          <w:color w:val="auto"/>
          <w:spacing w:val="0"/>
          <w:kern w:val="21"/>
          <w:sz w:val="32"/>
          <w:szCs w:val="32"/>
          <w:highlight w:val="none"/>
          <w:lang w:val="en-US" w:eastAsia="zh-CN" w:bidi="ar"/>
        </w:rPr>
        <w:t>二、塑造立德树人新格局，培养担当民族复兴大任的时代新人</w:t>
      </w:r>
    </w:p>
    <w:p w14:paraId="3EAEA50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一）加强和改进新时代学校思想政治教育。坚持不懈用习近平新时代中国特色社会主义思想铸魂育人，加强习近平总书记关于教育的重要论述的学理阐释。实施新时代立德树人工程，坚持思政课建设与党的创新理论武装同步推进，加快构建以习近平新时代中国特色社会主义思想为核心内容的课程教材体系，把学校思想政治教育贯穿各学科体系、教学体系、教材体系、管理体系，融入思想道德、文化知识、社会实践教育，确保广大学生始终忠于党、忠于国家、忠于人民、忠于社会主义，坚定马克思主义信仰、中国特色社会主义信念、中华民族伟大复兴信心。开好讲好“习近平新时代中国特色社会主义思想概论”课，系统完善中小学思政课课程标准，整体优化设计高校思政课课程方案，推进大中小学思政课一体化改革创新。打造一批“大思政课”品牌。推动理想信念教育常态化制度化，加强社会主义核心价值观教育。加强党史、新中国史、改革开放史、社会主义发展史教育。深化爱国主义、集体主义、社会主义教育，开展中国共产党人精神谱系教育。坚定文化自信，加强社会主义先进文化、革命文化和中华优秀传统文化教育，分学段有序融入思想政治教育。加强铸牢中华民族共同体意识教育。完善党政领导干部进校园开展思想政治教育长效机制，开展教育系统党员教育基本培训。增强学校基层党组织政治功能和组织功能，发挥战斗堡垒作用。</w:t>
      </w:r>
    </w:p>
    <w:p w14:paraId="3F21D16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二）加强党的创新理论体系化学理化研究阐释和成果应用。深入阐释党的创新理论科学内涵和实践要求，建强马克思主义理论学科，构建学科体系、学术体系、话语体系。全面推动党的创新理论研究成果转化为相应的学科方向和课程教材，将新时代伟大变革成功案例及其蕴含的道理学理哲理融入学校思想政治教育。</w:t>
      </w:r>
    </w:p>
    <w:p w14:paraId="2C2B371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三）拓展实践育人和网络育人空间和阵地。统筹推动价值引领、实践体验、环境营造，探索课上课下协同、校内校外一体、线上线下融合的育人机制。组织学生体验感悟新时代生动实践和伟大成就，增加实践教学比重，充分发挥红色资源育人功能，支持学生参加红色研学之旅。推动思想政治工作和信息技术深度融合，打造网络思想政治教育特色品牌，加强青少年学生网络安全意识、文明素养、行为习惯等教育，塑造有利于青少年健康成长的网络空间和育人生态。</w:t>
      </w:r>
    </w:p>
    <w:p w14:paraId="6EC9B9E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四）促进学生健康成长、全面发展。深入实施素质教育，健全德智体美劳全面培养体系，加快补齐体育、美育、劳动教育短板。落实健康第一教育理念，实施学生体质强健计划，中小学生每天综合体育活动时间不低于2小时，加强</w:t>
      </w:r>
      <w:r>
        <w:rPr>
          <w:rFonts w:hint="eastAsia" w:ascii="华文仿宋" w:hAnsi="华文仿宋" w:eastAsia="华文仿宋" w:cs="华文仿宋"/>
          <w:strike w:val="0"/>
          <w:color w:val="0000FF"/>
          <w:spacing w:val="0"/>
          <w:kern w:val="21"/>
          <w:sz w:val="32"/>
          <w:szCs w:val="32"/>
          <w:highlight w:val="none"/>
          <w:lang w:val="en-US" w:eastAsia="zh-CN" w:bidi="ar"/>
        </w:rPr>
        <w:t>校园足球建设</w:t>
      </w:r>
      <w:r>
        <w:rPr>
          <w:rFonts w:hint="eastAsia" w:ascii="华文仿宋" w:hAnsi="华文仿宋" w:eastAsia="华文仿宋" w:cs="华文仿宋"/>
          <w:strike w:val="0"/>
          <w:color w:val="auto"/>
          <w:spacing w:val="0"/>
          <w:kern w:val="21"/>
          <w:sz w:val="32"/>
          <w:szCs w:val="32"/>
          <w:highlight w:val="none"/>
          <w:lang w:val="en-US" w:eastAsia="zh-CN" w:bidi="ar"/>
        </w:rPr>
        <w:t>，有效控制近视率、肥胖率。推进学校美育浸润行动。实施劳动习惯养成计划，提升学生动手实践能力、解决复杂问题能力和社会适应能力。普及心理健康教育，建立全国学生心理健康监测预警系统，分学段完善服务工作机制。加强宪法法治教育、国家安全教育、国防教育。深入实施青少年学生读书行动。</w:t>
      </w:r>
    </w:p>
    <w:p w14:paraId="12CECEA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五）打造培根铸魂、启智增慧的高质量教材。落实教材建设国家事权，体现党和国家意志。加强新时代马克思主义理论研究和建设工程重点教材建设。推进思政课教材建设。深入总结新时代伟大实践，推出“中国系列”原创教材，打造自主教材体系。开发一批基础教育科学教材，打造一批职业教育优质教材，建设一批本科和研究生一流核心教材，遴选引进一批理工农医学科前沿优质教材。加快推进教材数字化转型。完善教材管理体制，健全国家、地方、学校、出版单位分级分类负责机制。完善教材建设相关表彰奖励制度。规范教辅材料和课外读物管理。</w:t>
      </w:r>
    </w:p>
    <w:p w14:paraId="7332895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六）推广普及国家通用语言文字。实施国家通用语言文字普及攻坚和质量提升行动。提高全民语言文化素养。健全语言文字规范标准体系，建设新型国家语料库。开展语言国情国力调查。加强网络空间语言文字规范引导。深入实施国家语言文化传承发展系列工程。加强与港澳台语言文化交流。</w:t>
      </w:r>
    </w:p>
    <w:p w14:paraId="3D8CC287">
      <w:pPr>
        <w:pStyle w:val="5"/>
        <w:keepNext w:val="0"/>
        <w:keepLines w:val="0"/>
        <w:pageBreakBefore w:val="0"/>
        <w:widowControl w:val="0"/>
        <w:suppressLineNumbers w:val="0"/>
        <w:suppressAutoHyphens w:val="0"/>
        <w:kinsoku/>
        <w:wordWrap/>
        <w:overflowPunct/>
        <w:topLinePunct w:val="0"/>
        <w:autoSpaceDE w:val="0"/>
        <w:autoSpaceDN/>
        <w:bidi w:val="0"/>
        <w:adjustRightInd/>
        <w:snapToGrid/>
        <w:spacing w:before="132" w:beforeAutospacing="0" w:after="372" w:afterAutospacing="0" w:line="240" w:lineRule="auto"/>
        <w:ind w:left="0" w:right="0" w:firstLine="643" w:firstLineChars="200"/>
        <w:jc w:val="both"/>
        <w:textAlignment w:val="auto"/>
        <w:rPr>
          <w:rFonts w:hint="eastAsia" w:ascii="黑体" w:hAnsi="黑体" w:eastAsia="黑体" w:cs="黑体"/>
          <w:b/>
          <w:bCs/>
          <w:strike w:val="0"/>
          <w:color w:val="auto"/>
          <w:spacing w:val="0"/>
          <w:kern w:val="21"/>
          <w:sz w:val="32"/>
          <w:szCs w:val="32"/>
          <w:highlight w:val="none"/>
          <w:lang w:val="en-US" w:eastAsia="zh-CN" w:bidi="ar"/>
        </w:rPr>
      </w:pPr>
      <w:r>
        <w:rPr>
          <w:rFonts w:hint="eastAsia" w:ascii="黑体" w:hAnsi="黑体" w:eastAsia="黑体" w:cs="黑体"/>
          <w:b/>
          <w:bCs/>
          <w:strike w:val="0"/>
          <w:color w:val="auto"/>
          <w:spacing w:val="0"/>
          <w:kern w:val="21"/>
          <w:sz w:val="32"/>
          <w:szCs w:val="32"/>
          <w:highlight w:val="none"/>
          <w:lang w:val="en-US" w:eastAsia="zh-CN" w:bidi="ar"/>
        </w:rPr>
        <w:t>三、办强办优基础教育，夯实全面提升国民素质战略基点</w:t>
      </w:r>
    </w:p>
    <w:p w14:paraId="0D3B117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七）健全与人口变化相适应的基础教育资源统筹调配机制。深入实施基础教育扩优提质工程。探索逐步扩大免费教育范围。建立基础教育各学段学龄人口变化监测预警制度，优化中小学和幼儿园布局。提高教育公共服务质量和水平，提升普惠性、可及性、便捷性，加强近期和中长期教育资源统筹配置。建立“市县结合”的基础教育管理体制，因地制宜打通使用各学段教育资源，加强跨学段动态调整和余缺调配，扩大学龄人口净流入城镇教育资源供给。支持人口20万以上县（市、区、旗）办好一所达到标准的特殊教育学校，鼓励有条件的地区建设十五年一贯制特殊教育学校。加强专门学校建设和专门教育工作。</w:t>
      </w:r>
    </w:p>
    <w:p w14:paraId="6932160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八）推动义务教育优质均衡发展和城乡一体化。加强义务教育学校标准化建设，逐步缩小城乡、区域、校际、群体差距。促进学校优秀领导人员和骨干教师区域内统筹调配、交流轮岗。有序推进小班化教学。提升寄宿制学校办学条件和管理水平，办好必要的乡村小规模学校。推动符合条件的农业转移人口随迁子女义务教育享有同迁入地户籍人口同等权利，健全留守儿童、残疾儿童关爱体系和工作机制，健全控辍保学常态化机制。持续做好国家乡村振兴重点帮扶县教育人才“组团式”帮扶工作。深入开展县域义务教育优质均衡督导评估，有序推进市域义务教育优质均衡发展。</w:t>
      </w:r>
    </w:p>
    <w:p w14:paraId="40E49A2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九）促进学前教育普及普惠和高中阶段学校多样化发展。稳步增加公办幼儿园学位供给，落实和完善普惠性民办幼儿园扶持政策。支持有条件的幼儿园招收2至3岁幼儿。统筹推进市域内高中阶段学校多样化发展，加快扩大普通高中教育资源供给。探索设立一批以科学教育为特色的普通高中，办好综合高中。深入实施县域普通高中振兴计划。</w:t>
      </w:r>
    </w:p>
    <w:p w14:paraId="3BECBF6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十）统筹推进“双减”和教育教学质量提升。巩固校外培训治理成果，严控学科类培训，规范非学科类培训。坚持依法治理，加强数字化、全流程管理。强化学校教育主阵地作用，全面提升课堂教学水平，加强对学习困难学生的辅导。压减重复性作业，减少日常考试测试频次。提高课后服务质量，丰富服务内容。加强科学教育，强化核心素养培育。</w:t>
      </w:r>
    </w:p>
    <w:p w14:paraId="7AA66C17">
      <w:pPr>
        <w:pStyle w:val="5"/>
        <w:keepNext w:val="0"/>
        <w:keepLines w:val="0"/>
        <w:pageBreakBefore w:val="0"/>
        <w:widowControl w:val="0"/>
        <w:suppressLineNumbers w:val="0"/>
        <w:suppressAutoHyphens w:val="0"/>
        <w:kinsoku/>
        <w:wordWrap/>
        <w:overflowPunct/>
        <w:topLinePunct w:val="0"/>
        <w:autoSpaceDE w:val="0"/>
        <w:autoSpaceDN/>
        <w:bidi w:val="0"/>
        <w:adjustRightInd/>
        <w:snapToGrid/>
        <w:spacing w:before="132" w:beforeAutospacing="0" w:after="372" w:afterAutospacing="0" w:line="240" w:lineRule="auto"/>
        <w:ind w:left="0" w:right="0" w:firstLine="643" w:firstLineChars="200"/>
        <w:jc w:val="both"/>
        <w:textAlignment w:val="auto"/>
        <w:rPr>
          <w:rFonts w:hint="eastAsia" w:ascii="黑体" w:hAnsi="黑体" w:eastAsia="黑体" w:cs="黑体"/>
          <w:b/>
          <w:bCs/>
          <w:strike w:val="0"/>
          <w:color w:val="auto"/>
          <w:spacing w:val="0"/>
          <w:kern w:val="21"/>
          <w:sz w:val="32"/>
          <w:szCs w:val="32"/>
          <w:highlight w:val="none"/>
          <w:lang w:val="en-US" w:eastAsia="zh-CN" w:bidi="ar"/>
        </w:rPr>
      </w:pPr>
      <w:r>
        <w:rPr>
          <w:rFonts w:hint="eastAsia" w:ascii="黑体" w:hAnsi="黑体" w:eastAsia="黑体" w:cs="黑体"/>
          <w:b/>
          <w:bCs/>
          <w:strike w:val="0"/>
          <w:color w:val="auto"/>
          <w:spacing w:val="0"/>
          <w:kern w:val="21"/>
          <w:sz w:val="32"/>
          <w:szCs w:val="32"/>
          <w:highlight w:val="none"/>
          <w:lang w:val="en-US" w:eastAsia="zh-CN" w:bidi="ar"/>
        </w:rPr>
        <w:t>四、增强高等教育综合实力，打造战略引领力量</w:t>
      </w:r>
    </w:p>
    <w:p w14:paraId="1C0E8FD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十一）分类推进高校改革发展。实施高等教育综合改革试点。按照研究型、应用型、技能型等基本办学定位，区分综合性、特色化基本方向，明确各类高校发展定位，支持理工农医、人文社科、艺术体育等高校差异化发展。建立分类管理、分类评价机制，在办学条件、招生计划、学位点授权、经费投入等方面分类支持。根据不同类型高校功能定位、实际贡献、特色优势，建立资源配置激励机制，引导高校在不同领域不同赛道发挥优势、办出特色。</w:t>
      </w:r>
    </w:p>
    <w:p w14:paraId="40CD1D1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十二）优化高等教育布局。统筹中央部门所属高校和地方高校发展。加大高水平研究型大学建设力度，加快推进地方高校应用型转型。支持部省合建高校加快发展，优化省部共建高校区域布局。新增高等教育资源适度向中西部地区、民族地区倾斜。完善对口支援工作机制。鼓励国外高水平理工类大学来华合作办学。支持高校改善学生宿舍等办学条件。有序扩大优质本科教育招生规模，扩大研究生培养规模，稳步提高博士研究生占比，大力发展专业学位研究生教育。</w:t>
      </w:r>
    </w:p>
    <w:p w14:paraId="006C270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十三）加快建设中国特色、世界一流的大学和优势学科。围绕中国式现代化的本质要求，自主科学确定“双一流”标准，聚焦优势学科适度扩大“双一流”建设范围。完善质量、特色、贡献导向的监测评价体系，健全动态调整和多元投入机制，加大资源配置力度。建立科技发展、国家战略需求牵引的学科设置调整机制和人才培养模式。实施一流学科培优行动，推动学科融合发展，超常布局急需学科专业，加强基础学科、新兴学科、交叉学科建设，支持濒危学科和冷门学科。深化博士研究生教育改革，打造具有全球影响力的博士研究生教育，不断提升自主培养、吸引集聚高层次人才的能力。</w:t>
      </w:r>
    </w:p>
    <w:p w14:paraId="4D1C5C0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十四）完善拔尖创新人才发现和培养机制。着力加强创新能力培养，面向中小学生实施科学素养培育“沃土计划”；面向具有创新潜质的高中学生实施“脱颖计划”等。在战略急需和新兴领域，探索国家拔尖创新人才培养新模式。深化新工科、新医科、新农科、新文科建设，强化科技教育和人文教育协同，推进理工结合、工工贯通、医工融合、农工交叉，建强国家卓越工程师学院、国家产教融合创新平台等，深入实施国家卓越医师人才培养计划。打造一流核心课程、教材、实践项目和师资团队。</w:t>
      </w:r>
    </w:p>
    <w:p w14:paraId="2969F24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十五）构建中国哲学社会科学自主知识体系。聚焦中国式现代化建设重大理论和实践问题，以党的创新理论引领哲学社会科学知识创新、理论创新、方法创新，构建以各学科标识性概念、原创性理论为主干的自主知识体系。实施习近平新时代中国特色社会主义思想研究、中国特色哲学社会科学研究重大专项，加快自主知识体系构建步伐，覆盖哲学社会科学所有一级学科。完善以实践为导向的法学院校教育培养机制。推进哲学社会科学创新平台和创新团队建设，加强全国重点马克思主义学院建设，建好高校哲学社会科学实验室。</w:t>
      </w:r>
    </w:p>
    <w:p w14:paraId="7D90C2D2">
      <w:pPr>
        <w:pStyle w:val="5"/>
        <w:keepNext w:val="0"/>
        <w:keepLines w:val="0"/>
        <w:pageBreakBefore w:val="0"/>
        <w:widowControl w:val="0"/>
        <w:suppressLineNumbers w:val="0"/>
        <w:suppressAutoHyphens w:val="0"/>
        <w:kinsoku/>
        <w:wordWrap/>
        <w:overflowPunct/>
        <w:topLinePunct w:val="0"/>
        <w:autoSpaceDE w:val="0"/>
        <w:autoSpaceDN/>
        <w:bidi w:val="0"/>
        <w:adjustRightInd/>
        <w:snapToGrid/>
        <w:spacing w:before="132" w:beforeAutospacing="0" w:after="372" w:afterAutospacing="0" w:line="240" w:lineRule="auto"/>
        <w:ind w:left="0" w:right="0" w:firstLine="643" w:firstLineChars="200"/>
        <w:jc w:val="both"/>
        <w:textAlignment w:val="auto"/>
        <w:rPr>
          <w:rFonts w:hint="eastAsia" w:ascii="黑体" w:hAnsi="黑体" w:eastAsia="黑体" w:cs="黑体"/>
          <w:b/>
          <w:bCs/>
          <w:strike w:val="0"/>
          <w:color w:val="auto"/>
          <w:spacing w:val="0"/>
          <w:kern w:val="21"/>
          <w:sz w:val="32"/>
          <w:szCs w:val="32"/>
          <w:highlight w:val="none"/>
          <w:lang w:val="en-US" w:eastAsia="zh-CN" w:bidi="ar"/>
        </w:rPr>
      </w:pPr>
      <w:r>
        <w:rPr>
          <w:rFonts w:hint="eastAsia" w:ascii="黑体" w:hAnsi="黑体" w:eastAsia="黑体" w:cs="黑体"/>
          <w:b/>
          <w:bCs/>
          <w:strike w:val="0"/>
          <w:color w:val="auto"/>
          <w:spacing w:val="0"/>
          <w:kern w:val="21"/>
          <w:sz w:val="32"/>
          <w:szCs w:val="32"/>
          <w:highlight w:val="none"/>
          <w:lang w:val="en-US" w:eastAsia="zh-CN" w:bidi="ar"/>
        </w:rPr>
        <w:t>五、培育壮大国家战略科技力量，有力支撑高水平科技自立自强</w:t>
      </w:r>
    </w:p>
    <w:p w14:paraId="4057B9F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十六）实施基础学科和交叉学科突破计划。强化高水平研究型大学国家基础研究主力军和重大科技突破策源地作用，提高基础研究组织化程度，建立科技创新与人才培养相互支撑、带动学科高质量发展的有效机制。打造校企地联合创新平台，加强重大科技基础设施、科技资源库建设，打造一流科技领军人才和创新团队，实现基础学科突破，引领学科交叉融合再创新。</w:t>
      </w:r>
    </w:p>
    <w:p w14:paraId="085903A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（十七）促进青年科技人才成长发展。大力弘扬科学家精神，营造鼓励探索、宽容失败的良好环境。培养造就一批高水平师资和学术大师。</w:t>
      </w:r>
    </w:p>
    <w:p w14:paraId="5A6EE9D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十八）提高高校科技成果转化效能。依托国家大学科技园打造高校区域技术转移转化中心，加强与各类技术转移转化平台和高新园区等的协同，搭建校企联合研发、概念验证、中试熟化等平台，建强技术转移转化等专业人才队伍。打造高端成果交易会、大学生创新大赛等品牌。</w:t>
      </w:r>
    </w:p>
    <w:p w14:paraId="58E433F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十九）建设高等研究院开辟振兴区域发展新赛道。面向中西部、东北等地区布局建设高等研究院，促进高水平高校、优势学科与重点行业和头部企业强强联合，以需求定项目、以项目定团队，构建人才培养、科学研究和技术转移为一体的产教融合科教融汇新样本。</w:t>
      </w:r>
    </w:p>
    <w:p w14:paraId="51B45E7B">
      <w:pPr>
        <w:pStyle w:val="5"/>
        <w:keepNext w:val="0"/>
        <w:keepLines w:val="0"/>
        <w:pageBreakBefore w:val="0"/>
        <w:widowControl w:val="0"/>
        <w:suppressLineNumbers w:val="0"/>
        <w:suppressAutoHyphens w:val="0"/>
        <w:kinsoku/>
        <w:wordWrap/>
        <w:overflowPunct/>
        <w:topLinePunct w:val="0"/>
        <w:autoSpaceDE w:val="0"/>
        <w:autoSpaceDN/>
        <w:bidi w:val="0"/>
        <w:adjustRightInd/>
        <w:snapToGrid/>
        <w:spacing w:before="132" w:beforeAutospacing="0" w:after="372" w:afterAutospacing="0" w:line="240" w:lineRule="auto"/>
        <w:ind w:left="0" w:right="0" w:firstLine="643" w:firstLineChars="200"/>
        <w:jc w:val="both"/>
        <w:textAlignment w:val="auto"/>
        <w:rPr>
          <w:rFonts w:hint="eastAsia" w:ascii="黑体" w:hAnsi="黑体" w:eastAsia="黑体" w:cs="黑体"/>
          <w:b/>
          <w:bCs/>
          <w:strike w:val="0"/>
          <w:color w:val="auto"/>
          <w:spacing w:val="0"/>
          <w:kern w:val="21"/>
          <w:sz w:val="32"/>
          <w:szCs w:val="32"/>
          <w:highlight w:val="none"/>
          <w:lang w:val="en-US" w:eastAsia="zh-CN" w:bidi="ar"/>
        </w:rPr>
      </w:pPr>
      <w:r>
        <w:rPr>
          <w:rFonts w:hint="eastAsia" w:ascii="黑体" w:hAnsi="黑体" w:eastAsia="黑体" w:cs="黑体"/>
          <w:b/>
          <w:bCs/>
          <w:strike w:val="0"/>
          <w:color w:val="auto"/>
          <w:spacing w:val="0"/>
          <w:kern w:val="21"/>
          <w:sz w:val="32"/>
          <w:szCs w:val="32"/>
          <w:highlight w:val="none"/>
          <w:lang w:val="en-US" w:eastAsia="zh-CN" w:bidi="ar"/>
        </w:rPr>
        <w:t>六、加快建设现代职业教育体系，培养大国工匠、能工巧匠、高技能人才</w:t>
      </w:r>
    </w:p>
    <w:p w14:paraId="265C644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二十）塑造多元办学、产教融合新形态。深入推进省域现代职业教育体系新模式试点，落实地方政府统筹发展职业教育主体责任。建强市域产教联合体、行业产教融合共同体，优化与区域发展相协调、与产业布局相衔接的职业教育布局。推动有条件地区将高等职业教育资源下沉到市县。鼓励企业举办或参与举办职业教育，推动校企在办学、育人、就业等方面深度合作。健全德技并修、工学结合育人机制，在产业一线培养更多大国工匠。</w:t>
      </w:r>
    </w:p>
    <w:p w14:paraId="035BC6E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二十一）以职普融通拓宽学生成长成才通道。支持普通中小学开展职业启蒙教育、劳动教育。推动中等职业教育与普通高中教育融合发展。加强优质中等职业学校与高等职业学校衔接培养。加强教考衔接，优化职教高考内容和形式。鼓励应用型本科学校举办职业技术学院或开设职业技术专业。稳步扩大职业本科学校数量和招生规模。</w:t>
      </w:r>
    </w:p>
    <w:p w14:paraId="537B649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二十二）提升职业学校关键办学能力。优化实施高水平高等职业学校和专业建设计划，建设一批办学特色鲜明的高水平职业本科学校。加快推动职业学校办学条件全面达标。实施职业教育教学关键要素改革，系统推进专业、课程、教材、教师、实习实训改革，建设集实践教学、真实生产、技术服务功能于一体的实习实训基地。</w:t>
      </w:r>
    </w:p>
    <w:p w14:paraId="237D7FE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二十三）优化技能人才成长政策环境。加大产业、财政、金融、就业等政策支持，新增教育经费加大对职业教育支持。积极推动职业学校毕业生在落户、就业、参加招录（聘）、职称评聘、晋升等方面与普通学校毕业生享受同等待遇。落实“新八级工”制度，以技能水平和创造贡献为依据，提高生产服务一线技能人才工资水平。弘扬劳模精神、劳动精神、工匠精神，形成人人皆可成才、人人尽展其才的良好环境。</w:t>
      </w:r>
    </w:p>
    <w:p w14:paraId="741378E0">
      <w:pPr>
        <w:pStyle w:val="5"/>
        <w:keepNext w:val="0"/>
        <w:keepLines w:val="0"/>
        <w:pageBreakBefore w:val="0"/>
        <w:widowControl w:val="0"/>
        <w:suppressLineNumbers w:val="0"/>
        <w:suppressAutoHyphens w:val="0"/>
        <w:kinsoku/>
        <w:wordWrap/>
        <w:overflowPunct/>
        <w:topLinePunct w:val="0"/>
        <w:autoSpaceDE w:val="0"/>
        <w:autoSpaceDN/>
        <w:bidi w:val="0"/>
        <w:adjustRightInd/>
        <w:snapToGrid/>
        <w:spacing w:before="132" w:beforeAutospacing="0" w:after="372" w:afterAutospacing="0" w:line="240" w:lineRule="auto"/>
        <w:ind w:left="0" w:right="0" w:firstLine="643" w:firstLineChars="200"/>
        <w:jc w:val="both"/>
        <w:textAlignment w:val="auto"/>
        <w:rPr>
          <w:rFonts w:hint="eastAsia" w:ascii="黑体" w:hAnsi="黑体" w:eastAsia="黑体" w:cs="黑体"/>
          <w:b/>
          <w:bCs/>
          <w:strike w:val="0"/>
          <w:color w:val="auto"/>
          <w:spacing w:val="0"/>
          <w:kern w:val="21"/>
          <w:sz w:val="32"/>
          <w:szCs w:val="32"/>
          <w:highlight w:val="none"/>
          <w:lang w:val="en-US" w:eastAsia="zh-CN" w:bidi="ar"/>
        </w:rPr>
      </w:pPr>
      <w:r>
        <w:rPr>
          <w:rFonts w:hint="eastAsia" w:ascii="黑体" w:hAnsi="黑体" w:eastAsia="黑体" w:cs="黑体"/>
          <w:b/>
          <w:bCs/>
          <w:strike w:val="0"/>
          <w:color w:val="auto"/>
          <w:spacing w:val="0"/>
          <w:kern w:val="21"/>
          <w:sz w:val="32"/>
          <w:szCs w:val="32"/>
          <w:highlight w:val="none"/>
          <w:lang w:val="en-US" w:eastAsia="zh-CN" w:bidi="ar"/>
        </w:rPr>
        <w:t>七、建设学习型社会，以教育数字化开辟发展新赛道、塑造发展新优势</w:t>
      </w:r>
    </w:p>
    <w:p w14:paraId="5F50FFB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二十四）提升终身学习公共服务水平。构建以资历框架为基础、以学分银行为平台、以学习成果认证为重点的终身学习制度。加强教育资源共享和公共服务平台建设，建设学习型城市、学习型社区，完善国家开放大学体系，建好国家老年大学。加强学习型社会数字基础设施建设，建好国家数字大学。完善和加强继续教育、自学考试、非学历教育等制度保障，建设人人皆学、处处能学、时时可学的学习型社会。</w:t>
      </w:r>
    </w:p>
    <w:p w14:paraId="1252CC5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二十五）实施国家教育数字化战略。坚持应用导向、治理为基，推动集成化、智能化、国际化，建强用好国家智慧教育公共服务平台，建立横纵贯通、协同服务的数字教育体系。开发新型数字教育资源。建好国家教育大数据中心，搭建教育专网和算力共享网络。推进智慧校园建设，探索数字赋能大规模因材施教、创新性教学的有效途径，主动适应学习方式变革。打造世界数字教育大会、世界数字教育联盟、全球数字教育发展指数、数字教育权威期刊等公共产品，推动优质慕课（大型开放式网络课程）走出去。</w:t>
      </w:r>
    </w:p>
    <w:p w14:paraId="16DF546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二十六）促进人工智能助力教育变革。面向数字经济和未来产业发展，加强课程体系改革，优化学科专业设置。制定完善师生数字素养标准，深化人工智能助推教师队伍建设。打造人工智能教育大模型。建设云端学校等。建立基于大数据和人工智能支持的教育评价和科学决策制度。加强网络安全保障，强化数据安全、人工智能算法和伦理安全。</w:t>
      </w:r>
    </w:p>
    <w:p w14:paraId="4A38CDC5">
      <w:pPr>
        <w:pStyle w:val="5"/>
        <w:keepNext w:val="0"/>
        <w:keepLines w:val="0"/>
        <w:pageBreakBefore w:val="0"/>
        <w:widowControl w:val="0"/>
        <w:suppressLineNumbers w:val="0"/>
        <w:suppressAutoHyphens w:val="0"/>
        <w:kinsoku/>
        <w:wordWrap/>
        <w:overflowPunct/>
        <w:topLinePunct w:val="0"/>
        <w:autoSpaceDE w:val="0"/>
        <w:autoSpaceDN/>
        <w:bidi w:val="0"/>
        <w:adjustRightInd/>
        <w:snapToGrid/>
        <w:spacing w:before="132" w:beforeAutospacing="0" w:after="372" w:afterAutospacing="0" w:line="240" w:lineRule="auto"/>
        <w:ind w:left="0" w:right="0" w:firstLine="643" w:firstLineChars="200"/>
        <w:jc w:val="both"/>
        <w:textAlignment w:val="auto"/>
        <w:rPr>
          <w:rFonts w:hint="eastAsia" w:ascii="黑体" w:hAnsi="黑体" w:eastAsia="黑体" w:cs="黑体"/>
          <w:b/>
          <w:bCs/>
          <w:strike w:val="0"/>
          <w:color w:val="auto"/>
          <w:spacing w:val="0"/>
          <w:kern w:val="21"/>
          <w:sz w:val="32"/>
          <w:szCs w:val="32"/>
          <w:highlight w:val="none"/>
          <w:lang w:val="en-US" w:eastAsia="zh-CN" w:bidi="ar"/>
        </w:rPr>
      </w:pPr>
      <w:r>
        <w:rPr>
          <w:rFonts w:hint="eastAsia" w:ascii="黑体" w:hAnsi="黑体" w:eastAsia="黑体" w:cs="黑体"/>
          <w:b/>
          <w:bCs/>
          <w:strike w:val="0"/>
          <w:color w:val="auto"/>
          <w:spacing w:val="0"/>
          <w:kern w:val="21"/>
          <w:sz w:val="32"/>
          <w:szCs w:val="32"/>
          <w:highlight w:val="none"/>
          <w:lang w:val="en-US" w:eastAsia="zh-CN" w:bidi="ar"/>
        </w:rPr>
        <w:t>八、建设高素质专业化教师队伍，筑牢教育强国根基</w:t>
      </w:r>
    </w:p>
    <w:p w14:paraId="192D3E5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二十七）实施教育家精神铸魂强师行动。推动教育家精神融入教师培养培训全过程，贯穿课堂教学、科学研究、社会实践各环节，构建日常浸润、项目赋能、平台支撑的教师发展良好生态。加强教师队伍思想政治工作，加强教师党组织建设，发挥党员教师先锋模范作用。坚持师德师风第一标准，健全师德师风建设长效机制，严格落实师德失范“零容忍”。</w:t>
      </w:r>
    </w:p>
    <w:p w14:paraId="4199727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二十八）提升教师专业素质能力。健全教师教育体系，扩大实施国家优秀中小学教师培养计划，推动高水平大学开展教师教育，提高师范教育办学质量。加强义务教育班主任队伍建设。完善高水平职业教育教师培养培训和企业实践制度，提升“双师型”教师队伍建设水平。面向全球聘任高水平师资，加强教师培训国际交流合作，健全高校教师发展支持服务体系。强化教师全员培训，完善国家、省、市、县、校分级研训体系。</w:t>
      </w:r>
    </w:p>
    <w:p w14:paraId="119059A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二十九）优化教师管理和资源配置。完善国家教师资格制度和教师招聘制度。优化各级各类学校师生配比，统筹做好寄宿制学校、公办幼儿园教职工编制配备。优化中小学教师“县管校聘”管理机制。深化教师考核评价制度改革。优化教师岗位结构比例。鼓励职业学校教师与企业高技能人才按规定互聘兼职。制定高校工科教师聘用指导性标准。深入实施国家银龄教师行动计划。推动博士后成为高校教师的重要来源。</w:t>
      </w:r>
    </w:p>
    <w:p w14:paraId="5C16DA6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三十）提高教师政治地位、社会地位、职业地位。保障教师课后服务工作合理待遇，优化教师工资结构，落实完善乡村教师生活补助政策。强化高中、幼儿园教师工资待遇保障，完善职业学校教师绩效工资保障制度，推进高校薪酬制度改革。维护教师职业尊严和合法权益，减轻教师非教育教学任务负担，落实社会公共服务教师优先政策，做好教师荣休工作。加大优秀教师选树表彰和宣传力度，让教师享有崇高社会声望、成为最受社会尊重的职业之一。</w:t>
      </w:r>
    </w:p>
    <w:p w14:paraId="1B473D1E">
      <w:pPr>
        <w:pStyle w:val="5"/>
        <w:keepNext w:val="0"/>
        <w:keepLines w:val="0"/>
        <w:pageBreakBefore w:val="0"/>
        <w:widowControl w:val="0"/>
        <w:suppressLineNumbers w:val="0"/>
        <w:suppressAutoHyphens w:val="0"/>
        <w:kinsoku/>
        <w:wordWrap/>
        <w:overflowPunct/>
        <w:topLinePunct w:val="0"/>
        <w:autoSpaceDE w:val="0"/>
        <w:autoSpaceDN/>
        <w:bidi w:val="0"/>
        <w:adjustRightInd/>
        <w:snapToGrid/>
        <w:spacing w:before="132" w:beforeAutospacing="0" w:after="372" w:afterAutospacing="0" w:line="240" w:lineRule="auto"/>
        <w:ind w:left="0" w:right="0" w:firstLine="643" w:firstLineChars="200"/>
        <w:jc w:val="both"/>
        <w:textAlignment w:val="auto"/>
        <w:rPr>
          <w:rFonts w:hint="eastAsia" w:ascii="黑体" w:hAnsi="黑体" w:eastAsia="黑体" w:cs="黑体"/>
          <w:b/>
          <w:bCs/>
          <w:strike w:val="0"/>
          <w:color w:val="auto"/>
          <w:spacing w:val="0"/>
          <w:kern w:val="21"/>
          <w:sz w:val="32"/>
          <w:szCs w:val="32"/>
          <w:highlight w:val="none"/>
          <w:lang w:val="en-US" w:eastAsia="zh-CN" w:bidi="ar"/>
        </w:rPr>
      </w:pPr>
      <w:r>
        <w:rPr>
          <w:rFonts w:hint="eastAsia" w:ascii="黑体" w:hAnsi="黑体" w:eastAsia="黑体" w:cs="黑体"/>
          <w:b/>
          <w:bCs/>
          <w:strike w:val="0"/>
          <w:color w:val="auto"/>
          <w:spacing w:val="0"/>
          <w:kern w:val="21"/>
          <w:sz w:val="32"/>
          <w:szCs w:val="32"/>
          <w:highlight w:val="none"/>
          <w:lang w:val="en-US" w:eastAsia="zh-CN" w:bidi="ar"/>
        </w:rPr>
        <w:t>九、深化教育综合改革，激发教育发展活力</w:t>
      </w:r>
    </w:p>
    <w:p w14:paraId="7529C2A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三十一）深化教育评价改革。各级党委和政府要树立正确政绩观，树立科学的教育评价导向，防止和纠正“分数至上”等偏差。有序推进中考改革。加快扩大优质高中招生指标到校，开展均衡派位招生试点。深化高考综合改革，构建引导学生德智体美劳全面发展的考试或考核内容体系，重点强化学生关键能力、学科素养和思维品质考查。深化研究生学术学位和专业学位的分类选拔，加强科研创新能力和实践能力考查。推进信息技术赋能考试评价改革。深化高校人才评价改革，破除人才“帽子”制约，突出创新能力、质量、实效、贡献导向，科学认定标志性成果。完善义务教育优质均衡推进机制。引导规范民办教育发展。</w:t>
      </w:r>
    </w:p>
    <w:p w14:paraId="10BAAC5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三十二）完善人才培养与经济社会发展需要适配机制。坚持总体适配、动态平衡、良性互动，完善人才需求预测预警机制，探索建立国家人才供需对接大数据平台，加强分行业分领域人才需求分析和有效对接，定期编制发布人才需求报告和人才需求目录。开展就业状况跟踪调查，强化就业状况与招生计划、人才培养联动，加强就业质量监测和评价反馈。超前布局、动态调整学科专业，优化办学资源配置，完善学生实习实践制度。加快构建高校毕业生高质量就业服务体系，促进高校毕业生高质量充分就业。</w:t>
      </w:r>
    </w:p>
    <w:p w14:paraId="3EFE911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三十三）提升依法治教和管理水平。健全教育法律法规规章，研究编纂教育法典。完善学校管理体系，健全学校章程实施保障机制，落实学校办学自主权。坚决惩治学术不端行为及学术腐败，完善师生科研诚信和作风学风教育培训机制。完善督政、督学、评估监测教育督导体系，健全国家、省、市、县教育督导机构。构建校园智能化安防体系，完善学生欺凌和暴力行为早发现、早预防、早控制机制，加强防溺水、交通安全等教育，完善校园安全纠纷多元化解机制和安全风险社会化分担机制。</w:t>
      </w:r>
    </w:p>
    <w:p w14:paraId="7C58235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三十四）健全教育战略性投入机制。各级政府要加大财政投入力度，建立预算拨款和绩效激励约束机制，确保财政一般公共预算教育支出逐年只增不减，确保按在校学生人数平均的一般公共预算教育支出逐年只增不减，保证国家财政性教育经费支出占国内生产总值比例高于4%。完善各级各类教育预算拨款制度，合理确定并适时提高相关拨款标准和投入水平，建立学生资助标准动态调整机制。逐步提高预算内投资用于教育的比重。优化完善教育领域相关转移支付。搭建高校、企业、社会深度融合的协同育人经费筹措合作机制。发挥各级教育基金会作用，引导规范社会力量投入和捐赠教育。完善非义务教育培养成本合理分担机制。完善覆盖全学段学生资助体系。完善教育经费统计体系。优化教育支出结构，强化经费监管和绩效评价。</w:t>
      </w:r>
    </w:p>
    <w:p w14:paraId="122D453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三十五）构建教育科技人才一体统筹推进机制。加强主管部门定期会商，共同做好政策协调、项目统筹、资源配置。完善科教协同育人机制，加强创新资源统筹和力量组织。强化教育对科技和人才的支撑作用，教育布局和改革试点紧密对接北京、上海、粤港澳大湾区等国际科技创新中心建设，对接区域科技创新中心建设、国家高水平人才高地和吸引集聚人才平台建设，提升国家创新体系整体效能。</w:t>
      </w:r>
    </w:p>
    <w:p w14:paraId="723B579F">
      <w:pPr>
        <w:pStyle w:val="5"/>
        <w:keepNext w:val="0"/>
        <w:keepLines w:val="0"/>
        <w:pageBreakBefore w:val="0"/>
        <w:widowControl w:val="0"/>
        <w:suppressLineNumbers w:val="0"/>
        <w:suppressAutoHyphens w:val="0"/>
        <w:kinsoku/>
        <w:wordWrap/>
        <w:overflowPunct/>
        <w:topLinePunct w:val="0"/>
        <w:autoSpaceDE w:val="0"/>
        <w:autoSpaceDN/>
        <w:bidi w:val="0"/>
        <w:adjustRightInd/>
        <w:snapToGrid/>
        <w:spacing w:before="132" w:beforeAutospacing="0" w:after="372" w:afterAutospacing="0" w:line="240" w:lineRule="auto"/>
        <w:ind w:left="0" w:right="0" w:firstLine="643" w:firstLineChars="200"/>
        <w:jc w:val="both"/>
        <w:textAlignment w:val="auto"/>
        <w:rPr>
          <w:rFonts w:hint="eastAsia" w:ascii="黑体" w:hAnsi="黑体" w:eastAsia="黑体" w:cs="黑体"/>
          <w:b/>
          <w:bCs/>
          <w:strike w:val="0"/>
          <w:color w:val="auto"/>
          <w:spacing w:val="0"/>
          <w:kern w:val="21"/>
          <w:sz w:val="32"/>
          <w:szCs w:val="32"/>
          <w:highlight w:val="none"/>
          <w:lang w:val="en-US" w:eastAsia="zh-CN" w:bidi="ar"/>
        </w:rPr>
      </w:pPr>
      <w:r>
        <w:rPr>
          <w:rFonts w:hint="eastAsia" w:ascii="黑体" w:hAnsi="黑体" w:eastAsia="黑体" w:cs="黑体"/>
          <w:b/>
          <w:bCs/>
          <w:strike w:val="0"/>
          <w:color w:val="auto"/>
          <w:spacing w:val="0"/>
          <w:kern w:val="21"/>
          <w:sz w:val="32"/>
          <w:szCs w:val="32"/>
          <w:highlight w:val="none"/>
          <w:lang w:val="en-US" w:eastAsia="zh-CN" w:bidi="ar"/>
        </w:rPr>
        <w:t>十、完善教育对外开放战略策略，建设具有全球影响力的重要教育中心</w:t>
      </w:r>
    </w:p>
    <w:p w14:paraId="3D99CAB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三十六）提升全球人才培养和集聚能力。加强对出国留学人员的教育引导和服务管理。改革国家公派出国留学体制机制，加强“留学中国”品牌和能力建设，完善来华留学入学考试考核。鼓励支持选拔优秀人才到国际知名高校、研究机构研修，扩大中外青少年交流，实施国际暑期学校等项目。提升高等教育海外办学能力，完善职业教育产教融合、校企协同国际合作机制，深耕鲁班工坊等品牌。支持更多国家开展中文教学。</w:t>
      </w:r>
    </w:p>
    <w:p w14:paraId="3A6B110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三十七）扩大国际学术交流和教育科研合作。支持高水平研究型大学发起和参与国际大科学计划、建设大科学装置、主持重大国际科研项目，推动建设高水平高校学科创新引智基地、国际合作联合实验室。高质量推进国际产学研合作。积极参与开放科学国际合作。</w:t>
      </w:r>
    </w:p>
    <w:p w14:paraId="05509C3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三十八）积极参与全球教育治理。深化同联合国教科文组织等国际组织和多边机制合作。建立教育创新合作网络，支持国际STEM（科学、技术、工程、数学）教育研究所建设发展。支持国内高校设立教育类国际组织、学术联盟，打造具有国际影响力的学术期刊、系列指数和报告。设立区域全面经济伙伴关系国际教育合作区。实施中国教育品牌培育计划。</w:t>
      </w:r>
    </w:p>
    <w:p w14:paraId="1455ABAF">
      <w:pPr>
        <w:pStyle w:val="5"/>
        <w:keepNext w:val="0"/>
        <w:keepLines w:val="0"/>
        <w:pageBreakBefore w:val="0"/>
        <w:widowControl w:val="0"/>
        <w:suppressLineNumbers w:val="0"/>
        <w:suppressAutoHyphens w:val="0"/>
        <w:kinsoku/>
        <w:wordWrap/>
        <w:overflowPunct/>
        <w:topLinePunct w:val="0"/>
        <w:autoSpaceDE w:val="0"/>
        <w:autoSpaceDN/>
        <w:bidi w:val="0"/>
        <w:adjustRightInd/>
        <w:snapToGrid/>
        <w:spacing w:before="132" w:beforeAutospacing="0" w:after="372" w:afterAutospacing="0" w:line="240" w:lineRule="auto"/>
        <w:ind w:left="0" w:right="0" w:firstLine="643" w:firstLineChars="200"/>
        <w:jc w:val="both"/>
        <w:textAlignment w:val="auto"/>
        <w:rPr>
          <w:rFonts w:hint="eastAsia" w:ascii="黑体" w:hAnsi="黑体" w:eastAsia="黑体" w:cs="黑体"/>
          <w:b/>
          <w:bCs/>
          <w:strike w:val="0"/>
          <w:color w:val="auto"/>
          <w:spacing w:val="0"/>
          <w:kern w:val="21"/>
          <w:sz w:val="32"/>
          <w:szCs w:val="32"/>
          <w:highlight w:val="none"/>
          <w:lang w:val="en-US" w:eastAsia="zh-CN" w:bidi="ar"/>
        </w:rPr>
      </w:pPr>
      <w:r>
        <w:rPr>
          <w:rFonts w:hint="eastAsia" w:ascii="黑体" w:hAnsi="黑体" w:eastAsia="黑体" w:cs="黑体"/>
          <w:b/>
          <w:bCs/>
          <w:strike w:val="0"/>
          <w:color w:val="auto"/>
          <w:spacing w:val="0"/>
          <w:kern w:val="21"/>
          <w:sz w:val="32"/>
          <w:szCs w:val="32"/>
          <w:highlight w:val="none"/>
          <w:lang w:val="en-US" w:eastAsia="zh-CN" w:bidi="ar"/>
        </w:rPr>
        <w:t>十一、加强组织实施</w:t>
      </w:r>
    </w:p>
    <w:p w14:paraId="46EEB27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建设教育强国，必须完善党委统一领导、党政齐抓共管、部门各负其责的教育领导体制。全面推进各级各类学校党的建设，牢牢掌握党对学校意识形态工作领导权，落实意识形态工作责任制，深入推进党风廉政建设和反腐败斗争，将党风政风、师德师风、校风学风建设作为评价学校领导班子办学治校水平的重要内容，维护教育系统政治安全与和谐稳定。充分发挥中央教育工作领导小组统筹协调、整体推进、督促落实作用，推动解决教育强国建设中的重大问题，加强教育强国建设的监测评价。各级党委和政府要切实扛起教育强国建设的政治责任，把推进教育强国建设纳入重要议事日程，结合实际抓好本规划纲要贯彻落实。要营造全社会共同关心支持教育强国建设的良好环境，加强宣传和舆论引导，健全学校家庭社会协同育人机制，形成建设教育强国强大合力。</w:t>
      </w:r>
    </w:p>
    <w:p w14:paraId="1D30E7B3">
      <w:pPr>
        <w:keepNext w:val="0"/>
        <w:keepLines w:val="0"/>
        <w:pageBreakBefore w:val="0"/>
        <w:widowControl w:val="0"/>
        <w:kinsoku/>
        <w:wordWrap/>
        <w:overflowPunct/>
        <w:topLinePunct w:val="0"/>
        <w:autoSpaceDE/>
        <w:autoSpaceDN/>
        <w:bidi w:val="0"/>
        <w:adjustRightInd/>
        <w:snapToGrid/>
        <w:spacing w:before="132" w:after="378" w:line="240" w:lineRule="auto"/>
        <w:ind w:firstLine="641" w:firstLineChars="200"/>
        <w:textAlignment w:val="auto"/>
        <w:rPr>
          <w:rFonts w:hint="eastAsia" w:ascii="华文仿宋" w:hAnsi="华文仿宋" w:eastAsia="华文仿宋" w:cs="华文仿宋"/>
          <w:b/>
          <w:bCs/>
          <w:i w:val="0"/>
          <w:iCs w:val="0"/>
          <w:caps w:val="0"/>
          <w:snapToGrid/>
          <w:color w:val="333333"/>
          <w:spacing w:val="0"/>
          <w:kern w:val="0"/>
          <w:sz w:val="32"/>
          <w:szCs w:val="32"/>
          <w:shd w:val="clear" w:fill="FFFFFF"/>
          <w:lang w:val="en-US" w:eastAsia="zh-CN" w:bidi="ar"/>
        </w:rPr>
      </w:pPr>
      <w:r>
        <w:rPr>
          <w:rFonts w:hint="eastAsia" w:ascii="华文仿宋" w:hAnsi="华文仿宋" w:eastAsia="华文仿宋" w:cs="华文仿宋"/>
          <w:b/>
          <w:bCs/>
          <w:i w:val="0"/>
          <w:iCs w:val="0"/>
          <w:caps w:val="0"/>
          <w:snapToGrid/>
          <w:color w:val="333333"/>
          <w:spacing w:val="0"/>
          <w:kern w:val="0"/>
          <w:sz w:val="32"/>
          <w:szCs w:val="32"/>
          <w:shd w:val="clear" w:fill="FFFFFF"/>
          <w:lang w:val="en-US" w:eastAsia="zh-CN" w:bidi="ar"/>
        </w:rPr>
        <w:t>建设规划纲要主要有以下几点需我司关注：</w:t>
      </w:r>
    </w:p>
    <w:p w14:paraId="7FF9FF7C">
      <w:pPr>
        <w:keepNext w:val="0"/>
        <w:keepLines w:val="0"/>
        <w:pageBreakBefore w:val="0"/>
        <w:widowControl w:val="0"/>
        <w:numPr>
          <w:ilvl w:val="0"/>
          <w:numId w:val="1"/>
        </w:numPr>
        <w:kinsoku/>
        <w:wordWrap/>
        <w:overflowPunct/>
        <w:topLinePunct w:val="0"/>
        <w:autoSpaceDE/>
        <w:autoSpaceDN/>
        <w:bidi w:val="0"/>
        <w:adjustRightInd/>
        <w:snapToGrid/>
        <w:spacing w:before="132" w:after="372"/>
        <w:ind w:left="0" w:leftChars="0" w:firstLine="640" w:firstLineChars="200"/>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校园足球持续发展。纲要指出将深入实施素质教育，健全德智体美劳全面培养体系，加快补齐体育、美育、劳动教育短板。落实健康第一教育理念，实施学生体质强健计划，中小学生每天综合体育活动时间不低于2小时，加强校园足球建设，有效控制近视率、肥胖率。当前我司足球教练储备充足，可根据政策要求积极开展合作，拓展足球业务。</w:t>
      </w:r>
    </w:p>
    <w:p w14:paraId="295CE8E4">
      <w:pPr>
        <w:keepNext w:val="0"/>
        <w:keepLines w:val="0"/>
        <w:pageBreakBefore w:val="0"/>
        <w:widowControl w:val="0"/>
        <w:numPr>
          <w:ilvl w:val="0"/>
          <w:numId w:val="1"/>
        </w:numPr>
        <w:kinsoku/>
        <w:wordWrap/>
        <w:overflowPunct/>
        <w:topLinePunct w:val="0"/>
        <w:autoSpaceDE/>
        <w:autoSpaceDN/>
        <w:bidi w:val="0"/>
        <w:adjustRightInd/>
        <w:snapToGrid/>
        <w:spacing w:before="132" w:after="372"/>
        <w:ind w:left="0" w:leftChars="0" w:firstLine="640" w:firstLineChars="200"/>
        <w:textAlignment w:val="auto"/>
        <w:rPr>
          <w:rFonts w:hint="default"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提升培训规范性。纲要指出将统筹推进“双减”和教育教学质量提升。巩固校外培训治理成果，严控学科类培训，规范非学科类培训。我司在教育强国背景下要提升规范性，应保持稳中求进的态度，积极响应校内外培训要求，加强自我监管能力。</w:t>
      </w:r>
    </w:p>
    <w:p w14:paraId="6F65A625">
      <w:pPr>
        <w:keepNext w:val="0"/>
        <w:keepLines w:val="0"/>
        <w:pageBreakBefore w:val="0"/>
        <w:widowControl w:val="0"/>
        <w:numPr>
          <w:ilvl w:val="0"/>
          <w:numId w:val="1"/>
        </w:numPr>
        <w:kinsoku/>
        <w:wordWrap/>
        <w:overflowPunct/>
        <w:topLinePunct w:val="0"/>
        <w:autoSpaceDE/>
        <w:autoSpaceDN/>
        <w:bidi w:val="0"/>
        <w:adjustRightInd/>
        <w:snapToGrid/>
        <w:spacing w:before="132" w:after="372"/>
        <w:ind w:left="0" w:leftChars="0" w:firstLine="640" w:firstLineChars="200"/>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校企合作新机遇。纲要指出将鼓励企业举办或参与举办职业教育，推动校企在办学、育人、就业等方面深度合作。我公司应积极与学校沟通，根据学校需求定制课程，实现优势互补。</w:t>
      </w:r>
    </w:p>
    <w:p w14:paraId="6B9F1687">
      <w:pPr>
        <w:keepNext w:val="0"/>
        <w:keepLines w:val="0"/>
        <w:pageBreakBefore w:val="0"/>
        <w:widowControl w:val="0"/>
        <w:numPr>
          <w:ilvl w:val="0"/>
          <w:numId w:val="1"/>
        </w:numPr>
        <w:kinsoku/>
        <w:wordWrap/>
        <w:overflowPunct/>
        <w:topLinePunct w:val="0"/>
        <w:autoSpaceDE/>
        <w:autoSpaceDN/>
        <w:bidi w:val="0"/>
        <w:adjustRightInd/>
        <w:snapToGrid/>
        <w:spacing w:before="132" w:after="372"/>
        <w:ind w:left="0" w:leftChars="0" w:firstLine="640" w:firstLineChars="200"/>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创新体育教育模式。推进智慧校园建设，探索数字赋能大规模因材施教、创新性教学的有效途径，主动适应学习方式变革。我司要勇于探索新方法，突破传统局限，探索数字新型建设，满足不同学员需求，提高教学趣味性和效果。</w:t>
      </w:r>
    </w:p>
    <w:p w14:paraId="16A6442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N/>
        <w:bidi w:val="0"/>
        <w:adjustRightInd/>
        <w:snapToGrid/>
        <w:spacing w:before="132" w:beforeAutospacing="0" w:after="372" w:afterAutospacing="0" w:line="240" w:lineRule="auto"/>
        <w:ind w:left="0" w:right="0"/>
        <w:jc w:val="center"/>
        <w:textAlignment w:val="auto"/>
        <w:rPr>
          <w:rFonts w:hint="default" w:ascii="方正小标宋简体" w:hAnsi="方正小标宋简体" w:eastAsia="方正小标宋简体" w:cs="方正小标宋简体"/>
          <w:b w:val="0"/>
          <w:bCs w:val="0"/>
          <w:snapToGrid/>
          <w:color w:val="000000"/>
          <w:kern w:val="2"/>
          <w:sz w:val="44"/>
          <w:szCs w:val="44"/>
          <w:lang w:val="en-US" w:eastAsia="zh-CN" w:bidi="ar-SA"/>
        </w:rPr>
      </w:pPr>
    </w:p>
    <w:p w14:paraId="519C6261">
      <w:pPr>
        <w:pStyle w:val="2"/>
        <w:bidi w:val="0"/>
        <w:rPr>
          <w:rFonts w:hint="eastAsia"/>
          <w:lang w:val="en-US" w:eastAsia="zh-CN"/>
        </w:rPr>
      </w:pPr>
      <w:r>
        <w:rPr>
          <w:rFonts w:hint="default"/>
          <w:lang w:val="en-US" w:eastAsia="zh-CN"/>
        </w:rPr>
        <w:t>2023年全国体育产业总规模与增加值数据公告</w:t>
      </w:r>
    </w:p>
    <w:p w14:paraId="4FB4025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default" w:ascii="Calibri" w:hAnsi="Calibri" w:cs="Calibri"/>
          <w:i w:val="0"/>
          <w:iCs w:val="0"/>
          <w:caps w:val="0"/>
          <w:color w:val="000000"/>
          <w:spacing w:val="0"/>
          <w:sz w:val="24"/>
          <w:szCs w:val="24"/>
        </w:rPr>
      </w:pPr>
      <w:r>
        <w:rPr>
          <w:rFonts w:hint="eastAsia" w:ascii="楷体" w:hAnsi="楷体" w:eastAsia="楷体" w:cs="楷体"/>
          <w:i w:val="0"/>
          <w:iCs w:val="0"/>
          <w:caps w:val="0"/>
          <w:color w:val="000000"/>
          <w:spacing w:val="0"/>
          <w:sz w:val="24"/>
          <w:szCs w:val="24"/>
          <w:shd w:val="clear" w:fill="FFFFFF"/>
        </w:rPr>
        <w:t> </w:t>
      </w:r>
    </w:p>
    <w:p w14:paraId="4FE1727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default"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根据第五次全国经济普查结果，经核算，</w:t>
      </w:r>
      <w:r>
        <w:rPr>
          <w:rFonts w:hint="default" w:ascii="华文仿宋" w:hAnsi="华文仿宋" w:eastAsia="华文仿宋" w:cs="华文仿宋"/>
          <w:strike w:val="0"/>
          <w:color w:val="auto"/>
          <w:spacing w:val="0"/>
          <w:kern w:val="21"/>
          <w:sz w:val="32"/>
          <w:szCs w:val="32"/>
          <w:highlight w:val="none"/>
          <w:lang w:val="en-US" w:eastAsia="zh-CN" w:bidi="ar"/>
        </w:rPr>
        <w:t>2023</w:t>
      </w:r>
      <w:r>
        <w:rPr>
          <w:rFonts w:hint="eastAsia" w:ascii="华文仿宋" w:hAnsi="华文仿宋" w:eastAsia="华文仿宋" w:cs="华文仿宋"/>
          <w:strike w:val="0"/>
          <w:color w:val="auto"/>
          <w:spacing w:val="0"/>
          <w:kern w:val="21"/>
          <w:sz w:val="32"/>
          <w:szCs w:val="32"/>
          <w:highlight w:val="none"/>
          <w:lang w:val="en-US" w:eastAsia="zh-CN" w:bidi="ar"/>
        </w:rPr>
        <w:t>年全国体育产业总规模（总产出）为</w:t>
      </w:r>
      <w:r>
        <w:rPr>
          <w:rFonts w:hint="default" w:ascii="华文仿宋" w:hAnsi="华文仿宋" w:eastAsia="华文仿宋" w:cs="华文仿宋"/>
          <w:strike w:val="0"/>
          <w:color w:val="auto"/>
          <w:spacing w:val="0"/>
          <w:kern w:val="21"/>
          <w:sz w:val="32"/>
          <w:szCs w:val="32"/>
          <w:highlight w:val="none"/>
          <w:lang w:val="en-US" w:eastAsia="zh-CN" w:bidi="ar"/>
        </w:rPr>
        <w:t>36741</w:t>
      </w:r>
      <w:r>
        <w:rPr>
          <w:rFonts w:hint="eastAsia" w:ascii="华文仿宋" w:hAnsi="华文仿宋" w:eastAsia="华文仿宋" w:cs="华文仿宋"/>
          <w:strike w:val="0"/>
          <w:color w:val="auto"/>
          <w:spacing w:val="0"/>
          <w:kern w:val="21"/>
          <w:sz w:val="32"/>
          <w:szCs w:val="32"/>
          <w:highlight w:val="none"/>
          <w:lang w:val="en-US" w:eastAsia="zh-CN" w:bidi="ar"/>
        </w:rPr>
        <w:t>亿元，增加值为</w:t>
      </w:r>
      <w:r>
        <w:rPr>
          <w:rFonts w:hint="default" w:ascii="华文仿宋" w:hAnsi="华文仿宋" w:eastAsia="华文仿宋" w:cs="华文仿宋"/>
          <w:strike w:val="0"/>
          <w:color w:val="auto"/>
          <w:spacing w:val="0"/>
          <w:kern w:val="21"/>
          <w:sz w:val="32"/>
          <w:szCs w:val="32"/>
          <w:highlight w:val="none"/>
          <w:lang w:val="en-US" w:eastAsia="zh-CN" w:bidi="ar"/>
        </w:rPr>
        <w:t>14915</w:t>
      </w:r>
      <w:r>
        <w:rPr>
          <w:rFonts w:hint="eastAsia" w:ascii="华文仿宋" w:hAnsi="华文仿宋" w:eastAsia="华文仿宋" w:cs="华文仿宋"/>
          <w:strike w:val="0"/>
          <w:color w:val="auto"/>
          <w:spacing w:val="0"/>
          <w:kern w:val="21"/>
          <w:sz w:val="32"/>
          <w:szCs w:val="32"/>
          <w:highlight w:val="none"/>
          <w:lang w:val="en-US" w:eastAsia="zh-CN" w:bidi="ar"/>
        </w:rPr>
        <w:t>亿元，占国内生产总值（</w:t>
      </w:r>
      <w:r>
        <w:rPr>
          <w:rFonts w:hint="default" w:ascii="华文仿宋" w:hAnsi="华文仿宋" w:eastAsia="华文仿宋" w:cs="华文仿宋"/>
          <w:strike w:val="0"/>
          <w:color w:val="auto"/>
          <w:spacing w:val="0"/>
          <w:kern w:val="21"/>
          <w:sz w:val="32"/>
          <w:szCs w:val="32"/>
          <w:highlight w:val="none"/>
          <w:lang w:val="en-US" w:eastAsia="zh-CN" w:bidi="ar"/>
        </w:rPr>
        <w:t>GDP</w:t>
      </w:r>
      <w:r>
        <w:rPr>
          <w:rFonts w:hint="eastAsia" w:ascii="华文仿宋" w:hAnsi="华文仿宋" w:eastAsia="华文仿宋" w:cs="华文仿宋"/>
          <w:strike w:val="0"/>
          <w:color w:val="auto"/>
          <w:spacing w:val="0"/>
          <w:kern w:val="21"/>
          <w:sz w:val="32"/>
          <w:szCs w:val="32"/>
          <w:highlight w:val="none"/>
          <w:lang w:val="en-US" w:eastAsia="zh-CN" w:bidi="ar"/>
        </w:rPr>
        <w:t>）的比重为</w:t>
      </w:r>
      <w:r>
        <w:rPr>
          <w:rFonts w:hint="default" w:ascii="华文仿宋" w:hAnsi="华文仿宋" w:eastAsia="华文仿宋" w:cs="华文仿宋"/>
          <w:strike w:val="0"/>
          <w:color w:val="auto"/>
          <w:spacing w:val="0"/>
          <w:kern w:val="21"/>
          <w:sz w:val="32"/>
          <w:szCs w:val="32"/>
          <w:highlight w:val="none"/>
          <w:lang w:val="en-US" w:eastAsia="zh-CN" w:bidi="ar"/>
        </w:rPr>
        <w:t>1.15%</w:t>
      </w:r>
      <w:r>
        <w:rPr>
          <w:rFonts w:hint="eastAsia" w:ascii="华文仿宋" w:hAnsi="华文仿宋" w:eastAsia="华文仿宋" w:cs="华文仿宋"/>
          <w:strike w:val="0"/>
          <w:color w:val="auto"/>
          <w:spacing w:val="0"/>
          <w:kern w:val="21"/>
          <w:sz w:val="32"/>
          <w:szCs w:val="32"/>
          <w:highlight w:val="none"/>
          <w:lang w:val="en-US" w:eastAsia="zh-CN" w:bidi="ar"/>
        </w:rPr>
        <w:t>，比上年提高</w:t>
      </w:r>
      <w:r>
        <w:rPr>
          <w:rFonts w:hint="default" w:ascii="华文仿宋" w:hAnsi="华文仿宋" w:eastAsia="华文仿宋" w:cs="华文仿宋"/>
          <w:strike w:val="0"/>
          <w:color w:val="auto"/>
          <w:spacing w:val="0"/>
          <w:kern w:val="21"/>
          <w:sz w:val="32"/>
          <w:szCs w:val="32"/>
          <w:highlight w:val="none"/>
          <w:lang w:val="en-US" w:eastAsia="zh-CN" w:bidi="ar"/>
        </w:rPr>
        <w:t>0.07</w:t>
      </w:r>
      <w:r>
        <w:rPr>
          <w:rFonts w:hint="eastAsia" w:ascii="华文仿宋" w:hAnsi="华文仿宋" w:eastAsia="华文仿宋" w:cs="华文仿宋"/>
          <w:strike w:val="0"/>
          <w:color w:val="auto"/>
          <w:spacing w:val="0"/>
          <w:kern w:val="21"/>
          <w:sz w:val="32"/>
          <w:szCs w:val="32"/>
          <w:highlight w:val="none"/>
          <w:lang w:val="en-US" w:eastAsia="zh-CN" w:bidi="ar"/>
        </w:rPr>
        <w:t>个百分点</w:t>
      </w:r>
      <w:r>
        <w:rPr>
          <w:rFonts w:hint="default" w:ascii="华文仿宋" w:hAnsi="华文仿宋" w:eastAsia="华文仿宋" w:cs="华文仿宋"/>
          <w:strike w:val="0"/>
          <w:color w:val="auto"/>
          <w:spacing w:val="0"/>
          <w:kern w:val="21"/>
          <w:sz w:val="32"/>
          <w:szCs w:val="32"/>
          <w:highlight w:val="none"/>
          <w:lang w:val="en-US" w:eastAsia="zh-CN" w:bidi="ar"/>
        </w:rPr>
        <w:t>[1]</w:t>
      </w:r>
      <w:r>
        <w:rPr>
          <w:rFonts w:hint="eastAsia" w:ascii="华文仿宋" w:hAnsi="华文仿宋" w:eastAsia="华文仿宋" w:cs="华文仿宋"/>
          <w:strike w:val="0"/>
          <w:color w:val="auto"/>
          <w:spacing w:val="0"/>
          <w:kern w:val="21"/>
          <w:sz w:val="32"/>
          <w:szCs w:val="32"/>
          <w:highlight w:val="none"/>
          <w:lang w:val="en-US" w:eastAsia="zh-CN" w:bidi="ar"/>
        </w:rPr>
        <w:t>。</w:t>
      </w:r>
    </w:p>
    <w:p w14:paraId="026BDDE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default"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从内部构成看，</w:t>
      </w:r>
      <w:r>
        <w:rPr>
          <w:rFonts w:hint="default" w:ascii="华文仿宋" w:hAnsi="华文仿宋" w:eastAsia="华文仿宋" w:cs="华文仿宋"/>
          <w:strike w:val="0"/>
          <w:color w:val="auto"/>
          <w:spacing w:val="0"/>
          <w:kern w:val="21"/>
          <w:sz w:val="32"/>
          <w:szCs w:val="32"/>
          <w:highlight w:val="none"/>
          <w:lang w:val="en-US" w:eastAsia="zh-CN" w:bidi="ar"/>
        </w:rPr>
        <w:t>2023</w:t>
      </w:r>
      <w:r>
        <w:rPr>
          <w:rFonts w:hint="eastAsia" w:ascii="华文仿宋" w:hAnsi="华文仿宋" w:eastAsia="华文仿宋" w:cs="华文仿宋"/>
          <w:strike w:val="0"/>
          <w:color w:val="auto"/>
          <w:spacing w:val="0"/>
          <w:kern w:val="21"/>
          <w:sz w:val="32"/>
          <w:szCs w:val="32"/>
          <w:highlight w:val="none"/>
          <w:lang w:val="en-US" w:eastAsia="zh-CN" w:bidi="ar"/>
        </w:rPr>
        <w:t>年体育服务业增加值为</w:t>
      </w:r>
      <w:r>
        <w:rPr>
          <w:rFonts w:hint="default" w:ascii="华文仿宋" w:hAnsi="华文仿宋" w:eastAsia="华文仿宋" w:cs="华文仿宋"/>
          <w:strike w:val="0"/>
          <w:color w:val="auto"/>
          <w:spacing w:val="0"/>
          <w:kern w:val="21"/>
          <w:sz w:val="32"/>
          <w:szCs w:val="32"/>
          <w:highlight w:val="none"/>
          <w:lang w:val="en-US" w:eastAsia="zh-CN" w:bidi="ar"/>
        </w:rPr>
        <w:t>10849</w:t>
      </w:r>
      <w:r>
        <w:rPr>
          <w:rFonts w:hint="eastAsia" w:ascii="华文仿宋" w:hAnsi="华文仿宋" w:eastAsia="华文仿宋" w:cs="华文仿宋"/>
          <w:strike w:val="0"/>
          <w:color w:val="auto"/>
          <w:spacing w:val="0"/>
          <w:kern w:val="21"/>
          <w:sz w:val="32"/>
          <w:szCs w:val="32"/>
          <w:highlight w:val="none"/>
          <w:lang w:val="en-US" w:eastAsia="zh-CN" w:bidi="ar"/>
        </w:rPr>
        <w:t>亿元，占体育产业增加值的比重为</w:t>
      </w:r>
      <w:r>
        <w:rPr>
          <w:rFonts w:hint="default" w:ascii="华文仿宋" w:hAnsi="华文仿宋" w:eastAsia="华文仿宋" w:cs="华文仿宋"/>
          <w:strike w:val="0"/>
          <w:color w:val="auto"/>
          <w:spacing w:val="0"/>
          <w:kern w:val="21"/>
          <w:sz w:val="32"/>
          <w:szCs w:val="32"/>
          <w:highlight w:val="none"/>
          <w:lang w:val="en-US" w:eastAsia="zh-CN" w:bidi="ar"/>
        </w:rPr>
        <w:t>72.7%</w:t>
      </w:r>
      <w:r>
        <w:rPr>
          <w:rFonts w:hint="eastAsia" w:ascii="华文仿宋" w:hAnsi="华文仿宋" w:eastAsia="华文仿宋" w:cs="华文仿宋"/>
          <w:strike w:val="0"/>
          <w:color w:val="auto"/>
          <w:spacing w:val="0"/>
          <w:kern w:val="21"/>
          <w:sz w:val="32"/>
          <w:szCs w:val="32"/>
          <w:highlight w:val="none"/>
          <w:lang w:val="en-US" w:eastAsia="zh-CN" w:bidi="ar"/>
        </w:rPr>
        <w:t>，比上年提高</w:t>
      </w:r>
      <w:r>
        <w:rPr>
          <w:rFonts w:hint="default" w:ascii="华文仿宋" w:hAnsi="华文仿宋" w:eastAsia="华文仿宋" w:cs="华文仿宋"/>
          <w:strike w:val="0"/>
          <w:color w:val="auto"/>
          <w:spacing w:val="0"/>
          <w:kern w:val="21"/>
          <w:sz w:val="32"/>
          <w:szCs w:val="32"/>
          <w:highlight w:val="none"/>
          <w:lang w:val="en-US" w:eastAsia="zh-CN" w:bidi="ar"/>
        </w:rPr>
        <w:t>2.1</w:t>
      </w:r>
      <w:r>
        <w:rPr>
          <w:rFonts w:hint="eastAsia" w:ascii="华文仿宋" w:hAnsi="华文仿宋" w:eastAsia="华文仿宋" w:cs="华文仿宋"/>
          <w:strike w:val="0"/>
          <w:color w:val="auto"/>
          <w:spacing w:val="0"/>
          <w:kern w:val="21"/>
          <w:sz w:val="32"/>
          <w:szCs w:val="32"/>
          <w:highlight w:val="none"/>
          <w:lang w:val="en-US" w:eastAsia="zh-CN" w:bidi="ar"/>
        </w:rPr>
        <w:t>个百分点。体育用品及相关产品制造增加值为</w:t>
      </w:r>
      <w:r>
        <w:rPr>
          <w:rFonts w:hint="default" w:ascii="华文仿宋" w:hAnsi="华文仿宋" w:eastAsia="华文仿宋" w:cs="华文仿宋"/>
          <w:strike w:val="0"/>
          <w:color w:val="auto"/>
          <w:spacing w:val="0"/>
          <w:kern w:val="21"/>
          <w:sz w:val="32"/>
          <w:szCs w:val="32"/>
          <w:highlight w:val="none"/>
          <w:lang w:val="en-US" w:eastAsia="zh-CN" w:bidi="ar"/>
        </w:rPr>
        <w:t>3832</w:t>
      </w:r>
      <w:r>
        <w:rPr>
          <w:rFonts w:hint="eastAsia" w:ascii="华文仿宋" w:hAnsi="华文仿宋" w:eastAsia="华文仿宋" w:cs="华文仿宋"/>
          <w:strike w:val="0"/>
          <w:color w:val="auto"/>
          <w:spacing w:val="0"/>
          <w:kern w:val="21"/>
          <w:sz w:val="32"/>
          <w:szCs w:val="32"/>
          <w:highlight w:val="none"/>
          <w:lang w:val="en-US" w:eastAsia="zh-CN" w:bidi="ar"/>
        </w:rPr>
        <w:t>亿元，占体育产业增加值的比重为</w:t>
      </w:r>
      <w:r>
        <w:rPr>
          <w:rFonts w:hint="default" w:ascii="华文仿宋" w:hAnsi="华文仿宋" w:eastAsia="华文仿宋" w:cs="华文仿宋"/>
          <w:strike w:val="0"/>
          <w:color w:val="auto"/>
          <w:spacing w:val="0"/>
          <w:kern w:val="21"/>
          <w:sz w:val="32"/>
          <w:szCs w:val="32"/>
          <w:highlight w:val="none"/>
          <w:lang w:val="en-US" w:eastAsia="zh-CN" w:bidi="ar"/>
        </w:rPr>
        <w:t>25.7%</w:t>
      </w:r>
      <w:r>
        <w:rPr>
          <w:rFonts w:hint="eastAsia" w:ascii="华文仿宋" w:hAnsi="华文仿宋" w:eastAsia="华文仿宋" w:cs="华文仿宋"/>
          <w:strike w:val="0"/>
          <w:color w:val="auto"/>
          <w:spacing w:val="0"/>
          <w:kern w:val="21"/>
          <w:sz w:val="32"/>
          <w:szCs w:val="32"/>
          <w:highlight w:val="none"/>
          <w:lang w:val="en-US" w:eastAsia="zh-CN" w:bidi="ar"/>
        </w:rPr>
        <w:t>，比上年下降</w:t>
      </w:r>
      <w:r>
        <w:rPr>
          <w:rFonts w:hint="default" w:ascii="华文仿宋" w:hAnsi="华文仿宋" w:eastAsia="华文仿宋" w:cs="华文仿宋"/>
          <w:strike w:val="0"/>
          <w:color w:val="auto"/>
          <w:spacing w:val="0"/>
          <w:kern w:val="21"/>
          <w:sz w:val="32"/>
          <w:szCs w:val="32"/>
          <w:highlight w:val="none"/>
          <w:lang w:val="en-US" w:eastAsia="zh-CN" w:bidi="ar"/>
        </w:rPr>
        <w:t>2.1</w:t>
      </w:r>
      <w:r>
        <w:rPr>
          <w:rFonts w:hint="eastAsia" w:ascii="华文仿宋" w:hAnsi="华文仿宋" w:eastAsia="华文仿宋" w:cs="华文仿宋"/>
          <w:strike w:val="0"/>
          <w:color w:val="auto"/>
          <w:spacing w:val="0"/>
          <w:kern w:val="21"/>
          <w:sz w:val="32"/>
          <w:szCs w:val="32"/>
          <w:highlight w:val="none"/>
          <w:lang w:val="en-US" w:eastAsia="zh-CN" w:bidi="ar"/>
        </w:rPr>
        <w:t>个百分点。体育场地设施建设增加值为</w:t>
      </w:r>
      <w:r>
        <w:rPr>
          <w:rFonts w:hint="default" w:ascii="华文仿宋" w:hAnsi="华文仿宋" w:eastAsia="华文仿宋" w:cs="华文仿宋"/>
          <w:strike w:val="0"/>
          <w:color w:val="auto"/>
          <w:spacing w:val="0"/>
          <w:kern w:val="21"/>
          <w:sz w:val="32"/>
          <w:szCs w:val="32"/>
          <w:highlight w:val="none"/>
          <w:lang w:val="en-US" w:eastAsia="zh-CN" w:bidi="ar"/>
        </w:rPr>
        <w:t>234</w:t>
      </w:r>
      <w:r>
        <w:rPr>
          <w:rFonts w:hint="eastAsia" w:ascii="华文仿宋" w:hAnsi="华文仿宋" w:eastAsia="华文仿宋" w:cs="华文仿宋"/>
          <w:strike w:val="0"/>
          <w:color w:val="auto"/>
          <w:spacing w:val="0"/>
          <w:kern w:val="21"/>
          <w:sz w:val="32"/>
          <w:szCs w:val="32"/>
          <w:highlight w:val="none"/>
          <w:lang w:val="en-US" w:eastAsia="zh-CN" w:bidi="ar"/>
        </w:rPr>
        <w:t>亿元，占体育产业增加值的比重为</w:t>
      </w:r>
      <w:r>
        <w:rPr>
          <w:rFonts w:hint="default" w:ascii="华文仿宋" w:hAnsi="华文仿宋" w:eastAsia="华文仿宋" w:cs="华文仿宋"/>
          <w:strike w:val="0"/>
          <w:color w:val="auto"/>
          <w:spacing w:val="0"/>
          <w:kern w:val="21"/>
          <w:sz w:val="32"/>
          <w:szCs w:val="32"/>
          <w:highlight w:val="none"/>
          <w:lang w:val="en-US" w:eastAsia="zh-CN" w:bidi="ar"/>
        </w:rPr>
        <w:t>1.6%</w:t>
      </w:r>
      <w:r>
        <w:rPr>
          <w:rFonts w:hint="eastAsia" w:ascii="华文仿宋" w:hAnsi="华文仿宋" w:eastAsia="华文仿宋" w:cs="华文仿宋"/>
          <w:strike w:val="0"/>
          <w:color w:val="auto"/>
          <w:spacing w:val="0"/>
          <w:kern w:val="21"/>
          <w:sz w:val="32"/>
          <w:szCs w:val="32"/>
          <w:highlight w:val="none"/>
          <w:lang w:val="en-US" w:eastAsia="zh-CN" w:bidi="ar"/>
        </w:rPr>
        <w:t>，与上年持平。</w:t>
      </w:r>
    </w:p>
    <w:p w14:paraId="24AE76F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shd w:val="clear" w:fill="FFFFFF"/>
        </w:rPr>
        <w:t> </w:t>
      </w:r>
    </w:p>
    <w:p w14:paraId="4AE7A2B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center"/>
        <w:rPr>
          <w:rFonts w:hint="default" w:ascii="Calibri" w:hAnsi="Calibri" w:cs="Calibri"/>
          <w:i w:val="0"/>
          <w:iCs w:val="0"/>
          <w:caps w:val="0"/>
          <w:color w:val="000000"/>
          <w:spacing w:val="0"/>
          <w:sz w:val="24"/>
          <w:szCs w:val="24"/>
        </w:rPr>
      </w:pPr>
      <w:r>
        <w:rPr>
          <w:rFonts w:hint="default" w:ascii="Times New Roman" w:hAnsi="Times New Roman" w:cs="Times New Roman"/>
          <w:b/>
          <w:bCs/>
          <w:i w:val="0"/>
          <w:iCs w:val="0"/>
          <w:caps w:val="0"/>
          <w:color w:val="000000"/>
          <w:spacing w:val="0"/>
          <w:sz w:val="24"/>
          <w:szCs w:val="24"/>
          <w:shd w:val="clear" w:fill="FFFFFF"/>
        </w:rPr>
        <w:t>2023</w:t>
      </w:r>
      <w:r>
        <w:rPr>
          <w:rFonts w:hint="eastAsia" w:ascii="宋体" w:hAnsi="宋体" w:eastAsia="宋体" w:cs="宋体"/>
          <w:b/>
          <w:bCs/>
          <w:i w:val="0"/>
          <w:iCs w:val="0"/>
          <w:caps w:val="0"/>
          <w:color w:val="000000"/>
          <w:spacing w:val="0"/>
          <w:sz w:val="24"/>
          <w:szCs w:val="24"/>
          <w:shd w:val="clear" w:fill="FFFFFF"/>
        </w:rPr>
        <w:t>年全国体育产业状况</w:t>
      </w:r>
    </w:p>
    <w:p w14:paraId="330104E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shd w:val="clear" w:fill="FFFFFF"/>
        </w:rPr>
        <w:t> </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4017"/>
        <w:gridCol w:w="1063"/>
        <w:gridCol w:w="1062"/>
        <w:gridCol w:w="1063"/>
        <w:gridCol w:w="1101"/>
      </w:tblGrid>
      <w:tr w14:paraId="5F5D9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4954" w:type="dxa"/>
            <w:vMerge w:val="restart"/>
            <w:tcBorders>
              <w:top w:val="single" w:color="000000" w:sz="12" w:space="0"/>
              <w:bottom w:val="single" w:color="000000" w:sz="6" w:space="0"/>
              <w:right w:val="single" w:color="000000" w:sz="6" w:space="0"/>
            </w:tcBorders>
            <w:shd w:val="clear" w:color="auto" w:fill="FFFFFF"/>
            <w:tcMar>
              <w:top w:w="0" w:type="dxa"/>
              <w:left w:w="0" w:type="dxa"/>
              <w:bottom w:w="0" w:type="dxa"/>
              <w:right w:w="0" w:type="dxa"/>
            </w:tcMar>
            <w:vAlign w:val="center"/>
          </w:tcPr>
          <w:p w14:paraId="2A532D8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宋体" w:hAnsi="宋体" w:eastAsia="宋体" w:cs="宋体"/>
                <w:i w:val="0"/>
                <w:iCs w:val="0"/>
                <w:caps w:val="0"/>
                <w:color w:val="000000"/>
                <w:spacing w:val="0"/>
                <w:sz w:val="24"/>
                <w:szCs w:val="24"/>
              </w:rPr>
              <w:t>分类名称</w:t>
            </w:r>
          </w:p>
        </w:tc>
        <w:tc>
          <w:tcPr>
            <w:tcW w:w="2323" w:type="dxa"/>
            <w:gridSpan w:val="2"/>
            <w:tcBorders>
              <w:top w:val="single" w:color="000000" w:sz="12" w:space="0"/>
              <w:left w:val="single" w:color="000000" w:sz="6" w:space="0"/>
              <w:bottom w:val="single" w:color="000000" w:sz="6" w:space="0"/>
              <w:right w:val="single" w:color="000000" w:sz="6" w:space="0"/>
            </w:tcBorders>
            <w:shd w:val="clear" w:color="auto" w:fill="FFFFFF"/>
            <w:tcMar>
              <w:top w:w="0" w:type="dxa"/>
              <w:left w:w="0" w:type="dxa"/>
              <w:bottom w:w="0" w:type="dxa"/>
              <w:right w:w="0" w:type="dxa"/>
            </w:tcMar>
            <w:vAlign w:val="center"/>
          </w:tcPr>
          <w:p w14:paraId="36E291D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宋体" w:hAnsi="宋体" w:eastAsia="宋体" w:cs="宋体"/>
                <w:i w:val="0"/>
                <w:iCs w:val="0"/>
                <w:caps w:val="0"/>
                <w:color w:val="000000"/>
                <w:spacing w:val="0"/>
                <w:sz w:val="24"/>
                <w:szCs w:val="24"/>
              </w:rPr>
              <w:t>总产出</w:t>
            </w:r>
          </w:p>
        </w:tc>
        <w:tc>
          <w:tcPr>
            <w:tcW w:w="2330" w:type="dxa"/>
            <w:gridSpan w:val="2"/>
            <w:tcBorders>
              <w:top w:val="single" w:color="000000" w:sz="12" w:space="0"/>
              <w:left w:val="single" w:color="000000" w:sz="6" w:space="0"/>
              <w:bottom w:val="single" w:color="000000" w:sz="6" w:space="0"/>
            </w:tcBorders>
            <w:shd w:val="clear" w:color="auto" w:fill="FFFFFF"/>
            <w:tcMar>
              <w:top w:w="0" w:type="dxa"/>
              <w:left w:w="0" w:type="dxa"/>
              <w:bottom w:w="0" w:type="dxa"/>
              <w:right w:w="0" w:type="dxa"/>
            </w:tcMar>
            <w:vAlign w:val="center"/>
          </w:tcPr>
          <w:p w14:paraId="288543C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153"/>
              <w:jc w:val="center"/>
            </w:pPr>
            <w:r>
              <w:rPr>
                <w:rFonts w:hint="eastAsia" w:ascii="宋体" w:hAnsi="宋体" w:eastAsia="宋体" w:cs="宋体"/>
                <w:i w:val="0"/>
                <w:iCs w:val="0"/>
                <w:caps w:val="0"/>
                <w:color w:val="000000"/>
                <w:spacing w:val="0"/>
                <w:sz w:val="24"/>
                <w:szCs w:val="24"/>
              </w:rPr>
              <w:t>增加值</w:t>
            </w:r>
          </w:p>
        </w:tc>
      </w:tr>
      <w:tr w14:paraId="245E7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4954" w:type="dxa"/>
            <w:vMerge w:val="continue"/>
            <w:tcBorders>
              <w:top w:val="single" w:color="000000" w:sz="12" w:space="0"/>
              <w:bottom w:val="single" w:color="000000" w:sz="6" w:space="0"/>
              <w:right w:val="single" w:color="000000" w:sz="6" w:space="0"/>
            </w:tcBorders>
            <w:shd w:val="clear" w:color="auto" w:fill="FFFFFF"/>
            <w:tcMar>
              <w:top w:w="0" w:type="dxa"/>
              <w:left w:w="0" w:type="dxa"/>
              <w:bottom w:w="0" w:type="dxa"/>
              <w:right w:w="0" w:type="dxa"/>
            </w:tcMar>
            <w:vAlign w:val="center"/>
          </w:tcPr>
          <w:p w14:paraId="03F65869">
            <w:pPr>
              <w:jc w:val="both"/>
              <w:rPr>
                <w:rFonts w:hint="default" w:ascii="Calibri" w:hAnsi="Calibri" w:cs="Calibri"/>
                <w:i w:val="0"/>
                <w:iCs w:val="0"/>
                <w:caps w:val="0"/>
                <w:color w:val="000000"/>
                <w:spacing w:val="0"/>
                <w:sz w:val="24"/>
                <w:szCs w:val="24"/>
              </w:rPr>
            </w:pPr>
          </w:p>
        </w:tc>
        <w:tc>
          <w:tcPr>
            <w:tcW w:w="1154" w:type="dxa"/>
            <w:tcBorders>
              <w:top w:val="single" w:color="000000" w:sz="6" w:space="0"/>
              <w:left w:val="single" w:color="000000" w:sz="6" w:space="0"/>
              <w:bottom w:val="single" w:color="000000" w:sz="6" w:space="0"/>
              <w:right w:val="single" w:color="000000" w:sz="6" w:space="0"/>
            </w:tcBorders>
            <w:shd w:val="clear" w:color="auto" w:fill="FFFFFF"/>
            <w:tcMar>
              <w:top w:w="0" w:type="dxa"/>
              <w:left w:w="0" w:type="dxa"/>
              <w:bottom w:w="0" w:type="dxa"/>
              <w:right w:w="0" w:type="dxa"/>
            </w:tcMar>
            <w:vAlign w:val="center"/>
          </w:tcPr>
          <w:p w14:paraId="6134A88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宋体" w:hAnsi="宋体" w:eastAsia="宋体" w:cs="宋体"/>
                <w:i w:val="0"/>
                <w:iCs w:val="0"/>
                <w:caps w:val="0"/>
                <w:color w:val="000000"/>
                <w:spacing w:val="0"/>
                <w:sz w:val="24"/>
                <w:szCs w:val="24"/>
              </w:rPr>
              <w:t>总量</w:t>
            </w:r>
          </w:p>
          <w:p w14:paraId="26ABF44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default" w:ascii="Times New Roman" w:hAnsi="Times New Roman" w:cs="Times New Roman"/>
                <w:i w:val="0"/>
                <w:iCs w:val="0"/>
                <w:caps w:val="0"/>
                <w:color w:val="000000"/>
                <w:spacing w:val="0"/>
                <w:sz w:val="24"/>
                <w:szCs w:val="24"/>
              </w:rPr>
              <w:t>(</w:t>
            </w:r>
            <w:r>
              <w:rPr>
                <w:rFonts w:hint="eastAsia" w:ascii="宋体" w:hAnsi="宋体" w:eastAsia="宋体" w:cs="宋体"/>
                <w:i w:val="0"/>
                <w:iCs w:val="0"/>
                <w:caps w:val="0"/>
                <w:color w:val="000000"/>
                <w:spacing w:val="0"/>
                <w:sz w:val="24"/>
                <w:szCs w:val="24"/>
              </w:rPr>
              <w:t>亿元</w:t>
            </w:r>
            <w:r>
              <w:rPr>
                <w:rFonts w:hint="default" w:ascii="Times New Roman" w:hAnsi="Times New Roman" w:cs="Times New Roman"/>
                <w:i w:val="0"/>
                <w:iCs w:val="0"/>
                <w:caps w:val="0"/>
                <w:color w:val="000000"/>
                <w:spacing w:val="0"/>
                <w:sz w:val="24"/>
                <w:szCs w:val="24"/>
              </w:rPr>
              <w:t>)</w:t>
            </w:r>
          </w:p>
        </w:tc>
        <w:tc>
          <w:tcPr>
            <w:tcW w:w="1154" w:type="dxa"/>
            <w:tcBorders>
              <w:top w:val="single" w:color="000000" w:sz="6" w:space="0"/>
              <w:left w:val="single" w:color="000000" w:sz="6" w:space="0"/>
              <w:bottom w:val="single" w:color="000000" w:sz="6" w:space="0"/>
              <w:right w:val="single" w:color="000000" w:sz="6" w:space="0"/>
            </w:tcBorders>
            <w:shd w:val="clear" w:color="auto" w:fill="FFFFFF"/>
            <w:tcMar>
              <w:top w:w="0" w:type="dxa"/>
              <w:left w:w="0" w:type="dxa"/>
              <w:bottom w:w="0" w:type="dxa"/>
              <w:right w:w="0" w:type="dxa"/>
            </w:tcMar>
            <w:vAlign w:val="center"/>
          </w:tcPr>
          <w:p w14:paraId="575F066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宋体" w:hAnsi="宋体" w:eastAsia="宋体" w:cs="宋体"/>
                <w:i w:val="0"/>
                <w:iCs w:val="0"/>
                <w:caps w:val="0"/>
                <w:color w:val="000000"/>
                <w:spacing w:val="0"/>
                <w:sz w:val="24"/>
                <w:szCs w:val="24"/>
              </w:rPr>
              <w:t>构成</w:t>
            </w:r>
          </w:p>
          <w:p w14:paraId="40F23FD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default" w:ascii="Times New Roman" w:hAnsi="Times New Roman" w:cs="Times New Roman"/>
                <w:i w:val="0"/>
                <w:iCs w:val="0"/>
                <w:caps w:val="0"/>
                <w:color w:val="000000"/>
                <w:spacing w:val="0"/>
                <w:sz w:val="24"/>
                <w:szCs w:val="24"/>
              </w:rPr>
              <w:t>(%)</w:t>
            </w:r>
          </w:p>
        </w:tc>
        <w:tc>
          <w:tcPr>
            <w:tcW w:w="1154" w:type="dxa"/>
            <w:tcBorders>
              <w:top w:val="single" w:color="000000" w:sz="6" w:space="0"/>
              <w:left w:val="single" w:color="000000" w:sz="6" w:space="0"/>
              <w:bottom w:val="single" w:color="000000" w:sz="6" w:space="0"/>
              <w:right w:val="single" w:color="000000" w:sz="6" w:space="0"/>
            </w:tcBorders>
            <w:shd w:val="clear" w:color="auto" w:fill="FFFFFF"/>
            <w:tcMar>
              <w:top w:w="0" w:type="dxa"/>
              <w:left w:w="0" w:type="dxa"/>
              <w:bottom w:w="0" w:type="dxa"/>
              <w:right w:w="0" w:type="dxa"/>
            </w:tcMar>
            <w:vAlign w:val="center"/>
          </w:tcPr>
          <w:p w14:paraId="13C0085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宋体" w:hAnsi="宋体" w:eastAsia="宋体" w:cs="宋体"/>
                <w:i w:val="0"/>
                <w:iCs w:val="0"/>
                <w:caps w:val="0"/>
                <w:color w:val="000000"/>
                <w:spacing w:val="0"/>
                <w:sz w:val="24"/>
                <w:szCs w:val="24"/>
              </w:rPr>
              <w:t>总量</w:t>
            </w:r>
          </w:p>
          <w:p w14:paraId="4E69503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default" w:ascii="Times New Roman" w:hAnsi="Times New Roman" w:cs="Times New Roman"/>
                <w:i w:val="0"/>
                <w:iCs w:val="0"/>
                <w:caps w:val="0"/>
                <w:color w:val="000000"/>
                <w:spacing w:val="0"/>
                <w:sz w:val="24"/>
                <w:szCs w:val="24"/>
              </w:rPr>
              <w:t>(</w:t>
            </w:r>
            <w:r>
              <w:rPr>
                <w:rFonts w:hint="eastAsia" w:ascii="宋体" w:hAnsi="宋体" w:eastAsia="宋体" w:cs="宋体"/>
                <w:i w:val="0"/>
                <w:iCs w:val="0"/>
                <w:caps w:val="0"/>
                <w:color w:val="000000"/>
                <w:spacing w:val="0"/>
                <w:sz w:val="24"/>
                <w:szCs w:val="24"/>
              </w:rPr>
              <w:t>亿元</w:t>
            </w:r>
            <w:r>
              <w:rPr>
                <w:rFonts w:hint="default" w:ascii="Times New Roman" w:hAnsi="Times New Roman" w:cs="Times New Roman"/>
                <w:i w:val="0"/>
                <w:iCs w:val="0"/>
                <w:caps w:val="0"/>
                <w:color w:val="000000"/>
                <w:spacing w:val="0"/>
                <w:sz w:val="24"/>
                <w:szCs w:val="24"/>
              </w:rPr>
              <w:t>)</w:t>
            </w:r>
          </w:p>
        </w:tc>
        <w:tc>
          <w:tcPr>
            <w:tcW w:w="1162" w:type="dxa"/>
            <w:tcBorders>
              <w:top w:val="single" w:color="000000" w:sz="6" w:space="0"/>
              <w:left w:val="single" w:color="000000" w:sz="6" w:space="0"/>
              <w:bottom w:val="single" w:color="000000" w:sz="6" w:space="0"/>
            </w:tcBorders>
            <w:shd w:val="clear" w:color="auto" w:fill="FFFFFF"/>
            <w:tcMar>
              <w:top w:w="0" w:type="dxa"/>
              <w:left w:w="0" w:type="dxa"/>
              <w:bottom w:w="0" w:type="dxa"/>
              <w:right w:w="0" w:type="dxa"/>
            </w:tcMar>
            <w:vAlign w:val="center"/>
          </w:tcPr>
          <w:p w14:paraId="6E699E3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eastAsia" w:ascii="宋体" w:hAnsi="宋体" w:eastAsia="宋体" w:cs="宋体"/>
                <w:i w:val="0"/>
                <w:iCs w:val="0"/>
                <w:caps w:val="0"/>
                <w:color w:val="000000"/>
                <w:spacing w:val="0"/>
                <w:sz w:val="24"/>
                <w:szCs w:val="24"/>
              </w:rPr>
              <w:t>构成</w:t>
            </w:r>
          </w:p>
          <w:p w14:paraId="57CA7EB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center"/>
            </w:pPr>
            <w:r>
              <w:rPr>
                <w:rFonts w:hint="default" w:ascii="Times New Roman" w:hAnsi="Times New Roman" w:cs="Times New Roman"/>
                <w:i w:val="0"/>
                <w:iCs w:val="0"/>
                <w:caps w:val="0"/>
                <w:color w:val="000000"/>
                <w:spacing w:val="0"/>
                <w:sz w:val="24"/>
                <w:szCs w:val="24"/>
              </w:rPr>
              <w:t>(%)</w:t>
            </w:r>
          </w:p>
        </w:tc>
      </w:tr>
      <w:tr w14:paraId="4D5C1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4954" w:type="dxa"/>
            <w:tcBorders>
              <w:top w:val="single" w:color="000000" w:sz="6" w:space="0"/>
              <w:right w:val="single" w:color="000000" w:sz="6" w:space="0"/>
            </w:tcBorders>
            <w:shd w:val="clear" w:color="auto" w:fill="FFFFFF"/>
            <w:tcMar>
              <w:top w:w="0" w:type="dxa"/>
              <w:left w:w="0" w:type="dxa"/>
              <w:bottom w:w="0" w:type="dxa"/>
              <w:right w:w="0" w:type="dxa"/>
            </w:tcMar>
            <w:vAlign w:val="center"/>
          </w:tcPr>
          <w:p w14:paraId="157944D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left"/>
            </w:pPr>
            <w:r>
              <w:rPr>
                <w:rFonts w:hint="eastAsia" w:ascii="宋体" w:hAnsi="宋体" w:eastAsia="宋体" w:cs="宋体"/>
                <w:b/>
                <w:bCs/>
                <w:i w:val="0"/>
                <w:iCs w:val="0"/>
                <w:caps w:val="0"/>
                <w:color w:val="000000"/>
                <w:spacing w:val="0"/>
                <w:sz w:val="24"/>
                <w:szCs w:val="24"/>
              </w:rPr>
              <w:t>体育产业</w:t>
            </w:r>
          </w:p>
        </w:tc>
        <w:tc>
          <w:tcPr>
            <w:tcW w:w="1154" w:type="dxa"/>
            <w:tcBorders>
              <w:top w:val="single" w:color="000000" w:sz="6" w:space="0"/>
              <w:left w:val="single" w:color="000000" w:sz="6" w:space="0"/>
              <w:right w:val="single" w:color="000000" w:sz="6" w:space="0"/>
            </w:tcBorders>
            <w:shd w:val="clear" w:color="auto" w:fill="FFFFFF"/>
            <w:tcMar>
              <w:top w:w="0" w:type="dxa"/>
              <w:left w:w="0" w:type="dxa"/>
              <w:bottom w:w="0" w:type="dxa"/>
              <w:right w:w="0" w:type="dxa"/>
            </w:tcMar>
            <w:vAlign w:val="center"/>
          </w:tcPr>
          <w:p w14:paraId="7BB822E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36741</w:t>
            </w:r>
          </w:p>
        </w:tc>
        <w:tc>
          <w:tcPr>
            <w:tcW w:w="1154" w:type="dxa"/>
            <w:tcBorders>
              <w:top w:val="single" w:color="000000" w:sz="6" w:space="0"/>
              <w:left w:val="single" w:color="000000" w:sz="6" w:space="0"/>
              <w:right w:val="single" w:color="000000" w:sz="6" w:space="0"/>
            </w:tcBorders>
            <w:shd w:val="clear" w:color="auto" w:fill="FFFFFF"/>
            <w:tcMar>
              <w:top w:w="0" w:type="dxa"/>
              <w:left w:w="0" w:type="dxa"/>
              <w:bottom w:w="0" w:type="dxa"/>
              <w:right w:w="0" w:type="dxa"/>
            </w:tcMar>
            <w:vAlign w:val="center"/>
          </w:tcPr>
          <w:p w14:paraId="15E7F5B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100.0</w:t>
            </w:r>
          </w:p>
        </w:tc>
        <w:tc>
          <w:tcPr>
            <w:tcW w:w="1154" w:type="dxa"/>
            <w:tcBorders>
              <w:top w:val="single" w:color="000000" w:sz="6" w:space="0"/>
              <w:left w:val="single" w:color="000000" w:sz="6" w:space="0"/>
              <w:right w:val="single" w:color="000000" w:sz="6" w:space="0"/>
            </w:tcBorders>
            <w:shd w:val="clear" w:color="auto" w:fill="FFFFFF"/>
            <w:tcMar>
              <w:top w:w="0" w:type="dxa"/>
              <w:left w:w="0" w:type="dxa"/>
              <w:bottom w:w="0" w:type="dxa"/>
              <w:right w:w="0" w:type="dxa"/>
            </w:tcMar>
            <w:vAlign w:val="center"/>
          </w:tcPr>
          <w:p w14:paraId="21CF7E2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14915</w:t>
            </w:r>
          </w:p>
        </w:tc>
        <w:tc>
          <w:tcPr>
            <w:tcW w:w="1162" w:type="dxa"/>
            <w:tcBorders>
              <w:top w:val="single" w:color="000000" w:sz="6" w:space="0"/>
              <w:left w:val="single" w:color="000000" w:sz="6" w:space="0"/>
            </w:tcBorders>
            <w:shd w:val="clear" w:color="auto" w:fill="FFFFFF"/>
            <w:tcMar>
              <w:top w:w="0" w:type="dxa"/>
              <w:left w:w="0" w:type="dxa"/>
              <w:bottom w:w="0" w:type="dxa"/>
              <w:right w:w="0" w:type="dxa"/>
            </w:tcMar>
            <w:vAlign w:val="center"/>
          </w:tcPr>
          <w:p w14:paraId="421ECDE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100.0</w:t>
            </w:r>
          </w:p>
        </w:tc>
      </w:tr>
      <w:tr w14:paraId="00117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4954" w:type="dxa"/>
            <w:tcBorders>
              <w:right w:val="single" w:color="000000" w:sz="6" w:space="0"/>
            </w:tcBorders>
            <w:shd w:val="clear" w:color="auto" w:fill="FFFFFF"/>
            <w:tcMar>
              <w:top w:w="0" w:type="dxa"/>
              <w:left w:w="0" w:type="dxa"/>
              <w:bottom w:w="0" w:type="dxa"/>
              <w:right w:w="0" w:type="dxa"/>
            </w:tcMar>
            <w:vAlign w:val="center"/>
          </w:tcPr>
          <w:p w14:paraId="7C2CA28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left"/>
            </w:pPr>
            <w:r>
              <w:rPr>
                <w:rFonts w:hint="eastAsia" w:ascii="宋体" w:hAnsi="宋体" w:eastAsia="宋体" w:cs="宋体"/>
                <w:b/>
                <w:bCs/>
                <w:i w:val="0"/>
                <w:iCs w:val="0"/>
                <w:caps w:val="0"/>
                <w:color w:val="000000"/>
                <w:spacing w:val="0"/>
                <w:sz w:val="24"/>
                <w:szCs w:val="24"/>
              </w:rPr>
              <w:t>　体育服务业</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420AFA2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21046</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174BCE6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57.3</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4E18166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10849</w:t>
            </w:r>
          </w:p>
        </w:tc>
        <w:tc>
          <w:tcPr>
            <w:tcW w:w="1162" w:type="dxa"/>
            <w:tcBorders>
              <w:left w:val="single" w:color="000000" w:sz="6" w:space="0"/>
            </w:tcBorders>
            <w:shd w:val="clear" w:color="auto" w:fill="FFFFFF"/>
            <w:tcMar>
              <w:top w:w="0" w:type="dxa"/>
              <w:left w:w="0" w:type="dxa"/>
              <w:bottom w:w="0" w:type="dxa"/>
              <w:right w:w="0" w:type="dxa"/>
            </w:tcMar>
            <w:vAlign w:val="center"/>
          </w:tcPr>
          <w:p w14:paraId="1A788BE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72.7</w:t>
            </w:r>
          </w:p>
        </w:tc>
      </w:tr>
      <w:tr w14:paraId="1E3ED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4954" w:type="dxa"/>
            <w:tcBorders>
              <w:right w:val="single" w:color="000000" w:sz="6" w:space="0"/>
            </w:tcBorders>
            <w:shd w:val="clear" w:color="auto" w:fill="FFFFFF"/>
            <w:tcMar>
              <w:top w:w="0" w:type="dxa"/>
              <w:left w:w="0" w:type="dxa"/>
              <w:bottom w:w="0" w:type="dxa"/>
              <w:right w:w="0" w:type="dxa"/>
            </w:tcMar>
            <w:vAlign w:val="center"/>
          </w:tcPr>
          <w:p w14:paraId="313DA3B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left"/>
            </w:pPr>
            <w:r>
              <w:rPr>
                <w:rFonts w:hint="eastAsia" w:ascii="宋体" w:hAnsi="宋体" w:eastAsia="宋体" w:cs="宋体"/>
                <w:i w:val="0"/>
                <w:iCs w:val="0"/>
                <w:caps w:val="0"/>
                <w:color w:val="000000"/>
                <w:spacing w:val="0"/>
                <w:sz w:val="24"/>
                <w:szCs w:val="24"/>
              </w:rPr>
              <w:t>　　体育管理活动</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24DE5C7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1454</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4695221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4.0</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48C4130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689</w:t>
            </w:r>
          </w:p>
        </w:tc>
        <w:tc>
          <w:tcPr>
            <w:tcW w:w="1162" w:type="dxa"/>
            <w:tcBorders>
              <w:left w:val="single" w:color="000000" w:sz="6" w:space="0"/>
            </w:tcBorders>
            <w:shd w:val="clear" w:color="auto" w:fill="FFFFFF"/>
            <w:tcMar>
              <w:top w:w="0" w:type="dxa"/>
              <w:left w:w="0" w:type="dxa"/>
              <w:bottom w:w="0" w:type="dxa"/>
              <w:right w:w="0" w:type="dxa"/>
            </w:tcMar>
            <w:vAlign w:val="center"/>
          </w:tcPr>
          <w:p w14:paraId="5FD356C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4.6</w:t>
            </w:r>
          </w:p>
        </w:tc>
      </w:tr>
      <w:tr w14:paraId="4736C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4954" w:type="dxa"/>
            <w:tcBorders>
              <w:right w:val="single" w:color="000000" w:sz="6" w:space="0"/>
            </w:tcBorders>
            <w:shd w:val="clear" w:color="auto" w:fill="FFFFFF"/>
            <w:tcMar>
              <w:top w:w="0" w:type="dxa"/>
              <w:left w:w="0" w:type="dxa"/>
              <w:bottom w:w="0" w:type="dxa"/>
              <w:right w:w="0" w:type="dxa"/>
            </w:tcMar>
            <w:vAlign w:val="center"/>
          </w:tcPr>
          <w:p w14:paraId="326BCAD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left"/>
            </w:pPr>
            <w:r>
              <w:rPr>
                <w:rFonts w:hint="eastAsia" w:ascii="宋体" w:hAnsi="宋体" w:eastAsia="宋体" w:cs="宋体"/>
                <w:i w:val="0"/>
                <w:iCs w:val="0"/>
                <w:caps w:val="0"/>
                <w:color w:val="000000"/>
                <w:spacing w:val="0"/>
                <w:sz w:val="24"/>
                <w:szCs w:val="24"/>
              </w:rPr>
              <w:t>　　体育竞赛表演活动</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2B8D36C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752</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7A5FE1B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2.0</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17B3C0E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300</w:t>
            </w:r>
          </w:p>
        </w:tc>
        <w:tc>
          <w:tcPr>
            <w:tcW w:w="1162" w:type="dxa"/>
            <w:tcBorders>
              <w:left w:val="single" w:color="000000" w:sz="6" w:space="0"/>
            </w:tcBorders>
            <w:shd w:val="clear" w:color="auto" w:fill="FFFFFF"/>
            <w:tcMar>
              <w:top w:w="0" w:type="dxa"/>
              <w:left w:w="0" w:type="dxa"/>
              <w:bottom w:w="0" w:type="dxa"/>
              <w:right w:w="0" w:type="dxa"/>
            </w:tcMar>
            <w:vAlign w:val="center"/>
          </w:tcPr>
          <w:p w14:paraId="0544964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2.0</w:t>
            </w:r>
          </w:p>
        </w:tc>
      </w:tr>
      <w:tr w14:paraId="4CF79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4954" w:type="dxa"/>
            <w:tcBorders>
              <w:right w:val="single" w:color="000000" w:sz="6" w:space="0"/>
            </w:tcBorders>
            <w:shd w:val="clear" w:color="auto" w:fill="FFFFFF"/>
            <w:tcMar>
              <w:top w:w="0" w:type="dxa"/>
              <w:left w:w="0" w:type="dxa"/>
              <w:bottom w:w="0" w:type="dxa"/>
              <w:right w:w="0" w:type="dxa"/>
            </w:tcMar>
            <w:vAlign w:val="center"/>
          </w:tcPr>
          <w:p w14:paraId="73A4E65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left"/>
            </w:pPr>
            <w:r>
              <w:rPr>
                <w:rFonts w:hint="eastAsia" w:ascii="宋体" w:hAnsi="宋体" w:eastAsia="宋体" w:cs="宋体"/>
                <w:i w:val="0"/>
                <w:iCs w:val="0"/>
                <w:caps w:val="0"/>
                <w:color w:val="000000"/>
                <w:spacing w:val="0"/>
                <w:sz w:val="24"/>
                <w:szCs w:val="24"/>
              </w:rPr>
              <w:t>　　体育健身休闲活动</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0B1742B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2760</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19D8AA5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7.5</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36E6B6B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1378</w:t>
            </w:r>
          </w:p>
        </w:tc>
        <w:tc>
          <w:tcPr>
            <w:tcW w:w="1162" w:type="dxa"/>
            <w:tcBorders>
              <w:left w:val="single" w:color="000000" w:sz="6" w:space="0"/>
            </w:tcBorders>
            <w:shd w:val="clear" w:color="auto" w:fill="FFFFFF"/>
            <w:tcMar>
              <w:top w:w="0" w:type="dxa"/>
              <w:left w:w="0" w:type="dxa"/>
              <w:bottom w:w="0" w:type="dxa"/>
              <w:right w:w="0" w:type="dxa"/>
            </w:tcMar>
            <w:vAlign w:val="center"/>
          </w:tcPr>
          <w:p w14:paraId="19A8DE4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9.2</w:t>
            </w:r>
          </w:p>
        </w:tc>
      </w:tr>
      <w:tr w14:paraId="5E195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4954" w:type="dxa"/>
            <w:tcBorders>
              <w:right w:val="single" w:color="000000" w:sz="6" w:space="0"/>
            </w:tcBorders>
            <w:shd w:val="clear" w:color="auto" w:fill="FFFFFF"/>
            <w:tcMar>
              <w:top w:w="0" w:type="dxa"/>
              <w:left w:w="0" w:type="dxa"/>
              <w:bottom w:w="0" w:type="dxa"/>
              <w:right w:w="0" w:type="dxa"/>
            </w:tcMar>
            <w:vAlign w:val="center"/>
          </w:tcPr>
          <w:p w14:paraId="5E03AAA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left"/>
            </w:pPr>
            <w:r>
              <w:rPr>
                <w:rFonts w:hint="eastAsia" w:ascii="宋体" w:hAnsi="宋体" w:eastAsia="宋体" w:cs="宋体"/>
                <w:i w:val="0"/>
                <w:iCs w:val="0"/>
                <w:caps w:val="0"/>
                <w:color w:val="000000"/>
                <w:spacing w:val="0"/>
                <w:sz w:val="24"/>
                <w:szCs w:val="24"/>
              </w:rPr>
              <w:t>　　体育场地和设施管理</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7F5AF53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3381</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5817BC7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9.2</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65746ED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1289</w:t>
            </w:r>
          </w:p>
        </w:tc>
        <w:tc>
          <w:tcPr>
            <w:tcW w:w="1162" w:type="dxa"/>
            <w:tcBorders>
              <w:left w:val="single" w:color="000000" w:sz="6" w:space="0"/>
            </w:tcBorders>
            <w:shd w:val="clear" w:color="auto" w:fill="FFFFFF"/>
            <w:tcMar>
              <w:top w:w="0" w:type="dxa"/>
              <w:left w:w="0" w:type="dxa"/>
              <w:bottom w:w="0" w:type="dxa"/>
              <w:right w:w="0" w:type="dxa"/>
            </w:tcMar>
            <w:vAlign w:val="center"/>
          </w:tcPr>
          <w:p w14:paraId="5C0E55B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8.6</w:t>
            </w:r>
          </w:p>
        </w:tc>
      </w:tr>
      <w:tr w14:paraId="59F41A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4954" w:type="dxa"/>
            <w:tcBorders>
              <w:right w:val="single" w:color="000000" w:sz="6" w:space="0"/>
            </w:tcBorders>
            <w:shd w:val="clear" w:color="auto" w:fill="FFFFFF"/>
            <w:tcMar>
              <w:top w:w="0" w:type="dxa"/>
              <w:left w:w="0" w:type="dxa"/>
              <w:bottom w:w="0" w:type="dxa"/>
              <w:right w:w="0" w:type="dxa"/>
            </w:tcMar>
            <w:vAlign w:val="center"/>
          </w:tcPr>
          <w:p w14:paraId="4F1D9FC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left"/>
            </w:pPr>
            <w:r>
              <w:rPr>
                <w:rFonts w:hint="eastAsia" w:ascii="宋体" w:hAnsi="宋体" w:eastAsia="宋体" w:cs="宋体"/>
                <w:i w:val="0"/>
                <w:iCs w:val="0"/>
                <w:caps w:val="0"/>
                <w:color w:val="000000"/>
                <w:spacing w:val="0"/>
                <w:sz w:val="24"/>
                <w:szCs w:val="24"/>
              </w:rPr>
              <w:t>　　体育经纪与代理、广告与会展、表演与设计服务</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011E8B8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676</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26204D0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1.8</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34E806E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239</w:t>
            </w:r>
          </w:p>
        </w:tc>
        <w:tc>
          <w:tcPr>
            <w:tcW w:w="1162" w:type="dxa"/>
            <w:tcBorders>
              <w:left w:val="single" w:color="000000" w:sz="6" w:space="0"/>
            </w:tcBorders>
            <w:shd w:val="clear" w:color="auto" w:fill="FFFFFF"/>
            <w:tcMar>
              <w:top w:w="0" w:type="dxa"/>
              <w:left w:w="0" w:type="dxa"/>
              <w:bottom w:w="0" w:type="dxa"/>
              <w:right w:w="0" w:type="dxa"/>
            </w:tcMar>
            <w:vAlign w:val="center"/>
          </w:tcPr>
          <w:p w14:paraId="571A8AE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1.6</w:t>
            </w:r>
          </w:p>
        </w:tc>
      </w:tr>
      <w:tr w14:paraId="033B1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4954" w:type="dxa"/>
            <w:tcBorders>
              <w:right w:val="single" w:color="000000" w:sz="6" w:space="0"/>
            </w:tcBorders>
            <w:shd w:val="clear" w:color="auto" w:fill="FFFFFF"/>
            <w:tcMar>
              <w:top w:w="0" w:type="dxa"/>
              <w:left w:w="0" w:type="dxa"/>
              <w:bottom w:w="0" w:type="dxa"/>
              <w:right w:w="0" w:type="dxa"/>
            </w:tcMar>
            <w:vAlign w:val="center"/>
          </w:tcPr>
          <w:p w14:paraId="076B406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left"/>
            </w:pPr>
            <w:r>
              <w:rPr>
                <w:rFonts w:hint="eastAsia" w:ascii="宋体" w:hAnsi="宋体" w:eastAsia="宋体" w:cs="宋体"/>
                <w:i w:val="0"/>
                <w:iCs w:val="0"/>
                <w:caps w:val="0"/>
                <w:color w:val="000000"/>
                <w:spacing w:val="0"/>
                <w:sz w:val="24"/>
                <w:szCs w:val="24"/>
              </w:rPr>
              <w:t>　　体育教育与培训</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151351C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2851</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427276D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7.8</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196B229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2278</w:t>
            </w:r>
          </w:p>
        </w:tc>
        <w:tc>
          <w:tcPr>
            <w:tcW w:w="1162" w:type="dxa"/>
            <w:tcBorders>
              <w:left w:val="single" w:color="000000" w:sz="6" w:space="0"/>
            </w:tcBorders>
            <w:shd w:val="clear" w:color="auto" w:fill="FFFFFF"/>
            <w:tcMar>
              <w:top w:w="0" w:type="dxa"/>
              <w:left w:w="0" w:type="dxa"/>
              <w:bottom w:w="0" w:type="dxa"/>
              <w:right w:w="0" w:type="dxa"/>
            </w:tcMar>
            <w:vAlign w:val="center"/>
          </w:tcPr>
          <w:p w14:paraId="7155451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15.3</w:t>
            </w:r>
          </w:p>
        </w:tc>
      </w:tr>
      <w:tr w14:paraId="6BEC3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4954" w:type="dxa"/>
            <w:tcBorders>
              <w:right w:val="single" w:color="000000" w:sz="6" w:space="0"/>
            </w:tcBorders>
            <w:shd w:val="clear" w:color="auto" w:fill="FFFFFF"/>
            <w:tcMar>
              <w:top w:w="0" w:type="dxa"/>
              <w:left w:w="0" w:type="dxa"/>
              <w:bottom w:w="0" w:type="dxa"/>
              <w:right w:w="0" w:type="dxa"/>
            </w:tcMar>
            <w:vAlign w:val="center"/>
          </w:tcPr>
          <w:p w14:paraId="3B0919F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left"/>
            </w:pPr>
            <w:r>
              <w:rPr>
                <w:rFonts w:hint="eastAsia" w:ascii="宋体" w:hAnsi="宋体" w:eastAsia="宋体" w:cs="宋体"/>
                <w:i w:val="0"/>
                <w:iCs w:val="0"/>
                <w:caps w:val="0"/>
                <w:color w:val="000000"/>
                <w:spacing w:val="0"/>
                <w:sz w:val="24"/>
                <w:szCs w:val="24"/>
              </w:rPr>
              <w:t>　　体育传媒与信息服务</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3E0F679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1359</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31897A4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3.7</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0FE0490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502</w:t>
            </w:r>
          </w:p>
        </w:tc>
        <w:tc>
          <w:tcPr>
            <w:tcW w:w="1162" w:type="dxa"/>
            <w:tcBorders>
              <w:left w:val="single" w:color="000000" w:sz="6" w:space="0"/>
            </w:tcBorders>
            <w:shd w:val="clear" w:color="auto" w:fill="FFFFFF"/>
            <w:tcMar>
              <w:top w:w="0" w:type="dxa"/>
              <w:left w:w="0" w:type="dxa"/>
              <w:bottom w:w="0" w:type="dxa"/>
              <w:right w:w="0" w:type="dxa"/>
            </w:tcMar>
            <w:vAlign w:val="center"/>
          </w:tcPr>
          <w:p w14:paraId="3545715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3.4</w:t>
            </w:r>
          </w:p>
        </w:tc>
      </w:tr>
      <w:tr w14:paraId="797C6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4954" w:type="dxa"/>
            <w:tcBorders>
              <w:right w:val="single" w:color="000000" w:sz="6" w:space="0"/>
            </w:tcBorders>
            <w:shd w:val="clear" w:color="auto" w:fill="FFFFFF"/>
            <w:tcMar>
              <w:top w:w="0" w:type="dxa"/>
              <w:left w:w="0" w:type="dxa"/>
              <w:bottom w:w="0" w:type="dxa"/>
              <w:right w:w="0" w:type="dxa"/>
            </w:tcMar>
            <w:vAlign w:val="center"/>
          </w:tcPr>
          <w:p w14:paraId="5DEE00C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left"/>
            </w:pPr>
            <w:r>
              <w:rPr>
                <w:rFonts w:hint="eastAsia" w:ascii="宋体" w:hAnsi="宋体" w:eastAsia="宋体" w:cs="宋体"/>
                <w:i w:val="0"/>
                <w:iCs w:val="0"/>
                <w:caps w:val="0"/>
                <w:color w:val="000000"/>
                <w:spacing w:val="0"/>
                <w:sz w:val="24"/>
                <w:szCs w:val="24"/>
              </w:rPr>
              <w:t>　　体育用品及相关产品销售、出租与贸易代理</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312E940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5429</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7D0F801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14.8</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0A2D31F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3159</w:t>
            </w:r>
          </w:p>
        </w:tc>
        <w:tc>
          <w:tcPr>
            <w:tcW w:w="1162" w:type="dxa"/>
            <w:tcBorders>
              <w:left w:val="single" w:color="000000" w:sz="6" w:space="0"/>
            </w:tcBorders>
            <w:shd w:val="clear" w:color="auto" w:fill="FFFFFF"/>
            <w:tcMar>
              <w:top w:w="0" w:type="dxa"/>
              <w:left w:w="0" w:type="dxa"/>
              <w:bottom w:w="0" w:type="dxa"/>
              <w:right w:w="0" w:type="dxa"/>
            </w:tcMar>
            <w:vAlign w:val="center"/>
          </w:tcPr>
          <w:p w14:paraId="30A4191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21.2</w:t>
            </w:r>
          </w:p>
        </w:tc>
      </w:tr>
      <w:tr w14:paraId="0F48F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4954" w:type="dxa"/>
            <w:tcBorders>
              <w:right w:val="single" w:color="000000" w:sz="6" w:space="0"/>
            </w:tcBorders>
            <w:shd w:val="clear" w:color="auto" w:fill="FFFFFF"/>
            <w:tcMar>
              <w:top w:w="0" w:type="dxa"/>
              <w:left w:w="0" w:type="dxa"/>
              <w:bottom w:w="0" w:type="dxa"/>
              <w:right w:w="0" w:type="dxa"/>
            </w:tcMar>
            <w:vAlign w:val="center"/>
          </w:tcPr>
          <w:p w14:paraId="2AAC11F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left"/>
            </w:pPr>
            <w:r>
              <w:rPr>
                <w:rFonts w:hint="eastAsia" w:ascii="宋体" w:hAnsi="宋体" w:eastAsia="宋体" w:cs="宋体"/>
                <w:i w:val="0"/>
                <w:iCs w:val="0"/>
                <w:caps w:val="0"/>
                <w:color w:val="000000"/>
                <w:spacing w:val="0"/>
                <w:sz w:val="24"/>
                <w:szCs w:val="24"/>
              </w:rPr>
              <w:t>　　其他体育服务</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1CC0444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2384</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572FC8A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6.5</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252022E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1015</w:t>
            </w:r>
          </w:p>
        </w:tc>
        <w:tc>
          <w:tcPr>
            <w:tcW w:w="1162" w:type="dxa"/>
            <w:tcBorders>
              <w:left w:val="single" w:color="000000" w:sz="6" w:space="0"/>
            </w:tcBorders>
            <w:shd w:val="clear" w:color="auto" w:fill="FFFFFF"/>
            <w:tcMar>
              <w:top w:w="0" w:type="dxa"/>
              <w:left w:w="0" w:type="dxa"/>
              <w:bottom w:w="0" w:type="dxa"/>
              <w:right w:w="0" w:type="dxa"/>
            </w:tcMar>
            <w:vAlign w:val="center"/>
          </w:tcPr>
          <w:p w14:paraId="098AE86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6.8</w:t>
            </w:r>
          </w:p>
        </w:tc>
      </w:tr>
      <w:tr w14:paraId="363EE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283" w:hRule="atLeast"/>
        </w:trPr>
        <w:tc>
          <w:tcPr>
            <w:tcW w:w="4954" w:type="dxa"/>
            <w:tcBorders>
              <w:right w:val="single" w:color="000000" w:sz="6" w:space="0"/>
            </w:tcBorders>
            <w:shd w:val="clear" w:color="auto" w:fill="FFFFFF"/>
            <w:tcMar>
              <w:top w:w="0" w:type="dxa"/>
              <w:left w:w="0" w:type="dxa"/>
              <w:bottom w:w="0" w:type="dxa"/>
              <w:right w:w="0" w:type="dxa"/>
            </w:tcMar>
            <w:vAlign w:val="center"/>
          </w:tcPr>
          <w:p w14:paraId="6FAE0EC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left"/>
            </w:pPr>
            <w:r>
              <w:rPr>
                <w:rFonts w:hint="eastAsia" w:ascii="宋体" w:hAnsi="宋体" w:eastAsia="宋体" w:cs="宋体"/>
                <w:b/>
                <w:bCs/>
                <w:i w:val="0"/>
                <w:iCs w:val="0"/>
                <w:caps w:val="0"/>
                <w:color w:val="000000"/>
                <w:spacing w:val="0"/>
                <w:sz w:val="24"/>
                <w:szCs w:val="24"/>
              </w:rPr>
              <w:t>　体育用品及相关产品制造</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733E52F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14696</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757F275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40.0</w:t>
            </w:r>
          </w:p>
        </w:tc>
        <w:tc>
          <w:tcPr>
            <w:tcW w:w="1154" w:type="dxa"/>
            <w:tcBorders>
              <w:left w:val="single" w:color="000000" w:sz="6" w:space="0"/>
              <w:right w:val="single" w:color="000000" w:sz="6" w:space="0"/>
            </w:tcBorders>
            <w:shd w:val="clear" w:color="auto" w:fill="FFFFFF"/>
            <w:tcMar>
              <w:top w:w="0" w:type="dxa"/>
              <w:left w:w="0" w:type="dxa"/>
              <w:bottom w:w="0" w:type="dxa"/>
              <w:right w:w="0" w:type="dxa"/>
            </w:tcMar>
            <w:vAlign w:val="center"/>
          </w:tcPr>
          <w:p w14:paraId="796FB89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3832</w:t>
            </w:r>
          </w:p>
        </w:tc>
        <w:tc>
          <w:tcPr>
            <w:tcW w:w="1162" w:type="dxa"/>
            <w:tcBorders>
              <w:left w:val="single" w:color="000000" w:sz="6" w:space="0"/>
            </w:tcBorders>
            <w:shd w:val="clear" w:color="auto" w:fill="FFFFFF"/>
            <w:tcMar>
              <w:top w:w="0" w:type="dxa"/>
              <w:left w:w="0" w:type="dxa"/>
              <w:bottom w:w="0" w:type="dxa"/>
              <w:right w:w="0" w:type="dxa"/>
            </w:tcMar>
            <w:vAlign w:val="center"/>
          </w:tcPr>
          <w:p w14:paraId="305EF57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25.7</w:t>
            </w:r>
          </w:p>
        </w:tc>
      </w:tr>
      <w:tr w14:paraId="5940B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4954" w:type="dxa"/>
            <w:tcBorders>
              <w:bottom w:val="single" w:color="000000" w:sz="12" w:space="0"/>
              <w:right w:val="single" w:color="000000" w:sz="6" w:space="0"/>
            </w:tcBorders>
            <w:shd w:val="clear" w:color="auto" w:fill="FFFFFF"/>
            <w:tcMar>
              <w:top w:w="0" w:type="dxa"/>
              <w:left w:w="0" w:type="dxa"/>
              <w:bottom w:w="0" w:type="dxa"/>
              <w:right w:w="0" w:type="dxa"/>
            </w:tcMar>
            <w:vAlign w:val="center"/>
          </w:tcPr>
          <w:p w14:paraId="4FA54A5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left"/>
            </w:pPr>
            <w:r>
              <w:rPr>
                <w:rFonts w:hint="eastAsia" w:ascii="宋体" w:hAnsi="宋体" w:eastAsia="宋体" w:cs="宋体"/>
                <w:b/>
                <w:bCs/>
                <w:i w:val="0"/>
                <w:iCs w:val="0"/>
                <w:caps w:val="0"/>
                <w:color w:val="000000"/>
                <w:spacing w:val="0"/>
                <w:sz w:val="24"/>
                <w:szCs w:val="24"/>
              </w:rPr>
              <w:t>　体育场地设施建设</w:t>
            </w:r>
          </w:p>
        </w:tc>
        <w:tc>
          <w:tcPr>
            <w:tcW w:w="1154" w:type="dxa"/>
            <w:tcBorders>
              <w:left w:val="single" w:color="000000" w:sz="6" w:space="0"/>
              <w:bottom w:val="single" w:color="000000" w:sz="12" w:space="0"/>
              <w:right w:val="single" w:color="000000" w:sz="6" w:space="0"/>
            </w:tcBorders>
            <w:shd w:val="clear" w:color="auto" w:fill="FFFFFF"/>
            <w:tcMar>
              <w:top w:w="0" w:type="dxa"/>
              <w:left w:w="0" w:type="dxa"/>
              <w:bottom w:w="0" w:type="dxa"/>
              <w:right w:w="0" w:type="dxa"/>
            </w:tcMar>
            <w:vAlign w:val="center"/>
          </w:tcPr>
          <w:p w14:paraId="749DE9C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999</w:t>
            </w:r>
          </w:p>
        </w:tc>
        <w:tc>
          <w:tcPr>
            <w:tcW w:w="1154" w:type="dxa"/>
            <w:tcBorders>
              <w:left w:val="single" w:color="000000" w:sz="6" w:space="0"/>
              <w:bottom w:val="single" w:color="000000" w:sz="12" w:space="0"/>
              <w:right w:val="single" w:color="000000" w:sz="6" w:space="0"/>
            </w:tcBorders>
            <w:shd w:val="clear" w:color="auto" w:fill="FFFFFF"/>
            <w:tcMar>
              <w:top w:w="0" w:type="dxa"/>
              <w:left w:w="0" w:type="dxa"/>
              <w:bottom w:w="0" w:type="dxa"/>
              <w:right w:w="0" w:type="dxa"/>
            </w:tcMar>
            <w:vAlign w:val="center"/>
          </w:tcPr>
          <w:p w14:paraId="4458049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2.7</w:t>
            </w:r>
          </w:p>
        </w:tc>
        <w:tc>
          <w:tcPr>
            <w:tcW w:w="1154" w:type="dxa"/>
            <w:tcBorders>
              <w:left w:val="single" w:color="000000" w:sz="6" w:space="0"/>
              <w:bottom w:val="single" w:color="000000" w:sz="12" w:space="0"/>
              <w:right w:val="single" w:color="000000" w:sz="6" w:space="0"/>
            </w:tcBorders>
            <w:shd w:val="clear" w:color="auto" w:fill="FFFFFF"/>
            <w:tcMar>
              <w:top w:w="0" w:type="dxa"/>
              <w:left w:w="0" w:type="dxa"/>
              <w:bottom w:w="0" w:type="dxa"/>
              <w:right w:w="0" w:type="dxa"/>
            </w:tcMar>
            <w:vAlign w:val="center"/>
          </w:tcPr>
          <w:p w14:paraId="0FCA0A9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234</w:t>
            </w:r>
          </w:p>
        </w:tc>
        <w:tc>
          <w:tcPr>
            <w:tcW w:w="1162" w:type="dxa"/>
            <w:tcBorders>
              <w:left w:val="single" w:color="000000" w:sz="6" w:space="0"/>
              <w:bottom w:val="single" w:color="000000" w:sz="12" w:space="0"/>
            </w:tcBorders>
            <w:shd w:val="clear" w:color="auto" w:fill="FFFFFF"/>
            <w:tcMar>
              <w:top w:w="0" w:type="dxa"/>
              <w:left w:w="0" w:type="dxa"/>
              <w:bottom w:w="0" w:type="dxa"/>
              <w:right w:w="0" w:type="dxa"/>
            </w:tcMar>
            <w:vAlign w:val="center"/>
          </w:tcPr>
          <w:p w14:paraId="74A533B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right"/>
              <w:textAlignment w:val="center"/>
            </w:pPr>
            <w:r>
              <w:rPr>
                <w:rFonts w:hint="default" w:ascii="Times New Roman" w:hAnsi="Times New Roman" w:cs="Times New Roman"/>
                <w:i w:val="0"/>
                <w:iCs w:val="0"/>
                <w:caps w:val="0"/>
                <w:color w:val="000000"/>
                <w:spacing w:val="0"/>
                <w:sz w:val="24"/>
                <w:szCs w:val="24"/>
              </w:rPr>
              <w:t>1.6</w:t>
            </w:r>
          </w:p>
        </w:tc>
      </w:tr>
      <w:tr w14:paraId="124C9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3" w:hRule="atLeast"/>
        </w:trPr>
        <w:tc>
          <w:tcPr>
            <w:tcW w:w="9638" w:type="dxa"/>
            <w:gridSpan w:val="5"/>
            <w:tcBorders>
              <w:top w:val="single" w:color="000000" w:sz="12" w:space="0"/>
            </w:tcBorders>
            <w:shd w:val="clear" w:color="auto" w:fill="FFFFFF"/>
            <w:tcMar>
              <w:top w:w="0" w:type="dxa"/>
              <w:left w:w="0" w:type="dxa"/>
              <w:bottom w:w="0" w:type="dxa"/>
              <w:right w:w="0" w:type="dxa"/>
            </w:tcMar>
            <w:vAlign w:val="center"/>
          </w:tcPr>
          <w:p w14:paraId="1EBEE24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57" w:right="57"/>
              <w:jc w:val="left"/>
              <w:textAlignment w:val="center"/>
            </w:pPr>
            <w:r>
              <w:rPr>
                <w:rFonts w:hint="eastAsia" w:ascii="楷体" w:hAnsi="楷体" w:eastAsia="楷体" w:cs="楷体"/>
                <w:i w:val="0"/>
                <w:iCs w:val="0"/>
                <w:caps w:val="0"/>
                <w:color w:val="000000"/>
                <w:spacing w:val="0"/>
                <w:sz w:val="24"/>
                <w:szCs w:val="24"/>
              </w:rPr>
              <w:t>注：若数据分项合计与总计不等，是由于数值修约误差所致。</w:t>
            </w:r>
          </w:p>
        </w:tc>
      </w:tr>
    </w:tbl>
    <w:p w14:paraId="7E66DE3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80" w:lineRule="atLeast"/>
        <w:ind w:left="0" w:right="0" w:firstLine="0"/>
        <w:jc w:val="both"/>
        <w:rPr>
          <w:rFonts w:hint="default" w:ascii="Calibri" w:hAnsi="Calibri" w:cs="Calibri"/>
          <w:i w:val="0"/>
          <w:iCs w:val="0"/>
          <w:caps w:val="0"/>
          <w:color w:val="000000"/>
          <w:spacing w:val="0"/>
          <w:sz w:val="24"/>
          <w:szCs w:val="24"/>
        </w:rPr>
      </w:pPr>
      <w:r>
        <w:rPr>
          <w:rFonts w:hint="default" w:ascii="Times New Roman" w:hAnsi="Times New Roman" w:cs="Times New Roman"/>
          <w:i w:val="0"/>
          <w:iCs w:val="0"/>
          <w:caps w:val="0"/>
          <w:color w:val="000000"/>
          <w:spacing w:val="0"/>
          <w:sz w:val="24"/>
          <w:szCs w:val="24"/>
          <w:shd w:val="clear" w:fill="FFFFFF"/>
        </w:rPr>
        <w:t> </w:t>
      </w:r>
    </w:p>
    <w:p w14:paraId="708DBCD9">
      <w:pPr>
        <w:pStyle w:val="2"/>
        <w:bidi w:val="0"/>
        <w:rPr>
          <w:rFonts w:hint="default"/>
          <w:lang w:val="en-US" w:eastAsia="zh-CN"/>
        </w:rPr>
      </w:pPr>
      <w:r>
        <w:rPr>
          <w:rFonts w:hint="eastAsia"/>
          <w:lang w:val="en-US" w:eastAsia="zh-CN"/>
        </w:rPr>
        <w:t>专家展望：体育产业结构优化 潜能巨大</w:t>
      </w:r>
    </w:p>
    <w:p w14:paraId="28696E5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近年来，我国体育产业呈现出蓬勃发展的良好态势，体育产业的相关数据也一直是行业关注的焦点之一。日前，国家统计局、国家体育总局发布了2023年全国体育产业总规模与增加值数据公告。体育产业专家们在接受记者采访时表示，这一数据展现了体育产业结构持续优化的趋势，体育产业未来发展的潜力依然很大。</w:t>
      </w:r>
    </w:p>
    <w:p w14:paraId="296C7549">
      <w:pPr>
        <w:pStyle w:val="5"/>
        <w:keepNext w:val="0"/>
        <w:keepLines w:val="0"/>
        <w:pageBreakBefore w:val="0"/>
        <w:widowControl w:val="0"/>
        <w:suppressLineNumbers w:val="0"/>
        <w:suppressAutoHyphens w:val="0"/>
        <w:kinsoku/>
        <w:wordWrap/>
        <w:overflowPunct/>
        <w:topLinePunct w:val="0"/>
        <w:autoSpaceDE w:val="0"/>
        <w:autoSpaceDN/>
        <w:bidi w:val="0"/>
        <w:adjustRightInd/>
        <w:snapToGrid/>
        <w:spacing w:before="132" w:beforeAutospacing="0" w:after="372" w:afterAutospacing="0" w:line="240" w:lineRule="auto"/>
        <w:ind w:left="0" w:right="0" w:firstLine="643" w:firstLineChars="200"/>
        <w:jc w:val="both"/>
        <w:textAlignment w:val="auto"/>
        <w:rPr>
          <w:rFonts w:hint="eastAsia" w:ascii="黑体" w:hAnsi="黑体" w:eastAsia="黑体" w:cs="黑体"/>
          <w:b/>
          <w:bCs/>
          <w:strike w:val="0"/>
          <w:color w:val="auto"/>
          <w:spacing w:val="0"/>
          <w:kern w:val="21"/>
          <w:sz w:val="32"/>
          <w:szCs w:val="32"/>
          <w:highlight w:val="none"/>
          <w:lang w:val="en-US" w:eastAsia="zh-CN" w:bidi="ar"/>
        </w:rPr>
      </w:pPr>
      <w:r>
        <w:rPr>
          <w:rFonts w:hint="eastAsia" w:ascii="黑体" w:hAnsi="黑体" w:eastAsia="黑体" w:cs="黑体"/>
          <w:b/>
          <w:bCs/>
          <w:strike w:val="0"/>
          <w:color w:val="auto"/>
          <w:spacing w:val="0"/>
          <w:kern w:val="21"/>
          <w:sz w:val="32"/>
          <w:szCs w:val="32"/>
          <w:highlight w:val="none"/>
          <w:lang w:val="en-US" w:eastAsia="zh-CN" w:bidi="ar"/>
        </w:rPr>
        <w:t>产业结构进一步优化</w:t>
      </w:r>
    </w:p>
    <w:p w14:paraId="1DECEFD6">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公告显示，根据第五次全国经济普查结果，2023年全国体育产业总规模（总产出）为36741亿元，增加值为14915亿元。从内部构成看，2023年体育服务业增加值为10849亿元，占体育产业增加值的比重为72.7%，比上年提高2.1个百分点。</w:t>
      </w:r>
    </w:p>
    <w:p w14:paraId="79F492A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浙江大学国家体育产业研究基地主任周丽君表示，从数据上来看，体育服务业已经从2022年占总值的53.9%增长到2023年占总值的57.3%，这意味着中国体育产业结构优化取得一定成效。“</w:t>
      </w:r>
      <w:bookmarkStart w:id="3" w:name="OLE_LINK2"/>
      <w:r>
        <w:rPr>
          <w:rFonts w:hint="eastAsia" w:ascii="华文仿宋" w:hAnsi="华文仿宋" w:eastAsia="华文仿宋" w:cs="华文仿宋"/>
          <w:strike w:val="0"/>
          <w:color w:val="auto"/>
          <w:spacing w:val="0"/>
          <w:kern w:val="21"/>
          <w:sz w:val="32"/>
          <w:szCs w:val="32"/>
          <w:highlight w:val="none"/>
          <w:lang w:val="en-US" w:eastAsia="zh-CN" w:bidi="ar"/>
        </w:rPr>
        <w:t>体育竞赛表演活动与健身休闲活动两大重点板块实现稳步增长</w:t>
      </w:r>
      <w:bookmarkEnd w:id="3"/>
      <w:r>
        <w:rPr>
          <w:rFonts w:hint="eastAsia" w:ascii="华文仿宋" w:hAnsi="华文仿宋" w:eastAsia="华文仿宋" w:cs="华文仿宋"/>
          <w:strike w:val="0"/>
          <w:color w:val="auto"/>
          <w:spacing w:val="0"/>
          <w:kern w:val="21"/>
          <w:sz w:val="32"/>
          <w:szCs w:val="32"/>
          <w:highlight w:val="none"/>
          <w:lang w:val="en-US" w:eastAsia="zh-CN" w:bidi="ar"/>
        </w:rPr>
        <w:t>。作为体育服务业最活跃的两大细分领域，赛事和全民健身活动的健康发展，在一定程度上也会使得体育传媒与信息服务业的变现能力更为可观，以此实现体育产业中各子产业的同步发展。”周丽君说。</w:t>
      </w:r>
    </w:p>
    <w:p w14:paraId="2219200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上海交通大学中国体育与健康产业研究中心主任王振宇认为，这样的数据变化代表了体育用品企业向“服务化”转型加速、体育消费进一步增长、产业融合更加深入等趋势。他说：“越来越多的体育用品企业从单一的产品生产向提供整体解决方案转变，实现了制造业服务化。厂商开始更侧重</w:t>
      </w:r>
      <w:bookmarkStart w:id="5" w:name="_GoBack"/>
      <w:bookmarkEnd w:id="5"/>
      <w:r>
        <w:rPr>
          <w:rFonts w:hint="eastAsia" w:ascii="华文仿宋" w:hAnsi="华文仿宋" w:eastAsia="华文仿宋" w:cs="华文仿宋"/>
          <w:strike w:val="0"/>
          <w:color w:val="auto"/>
          <w:spacing w:val="0"/>
          <w:kern w:val="21"/>
          <w:sz w:val="32"/>
          <w:szCs w:val="32"/>
          <w:highlight w:val="none"/>
          <w:lang w:val="en-US" w:eastAsia="zh-CN" w:bidi="ar"/>
        </w:rPr>
        <w:t>提供‘一体化方案’，以满足不同使用人群和应用场景的需求。”</w:t>
      </w:r>
    </w:p>
    <w:p w14:paraId="493CFC2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一方面是服务业有了进一步增长，使得整个产业结构更加合理。另一方面，说明体育用品制造业中的很大一部分企业开始做‘全产业链’，比如培训、赛事等，很多大品牌已经开始打造商业生态体系。预计未来服务业占比会进一步增加。”北京体育大学教授肖淑红说。</w:t>
      </w:r>
    </w:p>
    <w:p w14:paraId="120762F3">
      <w:pPr>
        <w:pStyle w:val="5"/>
        <w:keepNext w:val="0"/>
        <w:keepLines w:val="0"/>
        <w:pageBreakBefore w:val="0"/>
        <w:widowControl w:val="0"/>
        <w:suppressLineNumbers w:val="0"/>
        <w:suppressAutoHyphens w:val="0"/>
        <w:kinsoku/>
        <w:wordWrap/>
        <w:overflowPunct/>
        <w:topLinePunct w:val="0"/>
        <w:autoSpaceDE w:val="0"/>
        <w:autoSpaceDN/>
        <w:bidi w:val="0"/>
        <w:adjustRightInd/>
        <w:snapToGrid/>
        <w:spacing w:before="132" w:beforeAutospacing="0" w:after="372" w:afterAutospacing="0" w:line="240" w:lineRule="auto"/>
        <w:ind w:left="0" w:right="0" w:firstLine="643" w:firstLineChars="200"/>
        <w:jc w:val="both"/>
        <w:textAlignment w:val="auto"/>
        <w:rPr>
          <w:rFonts w:hint="eastAsia" w:ascii="黑体" w:hAnsi="黑体" w:eastAsia="黑体" w:cs="黑体"/>
          <w:b/>
          <w:bCs/>
          <w:strike w:val="0"/>
          <w:color w:val="auto"/>
          <w:spacing w:val="0"/>
          <w:kern w:val="21"/>
          <w:sz w:val="32"/>
          <w:szCs w:val="32"/>
          <w:highlight w:val="none"/>
          <w:lang w:val="en-US" w:eastAsia="zh-CN" w:bidi="ar"/>
        </w:rPr>
      </w:pPr>
      <w:r>
        <w:rPr>
          <w:rFonts w:hint="eastAsia" w:ascii="黑体" w:hAnsi="黑体" w:eastAsia="黑体" w:cs="黑体"/>
          <w:b/>
          <w:bCs/>
          <w:strike w:val="0"/>
          <w:color w:val="auto"/>
          <w:spacing w:val="0"/>
          <w:kern w:val="21"/>
          <w:sz w:val="32"/>
          <w:szCs w:val="32"/>
          <w:highlight w:val="none"/>
          <w:lang w:val="en-US" w:eastAsia="zh-CN" w:bidi="ar"/>
        </w:rPr>
        <w:t>体育产业展现出强大带动力</w:t>
      </w:r>
    </w:p>
    <w:p w14:paraId="32EE9D4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专家们认为，从数据上看，体育产业总规模和增加值的增长幅度一直十分可观，2023年全国体育产业总规模和增加值比上年分别增长11.31%、13.92%。与此同时，在增长的过程中，体育产业带动其他产业发展的趋势也愈加明显。</w:t>
      </w:r>
    </w:p>
    <w:p w14:paraId="2A36C126">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王振宇表示，体育产业具有推动区域间协调发展、促进全民健身与健康、推动公益与环保事业等方面的重要作用，体育产业与文化、旅游、商业、会展的融合发展也逐步深入。</w:t>
      </w:r>
    </w:p>
    <w:p w14:paraId="2A373656">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肖淑红认为，体育产业是融合的产业，融合发展是体育产业发展中很大的亮点。在融合发展的过程中，体育产业的商业生态体系初步形成。有了赛事和平台，体教融合、体旅融合等“体育+”的形态就有了发挥空间。</w:t>
      </w:r>
    </w:p>
    <w:p w14:paraId="2DD5869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她表示，近年来，体育产业的发展越来越多元化，不仅消费者有了更多的选择，而且企业在运用体育作为发展手段方面也更加驾轻就熟。“原来赞助商对于如何利用体育做营销不是很熟悉，现在，无论是国际比赛还是国内比赛，我们都看到越来越多的企业利用赛事等平台做营销。我的感受是，业态多元化、产品多元化、利益多元化。”</w:t>
      </w:r>
    </w:p>
    <w:p w14:paraId="14C0558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周丽君对户外运动产业和科技创新的赋能作用印象深刻。“近年来，随着户外运动如露营、飞盘、骑行、冰雪运动等火遍全国，国家体育总局会同相关部门出台了推动户外运动发展的政策，多个省市也出台了户外运动产业发展规划或行动计划，户外运动的兴起为体育产业带来了新的经济增长点。从产业外部刺激来讲，科技创新起到了很强的赋能作用。拿体育服务业来说，互联网、大数据、人工智能等新技术的应用极大提升了体育产业的服务水平和用户体验。例如，智能穿戴设备可以帮助健身者实时监测生理指标，虚拟现实（VR）和增强现实（AR）技术也被应用于健身训练指导中，这些</w:t>
      </w:r>
      <w:bookmarkStart w:id="4" w:name="OLE_LINK3"/>
      <w:r>
        <w:rPr>
          <w:rFonts w:hint="eastAsia" w:ascii="华文仿宋" w:hAnsi="华文仿宋" w:eastAsia="华文仿宋" w:cs="华文仿宋"/>
          <w:strike w:val="0"/>
          <w:color w:val="auto"/>
          <w:spacing w:val="0"/>
          <w:kern w:val="21"/>
          <w:sz w:val="32"/>
          <w:szCs w:val="32"/>
          <w:highlight w:val="none"/>
          <w:lang w:val="en-US" w:eastAsia="zh-CN" w:bidi="ar"/>
        </w:rPr>
        <w:t>科技创新为体育产业注入了新的活力。</w:t>
      </w:r>
      <w:bookmarkEnd w:id="4"/>
      <w:r>
        <w:rPr>
          <w:rFonts w:hint="eastAsia" w:ascii="华文仿宋" w:hAnsi="华文仿宋" w:eastAsia="华文仿宋" w:cs="华文仿宋"/>
          <w:strike w:val="0"/>
          <w:color w:val="auto"/>
          <w:spacing w:val="0"/>
          <w:kern w:val="21"/>
          <w:sz w:val="32"/>
          <w:szCs w:val="32"/>
          <w:highlight w:val="none"/>
          <w:lang w:val="en-US" w:eastAsia="zh-CN" w:bidi="ar"/>
        </w:rPr>
        <w:t>”周丽君说。</w:t>
      </w:r>
    </w:p>
    <w:p w14:paraId="7D41CD12">
      <w:pPr>
        <w:pStyle w:val="5"/>
        <w:keepNext w:val="0"/>
        <w:keepLines w:val="0"/>
        <w:pageBreakBefore w:val="0"/>
        <w:widowControl w:val="0"/>
        <w:suppressLineNumbers w:val="0"/>
        <w:suppressAutoHyphens w:val="0"/>
        <w:kinsoku/>
        <w:wordWrap/>
        <w:overflowPunct/>
        <w:topLinePunct w:val="0"/>
        <w:autoSpaceDE w:val="0"/>
        <w:autoSpaceDN/>
        <w:bidi w:val="0"/>
        <w:adjustRightInd/>
        <w:snapToGrid/>
        <w:spacing w:before="132" w:beforeAutospacing="0" w:after="372" w:afterAutospacing="0" w:line="240" w:lineRule="auto"/>
        <w:ind w:left="0" w:right="0" w:firstLine="643" w:firstLineChars="200"/>
        <w:jc w:val="both"/>
        <w:textAlignment w:val="auto"/>
        <w:rPr>
          <w:rFonts w:hint="eastAsia" w:ascii="黑体" w:hAnsi="黑体" w:eastAsia="黑体" w:cs="黑体"/>
          <w:b/>
          <w:bCs/>
          <w:strike w:val="0"/>
          <w:color w:val="auto"/>
          <w:spacing w:val="0"/>
          <w:kern w:val="21"/>
          <w:sz w:val="32"/>
          <w:szCs w:val="32"/>
          <w:highlight w:val="none"/>
          <w:lang w:val="en-US" w:eastAsia="zh-CN" w:bidi="ar"/>
        </w:rPr>
      </w:pPr>
      <w:r>
        <w:rPr>
          <w:rFonts w:hint="eastAsia" w:ascii="黑体" w:hAnsi="黑体" w:eastAsia="黑体" w:cs="黑体"/>
          <w:b/>
          <w:bCs/>
          <w:strike w:val="0"/>
          <w:color w:val="auto"/>
          <w:spacing w:val="0"/>
          <w:kern w:val="21"/>
          <w:sz w:val="32"/>
          <w:szCs w:val="32"/>
          <w:highlight w:val="none"/>
          <w:lang w:val="en-US" w:eastAsia="zh-CN" w:bidi="ar"/>
        </w:rPr>
        <w:t>体育产业增长潜力巨大</w:t>
      </w:r>
    </w:p>
    <w:p w14:paraId="17E1E5E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2019年，国务院办公厅发布《关于促进全民健身和体育消费推动体育产业高质量发展的意见》。该《意见》从10方面提出35条举措，指出要强化体育产业要素保障，激发市场活力和消费热情，推动体育产业成为国民经济支柱性产业。</w:t>
      </w:r>
    </w:p>
    <w:p w14:paraId="26BE5C5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专家们认为，从目前的发展趋势看，体育产业的发展潜力依然很大，正在一步一步成为国民经济的“新支柱”。</w:t>
      </w:r>
    </w:p>
    <w:p w14:paraId="1B11814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肖淑红说：“体育产业还有很大的潜力没挖掘出来。体育符合人们对美好生活的向往，而且体育的市场远远没有饱和。从消费端看，人们对于体育的需求还没有得到充分满足，这也给我们的供给端留下了很大的发展空间。”</w:t>
      </w:r>
    </w:p>
    <w:p w14:paraId="13CE626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王振宇说：“在未来，我们应加强体育产品与服务的科技价值，发挥我国科技发展的优势，以人工智能与数字化技术赋能传统体育产品。”</w:t>
      </w:r>
    </w:p>
    <w:p w14:paraId="044ACA14">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周丽君表示：“未来，我国体育产业将在政策支持和市场需求的双重驱动下不断提供各种类型的体育产品和服务，以满足人民群众对美好生活的追求，为全面建设体育强国贡献力量。”</w:t>
      </w:r>
    </w:p>
    <w:p w14:paraId="5A281419">
      <w:pPr>
        <w:keepNext w:val="0"/>
        <w:keepLines w:val="0"/>
        <w:pageBreakBefore w:val="0"/>
        <w:widowControl w:val="0"/>
        <w:kinsoku/>
        <w:wordWrap/>
        <w:overflowPunct/>
        <w:topLinePunct w:val="0"/>
        <w:autoSpaceDE/>
        <w:autoSpaceDN/>
        <w:bidi w:val="0"/>
        <w:adjustRightInd/>
        <w:snapToGrid/>
        <w:spacing w:before="132" w:after="378" w:line="240" w:lineRule="auto"/>
        <w:ind w:firstLine="641" w:firstLineChars="200"/>
        <w:textAlignment w:val="auto"/>
        <w:rPr>
          <w:rFonts w:hint="eastAsia" w:ascii="华文仿宋" w:hAnsi="华文仿宋" w:eastAsia="华文仿宋" w:cs="华文仿宋"/>
          <w:b/>
          <w:bCs/>
          <w:i w:val="0"/>
          <w:iCs w:val="0"/>
          <w:caps w:val="0"/>
          <w:snapToGrid/>
          <w:color w:val="333333"/>
          <w:spacing w:val="0"/>
          <w:kern w:val="0"/>
          <w:sz w:val="32"/>
          <w:szCs w:val="32"/>
          <w:shd w:val="clear" w:fill="FFFFFF"/>
          <w:lang w:val="en-US" w:eastAsia="zh-CN" w:bidi="ar"/>
        </w:rPr>
      </w:pPr>
      <w:r>
        <w:rPr>
          <w:rFonts w:hint="eastAsia" w:ascii="华文仿宋" w:hAnsi="华文仿宋" w:eastAsia="华文仿宋" w:cs="华文仿宋"/>
          <w:b/>
          <w:bCs/>
          <w:i w:val="0"/>
          <w:iCs w:val="0"/>
          <w:caps w:val="0"/>
          <w:snapToGrid/>
          <w:color w:val="333333"/>
          <w:spacing w:val="0"/>
          <w:kern w:val="0"/>
          <w:sz w:val="32"/>
          <w:szCs w:val="32"/>
          <w:shd w:val="clear" w:fill="FFFFFF"/>
          <w:lang w:val="en-US" w:eastAsia="zh-CN" w:bidi="ar"/>
        </w:rPr>
        <w:t>公告主要有以下几点需我司关注：</w:t>
      </w:r>
    </w:p>
    <w:p w14:paraId="09E1A56D">
      <w:pPr>
        <w:numPr>
          <w:ilvl w:val="0"/>
          <w:numId w:val="2"/>
        </w:numPr>
        <w:ind w:left="0" w:leftChars="0" w:firstLine="640" w:firstLineChars="200"/>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产业结构优化。体育竞赛表演活动与健身休闲活动两大重点板块实现稳步增长。体育用品制造业中的很大一部分企业开始做‘全产业链’，比如培训、赛事等。我司要紧跟产业结构优化步伐，提升培训内容的专业性与创新性，开发新的培训课程，以适应市场对体育产业需求的变化。</w:t>
      </w:r>
    </w:p>
    <w:p w14:paraId="46D467C4">
      <w:pPr>
        <w:pStyle w:val="5"/>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leftChars="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体育融合发展。体育产业与文化、旅游、商业、会展的融合发展逐步深入。有了赛事和平台，体教融合、体旅融合等“体育+”的形态。我司需加强与其他体育相关产业的合作，与相关公司合作，实现资源共享、优势互补，推动体育产业全面发展。</w:t>
      </w:r>
    </w:p>
    <w:p w14:paraId="5D459FF5">
      <w:pPr>
        <w:pStyle w:val="5"/>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leftChars="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户外运动兴起。随着户外运动如露营、飞盘、骑行、冰雪运动等火遍全国，国家体育总局会同相关部门出台了推动户外运动发展的政策，多个省市也出台了户外运动产业发展规划或行动计划，户外运动</w:t>
      </w:r>
      <w:r>
        <w:rPr>
          <w:rFonts w:hint="eastAsia" w:eastAsia="宋体"/>
          <w:lang w:eastAsia="zh-CN"/>
        </w:rPr>
        <w:drawing>
          <wp:anchor distT="0" distB="0" distL="114300" distR="114300" simplePos="0" relativeHeight="251660288" behindDoc="0" locked="0" layoutInCell="1" allowOverlap="1">
            <wp:simplePos x="0" y="0"/>
            <wp:positionH relativeFrom="column">
              <wp:posOffset>-800100</wp:posOffset>
            </wp:positionH>
            <wp:positionV relativeFrom="paragraph">
              <wp:posOffset>-5505450</wp:posOffset>
            </wp:positionV>
            <wp:extent cx="1971675" cy="575310"/>
            <wp:effectExtent l="0" t="0" r="0" b="0"/>
            <wp:wrapTopAndBottom/>
            <wp:docPr id="6" name="图片 6"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5f8194bf58c3f65bfdb8fa98540f37"/>
                    <pic:cNvPicPr>
                      <a:picLocks noChangeAspect="1"/>
                    </pic:cNvPicPr>
                  </pic:nvPicPr>
                  <pic:blipFill>
                    <a:blip r:embed="rId6"/>
                    <a:srcRect l="17385" t="30318" r="19387" b="36175"/>
                    <a:stretch>
                      <a:fillRect/>
                    </a:stretch>
                  </pic:blipFill>
                  <pic:spPr>
                    <a:xfrm>
                      <a:off x="0" y="0"/>
                      <a:ext cx="1971675" cy="575310"/>
                    </a:xfrm>
                    <a:prstGeom prst="rect">
                      <a:avLst/>
                    </a:prstGeom>
                  </pic:spPr>
                </pic:pic>
              </a:graphicData>
            </a:graphic>
          </wp:anchor>
        </w:drawing>
      </w:r>
      <w:r>
        <w:rPr>
          <w:rFonts w:hint="eastAsia" w:ascii="华文仿宋" w:hAnsi="华文仿宋" w:eastAsia="华文仿宋" w:cs="华文仿宋"/>
          <w:strike w:val="0"/>
          <w:color w:val="auto"/>
          <w:spacing w:val="0"/>
          <w:kern w:val="21"/>
          <w:sz w:val="32"/>
          <w:szCs w:val="32"/>
          <w:highlight w:val="none"/>
          <w:lang w:val="en-US" w:eastAsia="zh-CN" w:bidi="ar"/>
        </w:rPr>
        <w:t>的兴起为体育产业带来了新的经济增长点。我司应探索新兴体育项目发展，拓展场馆功能，满足不同用户需求。</w:t>
      </w:r>
    </w:p>
    <w:p w14:paraId="7B83E25D">
      <w:pPr>
        <w:pStyle w:val="5"/>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32" w:beforeAutospacing="0" w:after="372" w:afterAutospacing="0" w:line="240" w:lineRule="auto"/>
        <w:ind w:left="0" w:leftChars="0" w:right="0" w:firstLine="640" w:firstLineChars="200"/>
        <w:jc w:val="both"/>
        <w:textAlignment w:val="auto"/>
        <w:rPr>
          <w:rFonts w:hint="eastAsia" w:ascii="华文仿宋" w:hAnsi="华文仿宋" w:eastAsia="华文仿宋" w:cs="华文仿宋"/>
          <w:strike w:val="0"/>
          <w:color w:val="auto"/>
          <w:spacing w:val="0"/>
          <w:kern w:val="21"/>
          <w:sz w:val="32"/>
          <w:szCs w:val="32"/>
          <w:highlight w:val="none"/>
          <w:lang w:val="en-US" w:eastAsia="zh-CN" w:bidi="ar"/>
        </w:rPr>
      </w:pPr>
      <w:r>
        <w:rPr>
          <w:rFonts w:hint="eastAsia" w:ascii="华文仿宋" w:hAnsi="华文仿宋" w:eastAsia="华文仿宋" w:cs="华文仿宋"/>
          <w:strike w:val="0"/>
          <w:color w:val="auto"/>
          <w:spacing w:val="0"/>
          <w:kern w:val="21"/>
          <w:sz w:val="32"/>
          <w:szCs w:val="32"/>
          <w:highlight w:val="none"/>
          <w:lang w:val="en-US" w:eastAsia="zh-CN" w:bidi="ar"/>
        </w:rPr>
        <w:t>体育科技创新。互联网、大数据、人工智能等新技术的应用极大提升了体育产业的服务水平和用户体验。科技创新为体育产业注入了新的活力。我司可对场馆设施进行更新换代，如增加智能设备，提升服务水平与用户体验。</w:t>
      </w: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decorative"/>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0000600000000000000"/>
    <w:charset w:val="86"/>
    <w:family w:val="auto"/>
    <w:pitch w:val="default"/>
    <w:sig w:usb0="800002BF" w:usb1="184F6CF8" w:usb2="00000012" w:usb3="00000000" w:csb0="00160001" w:csb1="12030000"/>
  </w:font>
  <w:font w:name="华文仿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0429D">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3EDAC6">
                          <w:pPr>
                            <w:pStyle w:val="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03EDAC6">
                    <w:pPr>
                      <w:pStyle w:val="3"/>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50575">
    <w:pPr>
      <w:pStyle w:val="4"/>
    </w:pPr>
    <w:r>
      <w:rPr>
        <w:rFonts w:hint="eastAsia" w:eastAsia="宋体"/>
        <w:lang w:eastAsia="zh-CN"/>
      </w:rPr>
      <w:drawing>
        <wp:anchor distT="0" distB="0" distL="114300" distR="114300" simplePos="0" relativeHeight="251661312" behindDoc="0" locked="0" layoutInCell="1" allowOverlap="1">
          <wp:simplePos x="0" y="0"/>
          <wp:positionH relativeFrom="column">
            <wp:posOffset>-800100</wp:posOffset>
          </wp:positionH>
          <wp:positionV relativeFrom="paragraph">
            <wp:posOffset>-225425</wp:posOffset>
          </wp:positionV>
          <wp:extent cx="1971675" cy="575310"/>
          <wp:effectExtent l="0" t="0" r="0" b="0"/>
          <wp:wrapTopAndBottom/>
          <wp:docPr id="3" name="图片 3"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C03B8A"/>
    <w:multiLevelType w:val="singleLevel"/>
    <w:tmpl w:val="12C03B8A"/>
    <w:lvl w:ilvl="0" w:tentative="0">
      <w:start w:val="1"/>
      <w:numFmt w:val="decimal"/>
      <w:suff w:val="nothing"/>
      <w:lvlText w:val="%1．"/>
      <w:lvlJc w:val="left"/>
      <w:pPr>
        <w:ind w:left="0" w:firstLine="400"/>
      </w:pPr>
      <w:rPr>
        <w:rFonts w:hint="default"/>
      </w:rPr>
    </w:lvl>
  </w:abstractNum>
  <w:abstractNum w:abstractNumId="1">
    <w:nsid w:val="20B00273"/>
    <w:multiLevelType w:val="singleLevel"/>
    <w:tmpl w:val="20B00273"/>
    <w:lvl w:ilvl="0" w:tentative="0">
      <w:start w:val="1"/>
      <w:numFmt w:val="decimal"/>
      <w:suff w:val="nothing"/>
      <w:lvlText w:val="%1．"/>
      <w:lvlJc w:val="left"/>
      <w:pPr>
        <w:ind w:left="0" w:firstLine="4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zMGQzYjEzYjM5NDI5ODg0NTIwMzRhMWZhZmU2NTgifQ=="/>
    <w:docVar w:name="KSO_WPS_MARK_KEY" w:val="13f2c982-a9fa-430d-abde-11d0338a1d96"/>
  </w:docVars>
  <w:rsids>
    <w:rsidRoot w:val="00000000"/>
    <w:rsid w:val="09B557D5"/>
    <w:rsid w:val="170B2FD9"/>
    <w:rsid w:val="540047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center"/>
      <w:outlineLvl w:val="0"/>
    </w:pPr>
    <w:rPr>
      <w:rFonts w:hint="eastAsia" w:ascii="宋体" w:hAnsi="宋体" w:eastAsia="方正小标宋简体" w:cs="宋体"/>
      <w:bCs/>
      <w:kern w:val="44"/>
      <w:sz w:val="44"/>
      <w:szCs w:val="48"/>
      <w:lang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qFormat/>
    <w:uiPriority w:val="0"/>
    <w:rPr>
      <w:color w:val="0000FF"/>
      <w:u w:val="single"/>
    </w:rPr>
  </w:style>
  <w:style w:type="paragraph" w:customStyle="1" w:styleId="11">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9463</Words>
  <Characters>9509</Characters>
  <Lines>0</Lines>
  <Paragraphs>0</Paragraphs>
  <TotalTime>22</TotalTime>
  <ScaleCrop>false</ScaleCrop>
  <LinksUpToDate>false</LinksUpToDate>
  <CharactersWithSpaces>9534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2025-01-22T06:10:00Z</dcterms:created>
  <dc:creator>86173</dc:creator>
  <cp:lastModifiedBy>张琦</cp:lastModifiedBy>
  <dcterms:modified xsi:type="dcterms:W3CDTF">2025-01-23T08:00:18Z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55DC722885CC49AFB18FC5C42CEEDB1F_13</vt:lpwstr>
  </property>
  <property fmtid="{D5CDD505-2E9C-101B-9397-08002B2CF9AE}" pid="4" name="KSOTemplateDocerSaveRecord">
    <vt:lpwstr>eyJoZGlkIjoiZTBhMGQ3Y2UzMDU4Zjk5ZDRkY2IwNjE2NGUwYjA0NjciLCJ1c2VySWQiOiIxNTU1MjU1NjI3In0=</vt:lpwstr>
  </property>
</Properties>
</file>