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AD725">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6432"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16"/>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355949">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3360;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36355949">
                      <w:pPr>
                        <w:rPr>
                          <w:rFonts w:hint="default"/>
                          <w:spacing w:val="57"/>
                          <w:sz w:val="21"/>
                          <w:lang w:val="en-US" w:eastAsia="zh-CN"/>
                        </w:rPr>
                      </w:pPr>
                    </w:p>
                  </w:txbxContent>
                </v:textbox>
              </v:shape>
            </w:pict>
          </mc:Fallback>
        </mc:AlternateContent>
      </w:r>
      <w:r>
        <w:drawing>
          <wp:anchor distT="0" distB="0" distL="114300" distR="114300" simplePos="0" relativeHeight="251664384"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17"/>
                    <a:stretch>
                      <a:fillRect/>
                    </a:stretch>
                  </pic:blipFill>
                  <pic:spPr>
                    <a:xfrm>
                      <a:off x="0" y="0"/>
                      <a:ext cx="7665720" cy="10866120"/>
                    </a:xfrm>
                    <a:prstGeom prst="rect">
                      <a:avLst/>
                    </a:prstGeom>
                    <a:noFill/>
                    <a:ln>
                      <a:noFill/>
                    </a:ln>
                  </pic:spPr>
                </pic:pic>
              </a:graphicData>
            </a:graphic>
          </wp:anchor>
        </w:drawing>
      </w:r>
    </w:p>
    <w:p w14:paraId="06CC9884">
      <w:pPr>
        <w:pStyle w:val="6"/>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65408" behindDoc="0" locked="0" layoutInCell="1" allowOverlap="1">
                <wp:simplePos x="0" y="0"/>
                <wp:positionH relativeFrom="column">
                  <wp:posOffset>-400050</wp:posOffset>
                </wp:positionH>
                <wp:positionV relativeFrom="paragraph">
                  <wp:posOffset>7312660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4E18F">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670564BE">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575.8pt;height:109.5pt;width:455.45pt;z-index:251665408;mso-width-relative:page;mso-height-relative:page;" filled="f" stroked="f" coordsize="21600,21600" o:gfxdata="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zZ9P3eAAAADQEAAA8AAAAAAAAAAQAgAAAA&#10;IgAAAGRycy9kb3ducmV2LnhtbFBLAQIUABQAAAAIAIdO4kBnsSGpPgIAAGsEAAAOAAAAAAAAAAEA&#10;IAAAAC0BAABkcnMvZTJvRG9jLnhtbFBLBQYAAAAABgAGAFkBAADdBQAAAAA=&#10;">
                <v:fill on="f" focussize="0,0"/>
                <v:stroke on="f" weight="0.5pt"/>
                <v:imagedata o:title=""/>
                <o:lock v:ext="edit" aspectratio="f"/>
                <v:textbox>
                  <w:txbxContent>
                    <w:p w14:paraId="3034E18F">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670564BE">
                      <w:pPr>
                        <w:pStyle w:val="6"/>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7813845">
                      <w:pPr>
                        <w:keepNext w:val="0"/>
                        <w:keepLines w:val="0"/>
                        <w:pageBreakBefore w:val="0"/>
                        <w:widowControl/>
                        <w:kinsoku/>
                        <w:wordWrap/>
                        <w:overflowPunct/>
                        <w:topLinePunct w:val="0"/>
                        <w:bidi w:val="0"/>
                        <w:snapToGrid/>
                        <w:spacing w:before="101" w:line="624" w:lineRule="exact"/>
                        <w:jc w:val="center"/>
                        <w:rPr>
                          <w:rFonts w:hint="eastAsia" w:ascii="微软雅黑" w:hAnsi="微软雅黑" w:eastAsia="微软雅黑" w:cs="微软雅黑"/>
                          <w:sz w:val="31"/>
                          <w:szCs w:val="31"/>
                        </w:rPr>
                      </w:pPr>
                      <w:r>
                        <w:rPr>
                          <w:rFonts w:hint="eastAsia" w:ascii="微软雅黑" w:hAnsi="微软雅黑" w:eastAsia="微软雅黑" w:cs="微软雅黑"/>
                          <w:spacing w:val="10"/>
                          <w:position w:val="23"/>
                          <w:sz w:val="31"/>
                          <w:szCs w:val="31"/>
                          <w14:textOutline w14:w="5793" w14:cap="sq" w14:cmpd="sng">
                            <w14:solidFill>
                              <w14:srgbClr w14:val="000000"/>
                            </w14:solidFill>
                            <w14:prstDash w14:val="solid"/>
                            <w14:bevel/>
                          </w14:textOutline>
                        </w:rPr>
                        <w:t>浙江华越体育文化发展有限公司</w:t>
                      </w:r>
                    </w:p>
                    <w:p w14:paraId="369EE95C">
                      <w:pPr>
                        <w:keepNext w:val="0"/>
                        <w:keepLines w:val="0"/>
                        <w:pageBreakBefore w:val="0"/>
                        <w:widowControl/>
                        <w:kinsoku/>
                        <w:wordWrap/>
                        <w:overflowPunct/>
                        <w:topLinePunct w:val="0"/>
                        <w:bidi w:val="0"/>
                        <w:snapToGrid/>
                        <w:spacing w:before="1" w:line="224" w:lineRule="auto"/>
                        <w:jc w:val="center"/>
                        <w:rPr>
                          <w:rFonts w:hint="default" w:ascii="微软雅黑" w:hAnsi="微软雅黑" w:eastAsia="微软雅黑" w:cs="微软雅黑"/>
                          <w:b w:val="0"/>
                          <w:bCs w:val="0"/>
                          <w:color w:val="000000" w:themeColor="text1"/>
                          <w:sz w:val="40"/>
                          <w:szCs w:val="40"/>
                          <w:lang w:val="en-US" w:eastAsia="zh-CN"/>
                          <w14:textFill>
                            <w14:solidFill>
                              <w14:schemeClr w14:val="tx1"/>
                            </w14:solidFill>
                          </w14:textFill>
                        </w:rPr>
                      </w:pP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202</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6</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年</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月</w:t>
                      </w:r>
                      <w:r>
                        <w:rPr>
                          <w:rFonts w:hint="eastAsia" w:ascii="微软雅黑" w:hAnsi="微软雅黑" w:eastAsia="微软雅黑" w:cs="微软雅黑"/>
                          <w:spacing w:val="-4"/>
                          <w:sz w:val="31"/>
                          <w:szCs w:val="31"/>
                          <w:lang w:val="en-US" w:eastAsia="zh-CN"/>
                          <w14:textOutline w14:w="5793" w14:cap="sq" w14:cmpd="sng">
                            <w14:solidFill>
                              <w14:srgbClr w14:val="000000"/>
                            </w14:solidFill>
                            <w14:prstDash w14:val="solid"/>
                            <w14:bevel/>
                          </w14:textOutline>
                        </w:rPr>
                        <w:t>21</w:t>
                      </w:r>
                      <w:r>
                        <w:rPr>
                          <w:rFonts w:hint="eastAsia" w:ascii="微软雅黑" w:hAnsi="微软雅黑" w:eastAsia="微软雅黑" w:cs="微软雅黑"/>
                          <w:spacing w:val="-4"/>
                          <w:sz w:val="31"/>
                          <w:szCs w:val="31"/>
                          <w14:textOutline w14:w="5793" w14:cap="sq" w14:cmpd="sng">
                            <w14:solidFill>
                              <w14:srgbClr w14:val="000000"/>
                            </w14:solidFill>
                            <w14:prstDash w14:val="solid"/>
                            <w14:bevel/>
                          </w14:textOutline>
                        </w:rPr>
                        <w:t>日</w:t>
                      </w:r>
                    </w:p>
                    <w:p w14:paraId="426CC18E">
                      <w:pPr>
                        <w:jc w:val="left"/>
                        <w:rPr>
                          <w:rFonts w:hint="eastAsia" w:ascii="微软雅黑" w:hAnsi="微软雅黑" w:eastAsia="微软雅黑" w:cs="微软雅黑"/>
                          <w:b w:val="0"/>
                          <w:bCs w:val="0"/>
                          <w:color w:val="000000" w:themeColor="text1"/>
                          <w:sz w:val="48"/>
                          <w:szCs w:val="56"/>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97741">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 xml:space="preserve">余杭区文化村实验学校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2336;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14:paraId="1C197741">
                      <w:pPr>
                        <w:pStyle w:val="12"/>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微软雅黑" w:hAnsi="微软雅黑" w:eastAsia="微软雅黑" w:cs="mn-cs"/>
                          <w:b w:val="0"/>
                          <w:bCs w:val="0"/>
                          <w:color w:val="A6A6A6" w:themeColor="background1" w:themeShade="A6"/>
                          <w:kern w:val="24"/>
                          <w:sz w:val="44"/>
                          <w:szCs w:val="44"/>
                        </w:rPr>
                        <w:t>（杭州市</w:t>
                      </w:r>
                      <w:r>
                        <w:rPr>
                          <w:rFonts w:hint="eastAsia" w:ascii="微软雅黑" w:hAnsi="微软雅黑" w:eastAsia="微软雅黑" w:cs="mn-cs"/>
                          <w:b w:val="0"/>
                          <w:bCs w:val="0"/>
                          <w:color w:val="A6A6A6" w:themeColor="background1" w:themeShade="A6"/>
                          <w:kern w:val="24"/>
                          <w:sz w:val="44"/>
                          <w:szCs w:val="44"/>
                          <w:lang w:val="en-US" w:eastAsia="zh-CN"/>
                        </w:rPr>
                        <w:t xml:space="preserve">余杭区文化村实验学校 </w:t>
                      </w:r>
                      <w:r>
                        <w:rPr>
                          <w:rFonts w:hint="eastAsia" w:ascii="微软雅黑" w:hAnsi="微软雅黑" w:eastAsia="微软雅黑" w:cs="mn-cs"/>
                          <w:b w:val="0"/>
                          <w:bCs w:val="0"/>
                          <w:color w:val="A6A6A6" w:themeColor="background1" w:themeShade="A6"/>
                          <w:kern w:val="24"/>
                          <w:sz w:val="44"/>
                          <w:szCs w:val="44"/>
                        </w:rPr>
                        <w:t>202</w:t>
                      </w:r>
                      <w:r>
                        <w:rPr>
                          <w:rFonts w:hint="eastAsia" w:ascii="微软雅黑" w:hAnsi="微软雅黑" w:eastAsia="微软雅黑" w:cs="mn-cs"/>
                          <w:b w:val="0"/>
                          <w:bCs w:val="0"/>
                          <w:color w:val="A6A6A6" w:themeColor="background1" w:themeShade="A6"/>
                          <w:kern w:val="24"/>
                          <w:sz w:val="44"/>
                          <w:szCs w:val="44"/>
                          <w:lang w:val="en-US" w:eastAsia="zh-CN"/>
                        </w:rPr>
                        <w:t>5</w:t>
                      </w:r>
                      <w:r>
                        <w:rPr>
                          <w:rFonts w:hint="eastAsia" w:ascii="微软雅黑" w:hAnsi="微软雅黑" w:eastAsia="微软雅黑" w:cs="mn-cs"/>
                          <w:b w:val="0"/>
                          <w:bCs w:val="0"/>
                          <w:color w:val="A6A6A6" w:themeColor="background1" w:themeShade="A6"/>
                          <w:kern w:val="24"/>
                          <w:sz w:val="44"/>
                          <w:szCs w:val="44"/>
                        </w:rPr>
                        <w:t>年第</w:t>
                      </w:r>
                      <w:r>
                        <w:rPr>
                          <w:rFonts w:hint="eastAsia" w:ascii="微软雅黑" w:hAnsi="微软雅黑" w:eastAsia="微软雅黑" w:cs="mn-cs"/>
                          <w:b w:val="0"/>
                          <w:bCs w:val="0"/>
                          <w:color w:val="A6A6A6" w:themeColor="background1" w:themeShade="A6"/>
                          <w:kern w:val="24"/>
                          <w:sz w:val="44"/>
                          <w:szCs w:val="44"/>
                          <w:lang w:val="en-US" w:eastAsia="zh-CN"/>
                        </w:rPr>
                        <w:t>二学</w:t>
                      </w:r>
                      <w:r>
                        <w:rPr>
                          <w:rFonts w:hint="eastAsia" w:ascii="微软雅黑" w:hAnsi="微软雅黑" w:eastAsia="微软雅黑" w:cs="mn-cs"/>
                          <w:b w:val="0"/>
                          <w:bCs w:val="0"/>
                          <w:color w:val="A6A6A6" w:themeColor="background1" w:themeShade="A6"/>
                          <w:kern w:val="24"/>
                          <w:sz w:val="44"/>
                          <w:szCs w:val="44"/>
                        </w:rPr>
                        <w:t>期）</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0288;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3ABED5C6">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华越体育校园</w:t>
                      </w:r>
                      <w:r>
                        <w:rPr>
                          <w:rFonts w:hint="eastAsia" w:ascii="微软雅黑" w:hAnsi="微软雅黑" w:eastAsia="微软雅黑" w:cs="微软雅黑"/>
                          <w:spacing w:val="57"/>
                          <w:sz w:val="72"/>
                          <w:szCs w:val="72"/>
                          <w:lang w:val="en-US" w:eastAsia="zh-CN"/>
                          <w14:textOutline w14:w="9461" w14:cap="sq" w14:cmpd="sng">
                            <w14:solidFill>
                              <w14:srgbClr w14:val="000000"/>
                            </w14:solidFill>
                            <w14:prstDash w14:val="solid"/>
                            <w14:bevel/>
                          </w14:textOutline>
                        </w:rPr>
                        <w:t>体育素质</w:t>
                      </w: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项目</w:t>
                      </w:r>
                    </w:p>
                    <w:p w14:paraId="74087583">
                      <w:pPr>
                        <w:keepNext w:val="0"/>
                        <w:keepLines w:val="0"/>
                        <w:pageBreakBefore w:val="0"/>
                        <w:widowControl/>
                        <w:kinsoku/>
                        <w:wordWrap/>
                        <w:overflowPunct/>
                        <w:topLinePunct w:val="0"/>
                        <w:bidi w:val="0"/>
                        <w:snapToGrid/>
                        <w:spacing w:before="169" w:line="218" w:lineRule="auto"/>
                        <w:ind w:left="0" w:leftChars="0" w:firstLine="0" w:firstLineChars="0"/>
                        <w:jc w:val="center"/>
                        <w:outlineLvl w:val="0"/>
                        <w:rPr>
                          <w:rFonts w:hint="eastAsia" w:ascii="微软雅黑" w:hAnsi="微软雅黑" w:eastAsia="微软雅黑" w:cs="微软雅黑"/>
                          <w:spacing w:val="57"/>
                          <w:sz w:val="72"/>
                          <w:szCs w:val="72"/>
                        </w:rPr>
                      </w:pPr>
                      <w:r>
                        <w:rPr>
                          <w:rFonts w:hint="eastAsia" w:ascii="微软雅黑" w:hAnsi="微软雅黑" w:eastAsia="微软雅黑" w:cs="微软雅黑"/>
                          <w:spacing w:val="57"/>
                          <w:sz w:val="72"/>
                          <w:szCs w:val="72"/>
                          <w14:textOutline w14:w="9461" w14:cap="sq" w14:cmpd="sng">
                            <w14:solidFill>
                              <w14:srgbClr w14:val="000000"/>
                            </w14:solidFill>
                            <w14:prstDash w14:val="solid"/>
                            <w14:bevel/>
                          </w14:textOutline>
                        </w:rPr>
                        <w:t>成果报告</w:t>
                      </w:r>
                    </w:p>
                    <w:p w14:paraId="70BF0EEE">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p>
    <w:sdt>
      <w:sdtPr>
        <w:rPr>
          <w:rFonts w:ascii="宋体" w:hAnsi="宋体" w:eastAsia="宋体" w:cs="仿宋"/>
          <w:snapToGrid w:val="0"/>
          <w:color w:val="auto"/>
          <w:kern w:val="2"/>
          <w:sz w:val="21"/>
          <w:szCs w:val="32"/>
          <w:lang w:val="en-US" w:eastAsia="en-US" w:bidi="ar-SA"/>
        </w:rPr>
        <w:id w:val="147460116"/>
        <w15:color w:val="DBDBDB"/>
        <w:docPartObj>
          <w:docPartGallery w:val="Table of Contents"/>
          <w:docPartUnique/>
        </w:docPartObj>
      </w:sdtPr>
      <w:sdtEndPr>
        <w:rPr>
          <w:rFonts w:hint="eastAsia" w:ascii="微软雅黑" w:hAnsi="微软雅黑" w:eastAsia="微软雅黑" w:cs="微软雅黑"/>
          <w:bCs w:val="0"/>
          <w:snapToGrid w:val="0"/>
          <w:color w:val="auto"/>
          <w:kern w:val="2"/>
          <w:sz w:val="32"/>
          <w:szCs w:val="24"/>
          <w:lang w:val="en-US" w:eastAsia="en-US" w:bidi="ar-SA"/>
        </w:rPr>
      </w:sdtEndPr>
      <w:sdtContent>
        <w:p w14:paraId="0F8FD3F7">
          <w:pPr>
            <w:spacing w:before="0" w:beforeLines="0" w:after="0" w:afterLines="0" w:line="240" w:lineRule="auto"/>
            <w:ind w:left="0" w:leftChars="0" w:right="0" w:rightChars="0" w:firstLine="0" w:firstLineChars="0"/>
            <w:jc w:val="center"/>
            <w:rPr>
              <w:rStyle w:val="17"/>
            </w:rPr>
          </w:pPr>
          <w:r>
            <w:rPr>
              <w:rStyle w:val="17"/>
            </w:rPr>
            <w:t>目</w:t>
          </w:r>
          <w:r>
            <w:rPr>
              <w:rStyle w:val="17"/>
              <w:rFonts w:hint="eastAsia" w:eastAsia="黑体"/>
              <w:lang w:val="en-US" w:eastAsia="zh-CN"/>
            </w:rPr>
            <w:t xml:space="preserve"> </w:t>
          </w:r>
          <w:r>
            <w:rPr>
              <w:rStyle w:val="17"/>
            </w:rPr>
            <w:t>录</w:t>
          </w:r>
        </w:p>
        <w:p w14:paraId="571D71DB">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"1-2" \h \u </w:instrText>
          </w:r>
          <w:r>
            <w:rPr>
              <w:rFonts w:hint="eastAsia" w:ascii="微软雅黑" w:hAnsi="微软雅黑" w:eastAsia="微软雅黑" w:cs="微软雅黑"/>
              <w:b w:val="0"/>
              <w:bCs w:val="0"/>
              <w:sz w:val="24"/>
              <w:szCs w:val="24"/>
            </w:rPr>
            <w:fldChar w:fldCharType="separate"/>
          </w: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_Toc25385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一、 前 言</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_Toc25385 \h </w:instrText>
          </w:r>
          <w:r>
            <w:rPr>
              <w:rFonts w:hint="eastAsia" w:ascii="黑体" w:hAnsi="黑体" w:eastAsia="黑体" w:cs="黑体"/>
              <w:sz w:val="32"/>
              <w:szCs w:val="32"/>
            </w:rPr>
            <w:fldChar w:fldCharType="separate"/>
          </w:r>
          <w:r>
            <w:rPr>
              <w:rFonts w:hint="eastAsia" w:ascii="黑体" w:hAnsi="黑体" w:eastAsia="黑体" w:cs="黑体"/>
              <w:sz w:val="32"/>
              <w:szCs w:val="32"/>
            </w:rPr>
            <w:t>1</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2C34C145">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_Toc32434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（一） 政策响应</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_Toc32434 \h </w:instrText>
          </w:r>
          <w:r>
            <w:rPr>
              <w:rFonts w:hint="eastAsia" w:ascii="黑体" w:hAnsi="黑体" w:eastAsia="黑体" w:cs="黑体"/>
              <w:sz w:val="32"/>
              <w:szCs w:val="32"/>
            </w:rPr>
            <w:fldChar w:fldCharType="separate"/>
          </w:r>
          <w:r>
            <w:rPr>
              <w:rFonts w:hint="eastAsia" w:ascii="黑体" w:hAnsi="黑体" w:eastAsia="黑体" w:cs="黑体"/>
              <w:sz w:val="32"/>
              <w:szCs w:val="32"/>
            </w:rPr>
            <w:t>1</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7F8D70C6">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_Toc27067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（二） 合作机构</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_Toc27067 \h </w:instrText>
          </w:r>
          <w:r>
            <w:rPr>
              <w:rFonts w:hint="eastAsia" w:ascii="黑体" w:hAnsi="黑体" w:eastAsia="黑体" w:cs="黑体"/>
              <w:sz w:val="32"/>
              <w:szCs w:val="32"/>
            </w:rPr>
            <w:fldChar w:fldCharType="separate"/>
          </w:r>
          <w:r>
            <w:rPr>
              <w:rFonts w:hint="eastAsia" w:ascii="黑体" w:hAnsi="黑体" w:eastAsia="黑体" w:cs="黑体"/>
              <w:sz w:val="32"/>
              <w:szCs w:val="32"/>
            </w:rPr>
            <w:t>3</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5D0C156E">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_Toc7325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（三） 项目概览</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_Toc7325 \h </w:instrText>
          </w:r>
          <w:r>
            <w:rPr>
              <w:rFonts w:hint="eastAsia" w:ascii="黑体" w:hAnsi="黑体" w:eastAsia="黑体" w:cs="黑体"/>
              <w:sz w:val="32"/>
              <w:szCs w:val="32"/>
            </w:rPr>
            <w:fldChar w:fldCharType="separate"/>
          </w:r>
          <w:r>
            <w:rPr>
              <w:rFonts w:hint="eastAsia" w:ascii="黑体" w:hAnsi="黑体" w:eastAsia="黑体" w:cs="黑体"/>
              <w:sz w:val="32"/>
              <w:szCs w:val="32"/>
            </w:rPr>
            <w:t>5</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2C62C421">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_Toc24882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二、 体育服务内容</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_Toc24882 \h </w:instrText>
          </w:r>
          <w:r>
            <w:rPr>
              <w:rFonts w:hint="eastAsia" w:ascii="黑体" w:hAnsi="黑体" w:eastAsia="黑体" w:cs="黑体"/>
              <w:sz w:val="32"/>
              <w:szCs w:val="32"/>
            </w:rPr>
            <w:fldChar w:fldCharType="separate"/>
          </w:r>
          <w:r>
            <w:rPr>
              <w:rFonts w:hint="eastAsia" w:ascii="黑体" w:hAnsi="黑体" w:eastAsia="黑体" w:cs="黑体"/>
              <w:sz w:val="32"/>
              <w:szCs w:val="32"/>
            </w:rPr>
            <w:t>6</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4CF0180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_Toc4149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（一） 课程内容介绍</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_Toc4149 \h </w:instrText>
          </w:r>
          <w:r>
            <w:rPr>
              <w:rFonts w:hint="eastAsia" w:ascii="黑体" w:hAnsi="黑体" w:eastAsia="黑体" w:cs="黑体"/>
              <w:sz w:val="32"/>
              <w:szCs w:val="32"/>
            </w:rPr>
            <w:fldChar w:fldCharType="separate"/>
          </w:r>
          <w:r>
            <w:rPr>
              <w:rFonts w:hint="eastAsia" w:ascii="黑体" w:hAnsi="黑体" w:eastAsia="黑体" w:cs="黑体"/>
              <w:sz w:val="32"/>
              <w:szCs w:val="32"/>
            </w:rPr>
            <w:t>6</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6CF09964">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_Toc3992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（二） 亮点服务介绍</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_Toc3992 \h </w:instrText>
          </w:r>
          <w:r>
            <w:rPr>
              <w:rFonts w:hint="eastAsia" w:ascii="黑体" w:hAnsi="黑体" w:eastAsia="黑体" w:cs="黑体"/>
              <w:sz w:val="32"/>
              <w:szCs w:val="32"/>
            </w:rPr>
            <w:fldChar w:fldCharType="separate"/>
          </w:r>
          <w:r>
            <w:rPr>
              <w:rFonts w:hint="eastAsia" w:ascii="黑体" w:hAnsi="黑体" w:eastAsia="黑体" w:cs="黑体"/>
              <w:sz w:val="32"/>
              <w:szCs w:val="32"/>
            </w:rPr>
            <w:t>7</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1CAE402B">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_Toc9239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（三） 学员数据分析</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_Toc9239 \h </w:instrText>
          </w:r>
          <w:r>
            <w:rPr>
              <w:rFonts w:hint="eastAsia" w:ascii="黑体" w:hAnsi="黑体" w:eastAsia="黑体" w:cs="黑体"/>
              <w:sz w:val="32"/>
              <w:szCs w:val="32"/>
            </w:rPr>
            <w:fldChar w:fldCharType="separate"/>
          </w:r>
          <w:r>
            <w:rPr>
              <w:rFonts w:hint="eastAsia" w:ascii="黑体" w:hAnsi="黑体" w:eastAsia="黑体" w:cs="黑体"/>
              <w:sz w:val="32"/>
              <w:szCs w:val="32"/>
            </w:rPr>
            <w:t>17</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4CE9E62D">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_Toc18129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三、 课程成效</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_Toc18129 \h </w:instrText>
          </w:r>
          <w:r>
            <w:rPr>
              <w:rFonts w:hint="eastAsia" w:ascii="黑体" w:hAnsi="黑体" w:eastAsia="黑体" w:cs="黑体"/>
              <w:sz w:val="32"/>
              <w:szCs w:val="32"/>
            </w:rPr>
            <w:fldChar w:fldCharType="separate"/>
          </w:r>
          <w:r>
            <w:rPr>
              <w:rFonts w:hint="eastAsia" w:ascii="黑体" w:hAnsi="黑体" w:eastAsia="黑体" w:cs="黑体"/>
              <w:sz w:val="32"/>
              <w:szCs w:val="32"/>
            </w:rPr>
            <w:t>25</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1328BC66">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_Toc13678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（一） 课堂成效</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_Toc13678 \h </w:instrText>
          </w:r>
          <w:r>
            <w:rPr>
              <w:rFonts w:hint="eastAsia" w:ascii="黑体" w:hAnsi="黑体" w:eastAsia="黑体" w:cs="黑体"/>
              <w:sz w:val="32"/>
              <w:szCs w:val="32"/>
            </w:rPr>
            <w:fldChar w:fldCharType="separate"/>
          </w:r>
          <w:r>
            <w:rPr>
              <w:rFonts w:hint="eastAsia" w:ascii="黑体" w:hAnsi="黑体" w:eastAsia="黑体" w:cs="黑体"/>
              <w:sz w:val="32"/>
              <w:szCs w:val="32"/>
            </w:rPr>
            <w:t>25</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11AA0BD9">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_Toc16104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（二） 优秀学员展示</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_Toc16104 \h </w:instrText>
          </w:r>
          <w:r>
            <w:rPr>
              <w:rFonts w:hint="eastAsia" w:ascii="黑体" w:hAnsi="黑体" w:eastAsia="黑体" w:cs="黑体"/>
              <w:sz w:val="32"/>
              <w:szCs w:val="32"/>
            </w:rPr>
            <w:fldChar w:fldCharType="separate"/>
          </w:r>
          <w:r>
            <w:rPr>
              <w:rFonts w:hint="eastAsia" w:ascii="黑体" w:hAnsi="黑体" w:eastAsia="黑体" w:cs="黑体"/>
              <w:sz w:val="32"/>
              <w:szCs w:val="32"/>
            </w:rPr>
            <w:t>26</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1BA5BD34">
          <w:pPr>
            <w:pStyle w:val="10"/>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_Toc21882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四、 项目计划</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_Toc21882 \h </w:instrText>
          </w:r>
          <w:r>
            <w:rPr>
              <w:rFonts w:hint="eastAsia" w:ascii="黑体" w:hAnsi="黑体" w:eastAsia="黑体" w:cs="黑体"/>
              <w:sz w:val="32"/>
              <w:szCs w:val="32"/>
            </w:rPr>
            <w:fldChar w:fldCharType="separate"/>
          </w:r>
          <w:r>
            <w:rPr>
              <w:rFonts w:hint="eastAsia" w:ascii="黑体" w:hAnsi="黑体" w:eastAsia="黑体" w:cs="黑体"/>
              <w:sz w:val="32"/>
              <w:szCs w:val="32"/>
            </w:rPr>
            <w:t>30</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696F3FBA">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_Toc8178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（一） 教学内容优化</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_Toc8178 \h </w:instrText>
          </w:r>
          <w:r>
            <w:rPr>
              <w:rFonts w:hint="eastAsia" w:ascii="黑体" w:hAnsi="黑体" w:eastAsia="黑体" w:cs="黑体"/>
              <w:sz w:val="32"/>
              <w:szCs w:val="32"/>
            </w:rPr>
            <w:fldChar w:fldCharType="separate"/>
          </w:r>
          <w:r>
            <w:rPr>
              <w:rFonts w:hint="eastAsia" w:ascii="黑体" w:hAnsi="黑体" w:eastAsia="黑体" w:cs="黑体"/>
              <w:sz w:val="32"/>
              <w:szCs w:val="32"/>
            </w:rPr>
            <w:t>30</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6DB3069C">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_Toc24683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（二） 现存挑战分析</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_Toc24683 \h </w:instrText>
          </w:r>
          <w:r>
            <w:rPr>
              <w:rFonts w:hint="eastAsia" w:ascii="黑体" w:hAnsi="黑体" w:eastAsia="黑体" w:cs="黑体"/>
              <w:sz w:val="32"/>
              <w:szCs w:val="32"/>
            </w:rPr>
            <w:fldChar w:fldCharType="separate"/>
          </w:r>
          <w:r>
            <w:rPr>
              <w:rFonts w:hint="eastAsia" w:ascii="黑体" w:hAnsi="黑体" w:eastAsia="黑体" w:cs="黑体"/>
              <w:sz w:val="32"/>
              <w:szCs w:val="32"/>
            </w:rPr>
            <w:t>32</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78FED0BB">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rPr>
              <w:rFonts w:hint="eastAsia" w:ascii="黑体" w:hAnsi="黑体" w:eastAsia="黑体" w:cs="黑体"/>
              <w:sz w:val="32"/>
              <w:szCs w:val="32"/>
            </w:rPr>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_Toc8207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（三） 提升数字化服务</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_Toc8207 \h </w:instrText>
          </w:r>
          <w:r>
            <w:rPr>
              <w:rFonts w:hint="eastAsia" w:ascii="黑体" w:hAnsi="黑体" w:eastAsia="黑体" w:cs="黑体"/>
              <w:sz w:val="32"/>
              <w:szCs w:val="32"/>
            </w:rPr>
            <w:fldChar w:fldCharType="separate"/>
          </w:r>
          <w:r>
            <w:rPr>
              <w:rFonts w:hint="eastAsia" w:ascii="黑体" w:hAnsi="黑体" w:eastAsia="黑体" w:cs="黑体"/>
              <w:sz w:val="32"/>
              <w:szCs w:val="32"/>
            </w:rPr>
            <w:t>34</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1D1CF1B1">
          <w:pPr>
            <w:pStyle w:val="11"/>
            <w:keepNext w:val="0"/>
            <w:keepLines w:val="0"/>
            <w:pageBreakBefore w:val="0"/>
            <w:widowControl/>
            <w:tabs>
              <w:tab w:val="right" w:leader="dot" w:pos="8336"/>
            </w:tabs>
            <w:kinsoku/>
            <w:wordWrap/>
            <w:overflowPunct/>
            <w:topLinePunct w:val="0"/>
            <w:autoSpaceDE w:val="0"/>
            <w:autoSpaceDN w:val="0"/>
            <w:bidi w:val="0"/>
            <w:adjustRightInd w:val="0"/>
            <w:snapToGrid w:val="0"/>
            <w:spacing w:line="420" w:lineRule="auto"/>
            <w:ind w:firstLine="0" w:firstLineChars="0"/>
            <w:textAlignment w:val="baseline"/>
          </w:pPr>
          <w:r>
            <w:rPr>
              <w:rFonts w:hint="eastAsia" w:ascii="黑体" w:hAnsi="黑体" w:eastAsia="黑体" w:cs="黑体"/>
              <w:bCs w:val="0"/>
              <w:sz w:val="32"/>
              <w:szCs w:val="24"/>
            </w:rPr>
            <w:fldChar w:fldCharType="begin"/>
          </w:r>
          <w:r>
            <w:rPr>
              <w:rFonts w:hint="eastAsia" w:ascii="黑体" w:hAnsi="黑体" w:eastAsia="黑体" w:cs="黑体"/>
              <w:bCs w:val="0"/>
              <w:sz w:val="32"/>
              <w:szCs w:val="24"/>
            </w:rPr>
            <w:instrText xml:space="preserve"> HYPERLINK \l _Toc31720 </w:instrText>
          </w:r>
          <w:r>
            <w:rPr>
              <w:rFonts w:hint="eastAsia" w:ascii="黑体" w:hAnsi="黑体" w:eastAsia="黑体" w:cs="黑体"/>
              <w:bCs w:val="0"/>
              <w:sz w:val="32"/>
              <w:szCs w:val="24"/>
            </w:rPr>
            <w:fldChar w:fldCharType="separate"/>
          </w:r>
          <w:r>
            <w:rPr>
              <w:rFonts w:hint="eastAsia" w:ascii="黑体" w:hAnsi="黑体" w:eastAsia="黑体" w:cs="黑体"/>
              <w:sz w:val="32"/>
              <w:szCs w:val="32"/>
              <w:lang w:val="en-US" w:eastAsia="zh-CN"/>
            </w:rPr>
            <w:t>（四） 未来建设愿景</w:t>
          </w:r>
          <w:r>
            <w:rPr>
              <w:rFonts w:hint="eastAsia" w:ascii="黑体" w:hAnsi="黑体" w:eastAsia="黑体" w:cs="黑体"/>
              <w:sz w:val="32"/>
              <w:szCs w:val="32"/>
            </w:rPr>
            <w:tab/>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PAGEREF _Toc31720 \h </w:instrText>
          </w:r>
          <w:r>
            <w:rPr>
              <w:rFonts w:hint="eastAsia" w:ascii="黑体" w:hAnsi="黑体" w:eastAsia="黑体" w:cs="黑体"/>
              <w:sz w:val="32"/>
              <w:szCs w:val="32"/>
            </w:rPr>
            <w:fldChar w:fldCharType="separate"/>
          </w:r>
          <w:r>
            <w:rPr>
              <w:rFonts w:hint="eastAsia" w:ascii="黑体" w:hAnsi="黑体" w:eastAsia="黑体" w:cs="黑体"/>
              <w:sz w:val="32"/>
              <w:szCs w:val="32"/>
            </w:rPr>
            <w:t>36</w:t>
          </w:r>
          <w:r>
            <w:rPr>
              <w:rFonts w:hint="eastAsia" w:ascii="黑体" w:hAnsi="黑体" w:eastAsia="黑体" w:cs="黑体"/>
              <w:sz w:val="32"/>
              <w:szCs w:val="32"/>
            </w:rPr>
            <w:fldChar w:fldCharType="end"/>
          </w:r>
          <w:r>
            <w:rPr>
              <w:rFonts w:hint="eastAsia" w:ascii="黑体" w:hAnsi="黑体" w:eastAsia="黑体" w:cs="黑体"/>
              <w:bCs w:val="0"/>
              <w:sz w:val="32"/>
              <w:szCs w:val="24"/>
            </w:rPr>
            <w:fldChar w:fldCharType="end"/>
          </w:r>
        </w:p>
        <w:p w14:paraId="64DA12B4">
          <w:pPr>
            <w:pStyle w:val="7"/>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both"/>
            <w:textAlignment w:val="baseline"/>
            <w:rPr>
              <w:rFonts w:hint="eastAsia" w:ascii="微软雅黑" w:hAnsi="微软雅黑" w:eastAsia="微软雅黑" w:cs="微软雅黑"/>
              <w:bCs w:val="0"/>
              <w:snapToGrid w:val="0"/>
              <w:color w:val="auto"/>
              <w:kern w:val="2"/>
              <w:sz w:val="32"/>
              <w:szCs w:val="24"/>
              <w:lang w:val="en-US" w:eastAsia="en-US" w:bidi="ar-SA"/>
            </w:rPr>
          </w:pPr>
          <w:r>
            <w:rPr>
              <w:rFonts w:hint="eastAsia" w:ascii="微软雅黑" w:hAnsi="微软雅黑" w:eastAsia="微软雅黑" w:cs="微软雅黑"/>
              <w:bCs w:val="0"/>
              <w:szCs w:val="24"/>
            </w:rPr>
            <w:fldChar w:fldCharType="end"/>
          </w:r>
        </w:p>
      </w:sdtContent>
    </w:sdt>
    <w:p w14:paraId="6962600F">
      <w:pPr>
        <w:rPr>
          <w:rFonts w:hint="eastAsia"/>
        </w:rPr>
        <w:sectPr>
          <w:headerReference r:id="rId10" w:type="first"/>
          <w:footerReference r:id="rId12"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titlePg/>
        </w:sectPr>
      </w:pPr>
    </w:p>
    <w:p w14:paraId="382E4A70">
      <w:pPr>
        <w:pStyle w:val="2"/>
        <w:numPr>
          <w:ilvl w:val="0"/>
          <w:numId w:val="3"/>
        </w:numPr>
        <w:bidi w:val="0"/>
        <w:ind w:left="0" w:leftChars="0" w:firstLine="420" w:firstLineChars="0"/>
        <w:jc w:val="center"/>
        <w:rPr>
          <w:rFonts w:hint="default"/>
          <w:lang w:val="en-US" w:eastAsia="zh-CN"/>
        </w:rPr>
      </w:pPr>
      <w:bookmarkStart w:id="0" w:name="_Toc25385"/>
      <w:r>
        <w:rPr>
          <w:rFonts w:hint="eastAsia" w:cs="黑体"/>
          <w:lang w:val="en-US" w:eastAsia="zh-CN"/>
        </w:rPr>
        <w:t>前 言</w:t>
      </w:r>
      <w:bookmarkEnd w:id="0"/>
    </w:p>
    <w:p w14:paraId="3A9BC76E">
      <w:pPr>
        <w:pStyle w:val="3"/>
        <w:bidi w:val="0"/>
        <w:ind w:left="0" w:leftChars="0" w:firstLine="567" w:firstLineChars="0"/>
        <w:rPr>
          <w:rFonts w:hint="default"/>
          <w:lang w:val="en-US" w:eastAsia="zh-CN"/>
        </w:rPr>
      </w:pPr>
      <w:bookmarkStart w:id="1" w:name="_Toc32434"/>
      <w:r>
        <w:rPr>
          <w:rFonts w:hint="eastAsia"/>
          <w:lang w:val="en-US" w:eastAsia="zh-CN"/>
        </w:rPr>
        <w:t>政策响应</w:t>
      </w:r>
      <w:bookmarkEnd w:id="1"/>
    </w:p>
    <w:p w14:paraId="692E3F26">
      <w:pPr>
        <w:bidi w:val="0"/>
        <w:rPr>
          <w:rFonts w:hint="eastAsia"/>
          <w:lang w:val="en-US" w:eastAsia="zh-CN"/>
        </w:rPr>
      </w:pPr>
      <w:r>
        <w:rPr>
          <w:rFonts w:hint="eastAsia"/>
          <w:lang w:val="en-US" w:eastAsia="zh-CN"/>
        </w:rPr>
        <w:t>近年来，国家将青少年体质健康和全面发展置于教育改革的突出位置。2025年11月，教育部等五部门联合印发《关于实施学生体质强健计划的意见》，明确提出“健康第一”的教育理念，系统部署深化体育教学改革、保障学生每天综合体育活动时间不少于2小时、强化体教融合等重点任务，强调体育在“五育并举”育人体系中的基础性作用。文件指出，体育不仅是增强身体素质的有效途径，更是落实立德树人根本任务，培养学生意志品质、团队精神与规则意识的重要载体。</w:t>
      </w:r>
    </w:p>
    <w:p w14:paraId="7D011680">
      <w:pPr>
        <w:bidi w:val="0"/>
        <w:rPr>
          <w:rFonts w:hint="eastAsia"/>
          <w:lang w:val="en-US" w:eastAsia="zh-CN"/>
        </w:rPr>
      </w:pPr>
      <w:r>
        <w:rPr>
          <w:rFonts w:hint="eastAsia"/>
          <w:lang w:val="en-US" w:eastAsia="zh-CN"/>
        </w:rPr>
        <w:t>全国教育系统正深入推进学校体育高质量发展，推动体育工作实现“三个转变”：由形式覆盖转向内涵提升、由单一技能训练转向综合素养培育、由达标考核转向育人赋能。体育的价值亦随之升维——从传统意义上的身体锻炼，跃迁为塑造健全人格、涵养家国情怀、砥砺奋斗精神、锤炼意志品质的关键育人路径，成为“五育融合”不可或缺的支点。</w:t>
      </w:r>
    </w:p>
    <w:p w14:paraId="4630D066">
      <w:pPr>
        <w:bidi w:val="0"/>
        <w:rPr>
          <w:rFonts w:hint="eastAsia"/>
          <w:lang w:val="en-US" w:eastAsia="zh-CN"/>
        </w:rPr>
      </w:pPr>
      <w:r>
        <w:rPr>
          <w:rFonts w:hint="eastAsia"/>
          <w:lang w:val="en-US" w:eastAsia="zh-CN"/>
        </w:rPr>
        <w:t>杭州市余杭区文化村实验学校（以下简称“余杭文化”）始终以崇高的教育理想和强烈的社会责任感，引领学校的发展与实践。精准把握新时代党的教育方针和国家育人导向，将学生身心健康置于办学治校的核心位置。学校不仅在制度设计上强化体育的优先地位，更在实践层面系统构建“全课程、全过程、全方位”的体育育人体系：通过科学优化课程结构、丰富课后服务供给、打造特色体育文化品牌，有效贯通课内与课外、校内与校外、教学与活动的育人链条。尤为可贵的是，学校将体育精神深度融入校风学风建设，使运动成为学生锤炼品格、学会合作、超越自我的重要成长载体。这一系列举措，充分彰显了学校对“立德树人”根本任务的坚定践行、对“健康第一”教育理念的深入落实，以及对培养德智体美劳全面发展的社会主义建设者和接班人的战略远见，为区域基础教育高质量发展树立了示范标杆。</w:t>
      </w:r>
    </w:p>
    <w:p w14:paraId="5C28ED3A">
      <w:pPr>
        <w:bidi w:val="0"/>
        <w:rPr>
          <w:rFonts w:hint="eastAsia"/>
          <w:lang w:val="en-US" w:eastAsia="zh-CN"/>
        </w:rPr>
      </w:pPr>
      <w:r>
        <w:rPr>
          <w:rFonts w:hint="eastAsia"/>
          <w:lang w:val="en-US" w:eastAsia="zh-CN"/>
        </w:rPr>
        <w:t>在此背景下，2024年9月，杭州市余杭区文化村实验学校引进浙江华越体育文化发展有限公司（以下简称“华越体育”）旗下“N+”体育品牌，正式启动校园体育素质提升课程体系建设，同步搭建专业化、结构化支持团队。</w:t>
      </w:r>
    </w:p>
    <w:p w14:paraId="68794201">
      <w:pPr>
        <w:bidi w:val="0"/>
        <w:rPr>
          <w:rFonts w:hint="eastAsia"/>
          <w:lang w:val="en-US" w:eastAsia="zh-CN"/>
        </w:rPr>
      </w:pPr>
      <w:r>
        <w:rPr>
          <w:rFonts w:hint="eastAsia"/>
          <w:lang w:val="en-US" w:eastAsia="zh-CN"/>
        </w:rPr>
        <w:t>截至2026年1月，华越体育已为余杭文化连续提供3个学期的体育素质提升课程服务项目。项目实施稳步推进，特色日益鲜明，育人成效初步显现，深受师生及家长广泛认可与好评。</w:t>
      </w:r>
    </w:p>
    <w:p w14:paraId="452D70DD">
      <w:pPr>
        <w:pStyle w:val="3"/>
        <w:bidi w:val="0"/>
        <w:ind w:left="0" w:leftChars="0" w:firstLine="567" w:firstLineChars="0"/>
        <w:rPr>
          <w:rFonts w:hint="eastAsia"/>
          <w:lang w:val="en-US" w:eastAsia="zh-CN"/>
        </w:rPr>
      </w:pPr>
      <w:bookmarkStart w:id="2" w:name="_Toc27067"/>
      <w:r>
        <w:rPr>
          <w:rFonts w:hint="eastAsia"/>
          <w:lang w:val="en-US" w:eastAsia="zh-CN"/>
        </w:rPr>
        <w:t>合作机构</w:t>
      </w:r>
      <w:bookmarkEnd w:id="2"/>
    </w:p>
    <w:p w14:paraId="7C32A9B8">
      <w:pPr>
        <w:bidi w:val="0"/>
        <w:rPr>
          <w:rFonts w:hint="eastAsia"/>
        </w:rPr>
      </w:pPr>
      <w:r>
        <w:rPr>
          <w:rFonts w:hint="eastAsia"/>
          <w:lang w:eastAsia="zh-CN"/>
        </w:rPr>
        <w:drawing>
          <wp:anchor distT="0" distB="0" distL="114300" distR="114300" simplePos="0" relativeHeight="251667456" behindDoc="0" locked="0" layoutInCell="1" allowOverlap="1">
            <wp:simplePos x="0" y="0"/>
            <wp:positionH relativeFrom="column">
              <wp:posOffset>-65405</wp:posOffset>
            </wp:positionH>
            <wp:positionV relativeFrom="paragraph">
              <wp:posOffset>2972435</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18"/>
                    <a:stretch>
                      <a:fillRect/>
                    </a:stretch>
                  </pic:blipFill>
                  <pic:spPr>
                    <a:xfrm>
                      <a:off x="0" y="0"/>
                      <a:ext cx="1512570" cy="2140585"/>
                    </a:xfrm>
                    <a:prstGeom prst="rect">
                      <a:avLst/>
                    </a:prstGeom>
                  </pic:spPr>
                </pic:pic>
              </a:graphicData>
            </a:graphic>
          </wp:anchor>
        </w:drawing>
      </w:r>
      <w:r>
        <w:rPr>
          <w:rFonts w:hint="eastAsia"/>
          <w:lang w:val="en-US" w:eastAsia="zh-CN"/>
        </w:rPr>
        <w:t>浙江</w:t>
      </w:r>
      <w:r>
        <w:rPr>
          <w:rFonts w:hint="eastAsia"/>
        </w:rPr>
        <w:t>华越体育</w:t>
      </w:r>
      <w:r>
        <w:rPr>
          <w:rFonts w:hint="eastAsia"/>
          <w:lang w:val="en-US" w:eastAsia="zh-CN"/>
        </w:rPr>
        <w:t>文化发展有限公司</w:t>
      </w:r>
      <w:r>
        <w:rPr>
          <w:rFonts w:hint="eastAsia"/>
        </w:rPr>
        <w:t>成立于2016年10月12日，先后主要致力于职业体育竞技、教培体育智慧、服务体育教育等体育产业及细分领域产业。2022年7月1日，华越体育完成股权调整，由</w:t>
      </w:r>
      <w:r>
        <w:rPr>
          <w:rFonts w:hint="eastAsia"/>
          <w:lang w:val="en-US" w:eastAsia="zh-CN"/>
        </w:rPr>
        <w:t>浙江省</w:t>
      </w:r>
      <w:r>
        <w:rPr>
          <w:rFonts w:hint="eastAsia"/>
        </w:rPr>
        <w:t>东阳市</w:t>
      </w:r>
      <w:r>
        <w:rPr>
          <w:rFonts w:hint="eastAsia"/>
          <w:lang w:val="en-US" w:eastAsia="zh-CN"/>
        </w:rPr>
        <w:t>文旅集</w:t>
      </w:r>
      <w:r>
        <w:rPr>
          <w:rFonts w:hint="eastAsia"/>
        </w:rPr>
        <w:t>团有限公司（以下简称“文旅集团”）完全控股领导，企业转型为国有企业。在文旅集团的统一领导下，华越体育深度践行国家关于体育和教育的指导思想和战略方针，积极响应“全民健身”、“体育强国”等国家战略，配合落实教育部关于“教育数字化”、“服务双减”等教育战略，并在东阳市、杭州市均设有分/子公司</w:t>
      </w:r>
      <w:r>
        <w:rPr>
          <w:rFonts w:hint="eastAsia"/>
          <w:lang w:val="en-US" w:eastAsia="zh-CN"/>
        </w:rPr>
        <w:t>。"N+"是浙江华越体育文化发展有限公司培育的子品牌，主营青训育才产业。</w:t>
      </w:r>
    </w:p>
    <w:p w14:paraId="0A4EA1E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rPr>
      </w:pPr>
      <w:r>
        <w:rPr>
          <w:rFonts w:hint="eastAsia"/>
        </w:rPr>
        <w:t>2023年起，华越体育进</w:t>
      </w:r>
      <w:r>
        <w:rPr>
          <w:rFonts w:hint="eastAsia"/>
          <w:lang w:val="en-US" w:eastAsia="zh-CN"/>
        </w:rPr>
        <w:t>行</w:t>
      </w:r>
      <w:r>
        <w:rPr>
          <w:rFonts w:hint="eastAsia"/>
        </w:rPr>
        <w:t>产业优化转型升级，</w:t>
      </w:r>
      <w:r>
        <w:rPr>
          <w:rFonts w:hint="eastAsia"/>
          <w:lang w:val="en-US" w:eastAsia="zh-CN"/>
        </w:rPr>
        <w:t>逐步</w:t>
      </w:r>
      <w:r>
        <w:rPr>
          <w:rFonts w:hint="eastAsia"/>
        </w:rPr>
        <w:t>实现企业跨越式发展的推进高速期</w:t>
      </w:r>
      <w:r>
        <w:rPr>
          <w:rFonts w:hint="eastAsia"/>
          <w:lang w:eastAsia="zh-CN"/>
        </w:rPr>
        <w:t>。</w:t>
      </w:r>
      <w:r>
        <w:rPr>
          <w:rFonts w:hint="eastAsia"/>
        </w:rPr>
        <w:t>在文旅集团的领导指挥和战略部署下，形成体育教育产业三大重点战略发展板块，一是青少年体育教育板块；二是全民健身场馆运维板块；三是数字化智慧体育功能平台板块。</w:t>
      </w:r>
    </w:p>
    <w:p w14:paraId="042CA1A9">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firstLine="640" w:firstLineChars="200"/>
        <w:jc w:val="left"/>
        <w:textAlignment w:val="baseline"/>
        <w:rPr>
          <w:rFonts w:hint="eastAsia" w:eastAsia="华文仿宋"/>
          <w:lang w:val="en-US" w:eastAsia="zh-CN"/>
        </w:rPr>
      </w:pPr>
      <w:r>
        <w:rPr>
          <w:rFonts w:hint="eastAsia"/>
          <w:lang w:eastAsia="zh-CN"/>
        </w:rPr>
        <w:t>"N+"以响应国家、省市区关于青少年体育、教育等政策和指导意见为发展原则，按要求、按标准、按实际提供青少年体育教育服务，具备国家体育教育战略导向明确、社会服务政策支持、优质服务资源集聚、政府公信力背书等品牌属性。截止目前，已凝聚了杭城羽毛球、跆拳道、篮球、足球、乒乓球等多样化项目资源，致力于提升杭城校园的体育教育服务，并已成功入选杭州市各区(合作学校所在区）非学科类校外培训机构参与学校课后服务"白名单"。</w:t>
      </w:r>
    </w:p>
    <w:p w14:paraId="31A9E4D3">
      <w:pPr>
        <w:pStyle w:val="3"/>
        <w:keepNext/>
        <w:keepLines/>
        <w:pageBreakBefore/>
        <w:widowControl/>
        <w:kinsoku/>
        <w:wordWrap/>
        <w:overflowPunct/>
        <w:topLinePunct w:val="0"/>
        <w:autoSpaceDE w:val="0"/>
        <w:autoSpaceDN w:val="0"/>
        <w:bidi w:val="0"/>
        <w:adjustRightInd w:val="0"/>
        <w:snapToGrid w:val="0"/>
        <w:spacing w:line="413" w:lineRule="auto"/>
        <w:ind w:left="0" w:leftChars="0" w:firstLine="567" w:firstLineChars="0"/>
        <w:textAlignment w:val="baseline"/>
        <w:rPr>
          <w:rFonts w:hint="eastAsia"/>
          <w:lang w:val="en-US" w:eastAsia="zh-CN"/>
        </w:rPr>
      </w:pPr>
      <w:bookmarkStart w:id="3" w:name="_Toc7325"/>
      <w:r>
        <w:rPr>
          <w:rFonts w:hint="eastAsia"/>
          <w:lang w:val="en-US" w:eastAsia="zh-CN"/>
        </w:rPr>
        <w:t>项目概览</w:t>
      </w:r>
      <w:bookmarkEnd w:id="3"/>
    </w:p>
    <w:p w14:paraId="4F664CCA">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100" w:firstLine="417" w:firstLineChars="0"/>
        <w:jc w:val="left"/>
        <w:textAlignment w:val="baseline"/>
        <w:rPr>
          <w:rFonts w:hint="default"/>
          <w:lang w:val="en-US" w:eastAsia="zh-CN"/>
        </w:rPr>
      </w:pPr>
      <w:r>
        <w:rPr>
          <w:rFonts w:hint="eastAsia"/>
          <w:lang w:val="en-US" w:eastAsia="zh-CN"/>
        </w:rPr>
        <w:t>本学期根据学校情况以及学员报名情况，于校内开设课程共7类，其中包含篮球预备班、篮球校队班以及足球等课程，具体如下所示:</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321"/>
        <w:gridCol w:w="3546"/>
        <w:gridCol w:w="1685"/>
        <w:gridCol w:w="970"/>
      </w:tblGrid>
      <w:tr w14:paraId="46BDB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8" w:hRule="atLeast"/>
          <w:jc w:val="center"/>
        </w:trPr>
        <w:tc>
          <w:tcPr>
            <w:tcW w:w="2321" w:type="dxa"/>
            <w:tcBorders>
              <w:top w:val="single" w:color="FFFFFF" w:sz="4" w:space="0"/>
              <w:left w:val="single" w:color="FFFFFF" w:sz="4" w:space="0"/>
              <w:bottom w:val="single" w:color="FFFFFF" w:sz="4" w:space="0"/>
              <w:right w:val="single" w:color="FFFFFF" w:sz="4" w:space="0"/>
              <w:tl2br w:val="nil"/>
            </w:tcBorders>
            <w:shd w:val="clear" w:color="4874CB" w:fill="4874CB"/>
            <w:noWrap/>
            <w:vAlign w:val="center"/>
          </w:tcPr>
          <w:p w14:paraId="06D923C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课程名称</w:t>
            </w:r>
          </w:p>
        </w:tc>
        <w:tc>
          <w:tcPr>
            <w:tcW w:w="3546"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D7B316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上课时间</w:t>
            </w:r>
          </w:p>
        </w:tc>
        <w:tc>
          <w:tcPr>
            <w:tcW w:w="1685"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1CF6012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课程人数</w:t>
            </w:r>
          </w:p>
        </w:tc>
        <w:tc>
          <w:tcPr>
            <w:tcW w:w="970" w:type="dxa"/>
            <w:tcBorders>
              <w:top w:val="single" w:color="FFFFFF" w:sz="4" w:space="0"/>
              <w:left w:val="single" w:color="FFFFFF" w:sz="4" w:space="0"/>
              <w:bottom w:val="single" w:color="FFFFFF" w:sz="4" w:space="0"/>
              <w:right w:val="single" w:color="FFFFFF" w:sz="4" w:space="0"/>
            </w:tcBorders>
            <w:shd w:val="clear" w:color="4874CB" w:fill="4874CB"/>
            <w:noWrap/>
            <w:vAlign w:val="center"/>
          </w:tcPr>
          <w:p w14:paraId="0953F06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bCs/>
                <w:i w:val="0"/>
                <w:iCs w:val="0"/>
                <w:snapToGrid w:val="0"/>
                <w:color w:val="FFFFFF"/>
                <w:kern w:val="0"/>
                <w:sz w:val="24"/>
                <w:szCs w:val="24"/>
                <w:u w:val="none"/>
                <w:lang w:val="en-US" w:eastAsia="zh-CN" w:bidi="ar"/>
              </w:rPr>
            </w:pPr>
            <w:r>
              <w:rPr>
                <w:rFonts w:hint="eastAsia" w:ascii="微软雅黑" w:hAnsi="微软雅黑" w:eastAsia="微软雅黑" w:cs="微软雅黑"/>
                <w:b/>
                <w:bCs/>
                <w:i w:val="0"/>
                <w:iCs w:val="0"/>
                <w:snapToGrid w:val="0"/>
                <w:color w:val="FFFFFF"/>
                <w:kern w:val="0"/>
                <w:sz w:val="24"/>
                <w:szCs w:val="24"/>
                <w:u w:val="none"/>
                <w:lang w:val="en-US" w:eastAsia="zh-CN" w:bidi="ar"/>
              </w:rPr>
              <w:t>总课次</w:t>
            </w:r>
          </w:p>
        </w:tc>
      </w:tr>
      <w:tr w14:paraId="68B62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2DA62A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足球甲组</w:t>
            </w:r>
          </w:p>
        </w:tc>
        <w:tc>
          <w:tcPr>
            <w:tcW w:w="3546"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22F4BFD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 xml:space="preserve">周二、周四、周五  </w:t>
            </w:r>
          </w:p>
          <w:p w14:paraId="08CFF0A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16：00- 18：00</w:t>
            </w:r>
          </w:p>
          <w:p w14:paraId="55B2B7E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周六 14：00-16：00</w:t>
            </w:r>
          </w:p>
        </w:tc>
        <w:tc>
          <w:tcPr>
            <w:tcW w:w="1685"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FF1731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16</w:t>
            </w:r>
          </w:p>
          <w:p w14:paraId="12DC90F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p>
        </w:tc>
        <w:tc>
          <w:tcPr>
            <w:tcW w:w="970"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35876F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48</w:t>
            </w:r>
          </w:p>
        </w:tc>
      </w:tr>
      <w:tr w14:paraId="2034D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0"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C7E89F">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足球乙组</w:t>
            </w:r>
          </w:p>
        </w:tc>
        <w:tc>
          <w:tcPr>
            <w:tcW w:w="3546"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0C69DF9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 xml:space="preserve">周一、周二、周四、周五 </w:t>
            </w:r>
          </w:p>
          <w:p w14:paraId="53E3A73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15：00- 17：00</w:t>
            </w:r>
          </w:p>
          <w:p w14:paraId="744A6C1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周六 9：00- 11：00</w:t>
            </w:r>
          </w:p>
        </w:tc>
        <w:tc>
          <w:tcPr>
            <w:tcW w:w="1685"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02FBB53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22</w:t>
            </w:r>
          </w:p>
          <w:p w14:paraId="66404E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（+9续费班）</w:t>
            </w:r>
          </w:p>
        </w:tc>
        <w:tc>
          <w:tcPr>
            <w:tcW w:w="970"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339B07A2">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60</w:t>
            </w:r>
          </w:p>
        </w:tc>
      </w:tr>
      <w:tr w14:paraId="3CC0B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642500FC">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足球一年级精英班</w:t>
            </w:r>
          </w:p>
        </w:tc>
        <w:tc>
          <w:tcPr>
            <w:tcW w:w="3546"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1F08E53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 xml:space="preserve">周一、周三、周五 </w:t>
            </w:r>
          </w:p>
          <w:p w14:paraId="78151A4E">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16：30- 18：00</w:t>
            </w:r>
          </w:p>
        </w:tc>
        <w:tc>
          <w:tcPr>
            <w:tcW w:w="1685"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49F78E4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14</w:t>
            </w:r>
          </w:p>
        </w:tc>
        <w:tc>
          <w:tcPr>
            <w:tcW w:w="970" w:type="dxa"/>
            <w:tcBorders>
              <w:top w:val="single" w:color="FFFFFF" w:sz="4" w:space="0"/>
              <w:left w:val="single" w:color="FFFFFF" w:sz="4" w:space="0"/>
              <w:bottom w:val="single" w:color="FFFFFF" w:sz="4" w:space="0"/>
              <w:right w:val="single" w:color="FFFFFF" w:sz="4" w:space="0"/>
            </w:tcBorders>
            <w:shd w:val="clear" w:color="D9E1F4" w:fill="B6C8EB"/>
            <w:noWrap/>
            <w:vAlign w:val="center"/>
          </w:tcPr>
          <w:p w14:paraId="562907F9">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42</w:t>
            </w:r>
          </w:p>
        </w:tc>
      </w:tr>
      <w:tr w14:paraId="10750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5062F3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足球二年级精英班</w:t>
            </w:r>
          </w:p>
        </w:tc>
        <w:tc>
          <w:tcPr>
            <w:tcW w:w="3546"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754DB0C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周二、周四 16：30- 18：00</w:t>
            </w:r>
          </w:p>
        </w:tc>
        <w:tc>
          <w:tcPr>
            <w:tcW w:w="1685"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7510F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11</w:t>
            </w:r>
          </w:p>
        </w:tc>
        <w:tc>
          <w:tcPr>
            <w:tcW w:w="970"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448943B8">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28</w:t>
            </w:r>
          </w:p>
        </w:tc>
      </w:tr>
      <w:tr w14:paraId="6CF60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93"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251FCD1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足球体育课</w:t>
            </w:r>
          </w:p>
        </w:tc>
        <w:tc>
          <w:tcPr>
            <w:tcW w:w="3546"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4165426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周一、周五</w:t>
            </w:r>
          </w:p>
          <w:p w14:paraId="7F384E3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13：00- 13：40</w:t>
            </w:r>
          </w:p>
          <w:p w14:paraId="60A445F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13：55- 14：35</w:t>
            </w:r>
          </w:p>
          <w:p w14:paraId="7F1FA8F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周三、周四、周五</w:t>
            </w:r>
          </w:p>
          <w:p w14:paraId="0C3C00F7">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9：50- 10：30</w:t>
            </w:r>
          </w:p>
        </w:tc>
        <w:tc>
          <w:tcPr>
            <w:tcW w:w="1685"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1D63274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w:t>
            </w:r>
          </w:p>
        </w:tc>
        <w:tc>
          <w:tcPr>
            <w:tcW w:w="970"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16C2AC25">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w:t>
            </w:r>
          </w:p>
        </w:tc>
      </w:tr>
      <w:tr w14:paraId="6FC1D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4B6E80B3">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篮球精英班</w:t>
            </w:r>
          </w:p>
        </w:tc>
        <w:tc>
          <w:tcPr>
            <w:tcW w:w="3546" w:type="dxa"/>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194F4F4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周五 16：15- 17：45</w:t>
            </w:r>
          </w:p>
          <w:p w14:paraId="43F9DAA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周六 9：00- 10：00</w:t>
            </w:r>
          </w:p>
        </w:tc>
        <w:tc>
          <w:tcPr>
            <w:tcW w:w="1685" w:type="dxa"/>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40ACDAF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10</w:t>
            </w:r>
          </w:p>
        </w:tc>
        <w:tc>
          <w:tcPr>
            <w:tcW w:w="970" w:type="dxa"/>
            <w:tcBorders>
              <w:top w:val="single" w:color="FFFFFF" w:sz="4" w:space="0"/>
              <w:left w:val="single" w:color="FFFFFF" w:sz="4" w:space="0"/>
              <w:bottom w:val="single" w:color="FFFFFF" w:sz="4" w:space="0"/>
              <w:right w:val="single" w:color="FFFFFF" w:sz="4" w:space="0"/>
            </w:tcBorders>
            <w:shd w:val="clear" w:color="D9E1F4" w:fill="DAE3F5"/>
            <w:noWrap/>
            <w:vAlign w:val="center"/>
          </w:tcPr>
          <w:p w14:paraId="45835D2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28</w:t>
            </w:r>
          </w:p>
        </w:tc>
      </w:tr>
      <w:tr w14:paraId="65B65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5155AB15">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篮球梯队班</w:t>
            </w:r>
          </w:p>
        </w:tc>
        <w:tc>
          <w:tcPr>
            <w:tcW w:w="3546"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4D6AD8B0">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周二、周四 16：15- 17：45</w:t>
            </w:r>
          </w:p>
        </w:tc>
        <w:tc>
          <w:tcPr>
            <w:tcW w:w="1685"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779CF40D">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12</w:t>
            </w:r>
          </w:p>
        </w:tc>
        <w:tc>
          <w:tcPr>
            <w:tcW w:w="970" w:type="dxa"/>
            <w:tcBorders>
              <w:top w:val="single" w:color="FFFFFF" w:sz="4" w:space="0"/>
              <w:left w:val="single" w:color="FFFFFF" w:sz="4" w:space="0"/>
              <w:bottom w:val="single" w:color="FFFFFF" w:sz="4" w:space="0"/>
              <w:right w:val="single" w:color="FFFFFF" w:sz="4" w:space="0"/>
            </w:tcBorders>
            <w:shd w:val="clear" w:color="auto" w:fill="B6C8EB"/>
            <w:noWrap/>
            <w:vAlign w:val="center"/>
          </w:tcPr>
          <w:p w14:paraId="27CA857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28</w:t>
            </w:r>
          </w:p>
        </w:tc>
      </w:tr>
      <w:tr w14:paraId="00053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03" w:hRule="atLeast"/>
          <w:jc w:val="center"/>
        </w:trPr>
        <w:tc>
          <w:tcPr>
            <w:tcW w:w="2321"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1A6584E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篮球校队班</w:t>
            </w:r>
          </w:p>
        </w:tc>
        <w:tc>
          <w:tcPr>
            <w:tcW w:w="3546"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115BEB84">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eastAsia"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 xml:space="preserve">周一、周三、周五 </w:t>
            </w:r>
          </w:p>
          <w:p w14:paraId="47AA1ABB">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16：15- 17：45</w:t>
            </w:r>
          </w:p>
        </w:tc>
        <w:tc>
          <w:tcPr>
            <w:tcW w:w="1685"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6F9BE731">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12</w:t>
            </w:r>
          </w:p>
        </w:tc>
        <w:tc>
          <w:tcPr>
            <w:tcW w:w="970" w:type="dxa"/>
            <w:tcBorders>
              <w:top w:val="single" w:color="FFFFFF" w:sz="4" w:space="0"/>
              <w:left w:val="single" w:color="FFFFFF" w:sz="4" w:space="0"/>
              <w:bottom w:val="single" w:color="FFFFFF" w:sz="4" w:space="0"/>
              <w:right w:val="single" w:color="FFFFFF" w:sz="4" w:space="0"/>
            </w:tcBorders>
            <w:shd w:val="clear" w:color="auto" w:fill="DAE3F5"/>
            <w:noWrap/>
            <w:vAlign w:val="center"/>
          </w:tcPr>
          <w:p w14:paraId="0A821E46">
            <w:pPr>
              <w:keepNext w:val="0"/>
              <w:keepLines w:val="0"/>
              <w:pageBreakBefore w:val="0"/>
              <w:widowControl/>
              <w:suppressLineNumbers w:val="0"/>
              <w:kinsoku/>
              <w:wordWrap/>
              <w:overflowPunct/>
              <w:topLinePunct w:val="0"/>
              <w:autoSpaceDE w:val="0"/>
              <w:autoSpaceDN w:val="0"/>
              <w:bidi w:val="0"/>
              <w:adjustRightInd w:val="0"/>
              <w:snapToGrid w:val="0"/>
              <w:spacing w:line="240" w:lineRule="auto"/>
              <w:ind w:left="0" w:leftChars="0" w:firstLine="0" w:firstLineChars="0"/>
              <w:jc w:val="center"/>
              <w:textAlignment w:val="center"/>
              <w:rPr>
                <w:rFonts w:hint="default" w:ascii="微软雅黑" w:hAnsi="微软雅黑" w:eastAsia="微软雅黑" w:cs="微软雅黑"/>
                <w:b w:val="0"/>
                <w:i w:val="0"/>
                <w:iCs w:val="0"/>
                <w:snapToGrid w:val="0"/>
                <w:color w:val="000000"/>
                <w:kern w:val="0"/>
                <w:sz w:val="24"/>
                <w:szCs w:val="24"/>
                <w:u w:val="none"/>
                <w:lang w:val="en-US" w:eastAsia="zh-CN" w:bidi="ar"/>
              </w:rPr>
            </w:pPr>
            <w:r>
              <w:rPr>
                <w:rFonts w:hint="eastAsia" w:ascii="微软雅黑" w:hAnsi="微软雅黑" w:eastAsia="微软雅黑" w:cs="微软雅黑"/>
                <w:b w:val="0"/>
                <w:i w:val="0"/>
                <w:iCs w:val="0"/>
                <w:snapToGrid w:val="0"/>
                <w:color w:val="000000"/>
                <w:kern w:val="0"/>
                <w:sz w:val="24"/>
                <w:szCs w:val="24"/>
                <w:u w:val="none"/>
                <w:lang w:val="en-US" w:eastAsia="zh-CN" w:bidi="ar"/>
              </w:rPr>
              <w:t>42</w:t>
            </w:r>
          </w:p>
        </w:tc>
      </w:tr>
    </w:tbl>
    <w:p w14:paraId="285A3557">
      <w:pPr>
        <w:pStyle w:val="5"/>
        <w:keepNext w:val="0"/>
        <w:keepLines w:val="0"/>
        <w:pageBreakBefore w:val="0"/>
        <w:widowControl/>
        <w:kinsoku/>
        <w:wordWrap/>
        <w:overflowPunct/>
        <w:topLinePunct w:val="0"/>
        <w:autoSpaceDE w:val="0"/>
        <w:autoSpaceDN w:val="0"/>
        <w:bidi w:val="0"/>
        <w:adjustRightInd w:val="0"/>
        <w:snapToGrid w:val="0"/>
        <w:spacing w:before="0" w:beforeLines="50"/>
        <w:ind w:firstLine="420"/>
        <w:jc w:val="center"/>
        <w:textAlignment w:val="baseline"/>
        <w:rPr>
          <w:rFonts w:hint="default"/>
          <w:lang w:val="en-US" w:eastAsia="zh-CN"/>
        </w:rPr>
      </w:pPr>
      <w:r>
        <w:rPr>
          <w:rFonts w:hint="eastAsia"/>
          <w:lang w:val="en-US" w:eastAsia="zh-CN"/>
        </w:rPr>
        <w:t>表1</w:t>
      </w:r>
      <w:r>
        <w:rPr>
          <w:rFonts w:hint="eastAsia"/>
          <w:lang w:eastAsia="zh-CN"/>
        </w:rPr>
        <w:t xml:space="preserve"> 课程设置情况表</w:t>
      </w:r>
    </w:p>
    <w:p w14:paraId="336C70A0">
      <w:pPr>
        <w:pStyle w:val="2"/>
        <w:keepNext/>
        <w:keepLines/>
        <w:pageBreakBefore/>
        <w:widowControl/>
        <w:numPr>
          <w:ilvl w:val="0"/>
          <w:numId w:val="3"/>
        </w:numPr>
        <w:kinsoku/>
        <w:wordWrap/>
        <w:overflowPunct/>
        <w:topLinePunct w:val="0"/>
        <w:autoSpaceDE w:val="0"/>
        <w:autoSpaceDN w:val="0"/>
        <w:bidi w:val="0"/>
        <w:adjustRightInd w:val="0"/>
        <w:snapToGrid w:val="0"/>
        <w:ind w:left="0" w:leftChars="0" w:firstLine="420" w:firstLineChars="0"/>
        <w:textAlignment w:val="baseline"/>
        <w:rPr>
          <w:rFonts w:hint="default"/>
          <w:lang w:val="en-US" w:eastAsia="zh-CN"/>
        </w:rPr>
      </w:pPr>
      <w:bookmarkStart w:id="4" w:name="_Toc24882"/>
      <w:r>
        <w:rPr>
          <w:rFonts w:hint="eastAsia"/>
          <w:lang w:val="en-US" w:eastAsia="zh-CN"/>
        </w:rPr>
        <w:t>体育服务内容</w:t>
      </w:r>
      <w:bookmarkEnd w:id="4"/>
    </w:p>
    <w:p w14:paraId="5DB53A9F">
      <w:pPr>
        <w:pStyle w:val="3"/>
        <w:numPr>
          <w:ilvl w:val="0"/>
          <w:numId w:val="4"/>
        </w:numPr>
        <w:bidi w:val="0"/>
        <w:ind w:left="0" w:leftChars="0" w:firstLine="567" w:firstLineChars="0"/>
        <w:rPr>
          <w:rFonts w:hint="eastAsia"/>
          <w:lang w:val="en-US" w:eastAsia="zh-CN"/>
        </w:rPr>
      </w:pPr>
      <w:bookmarkStart w:id="5" w:name="_Toc4149"/>
      <w:r>
        <w:rPr>
          <w:rFonts w:hint="eastAsia"/>
          <w:lang w:val="en-US" w:eastAsia="zh-CN"/>
        </w:rPr>
        <w:t>课程内容介绍</w:t>
      </w:r>
      <w:bookmarkEnd w:id="5"/>
    </w:p>
    <w:p w14:paraId="5402CCE3">
      <w:pPr>
        <w:bidi w:val="0"/>
        <w:rPr>
          <w:rFonts w:hint="default"/>
          <w:lang w:val="en-US" w:eastAsia="zh-CN"/>
        </w:rPr>
      </w:pPr>
      <w:r>
        <w:rPr>
          <w:rFonts w:hint="default"/>
          <w:lang w:val="en-US" w:eastAsia="zh-CN"/>
        </w:rPr>
        <w:t>华越体育立足</w:t>
      </w:r>
      <w:r>
        <w:rPr>
          <w:rFonts w:hint="eastAsia"/>
          <w:lang w:val="en-US" w:eastAsia="zh-CN"/>
        </w:rPr>
        <w:t>余杭文化</w:t>
      </w:r>
      <w:r>
        <w:rPr>
          <w:rFonts w:hint="default"/>
          <w:lang w:val="en-US" w:eastAsia="zh-CN"/>
        </w:rPr>
        <w:t>“健康第一、五育融合”的育人导向，结合学生兴趣与成长规律，科学构建了“普及与提高并重、兴趣与专业并举”的足球、篮球一体化课程体系。该体系通过精细化的课时安排与分层化的班级设置，旨在为不同基础、不同目标的学生提供精准而专业的运动发展通道，全面助力校园体育文化建设。</w:t>
      </w:r>
    </w:p>
    <w:p w14:paraId="611B62DA">
      <w:pPr>
        <w:bidi w:val="0"/>
        <w:rPr>
          <w:rFonts w:hint="default"/>
          <w:lang w:val="en-US" w:eastAsia="zh-CN"/>
        </w:rPr>
      </w:pPr>
      <w:r>
        <w:rPr>
          <w:rFonts w:hint="default"/>
          <w:lang w:val="en-US" w:eastAsia="zh-CN"/>
        </w:rPr>
        <w:t>足球课程体系呈现出“三级进阶、全面覆盖”的清晰脉络，兼顾了普及性体育课与专业化训练队。在普及层面，“足球体育课”被纳入日常教学时段，面向更广泛的学生群体，致力于足球运动的基础推广与兴趣激发。在提高层面，我们为低年级设立了“一年级精英班”与“二年级精英班”，采用小班制，专注于该年龄段的基本功塑造与球感培养，夯实早期基础。在专业竞技层面，“足球甲组”与“足球乙组”则构成了校队的核心力量。两者均安排了高频次、高强度的训练，课程内容聚焦于复杂的技术演练、体能强化与实战对抗，旨在锻造具备竞争力的球队，代表学校最高足球水平。</w:t>
      </w:r>
    </w:p>
    <w:p w14:paraId="6CA713C9">
      <w:pPr>
        <w:bidi w:val="0"/>
        <w:jc w:val="left"/>
        <w:rPr>
          <w:rFonts w:hint="default"/>
          <w:lang w:val="en-US" w:eastAsia="zh-CN"/>
        </w:rPr>
      </w:pPr>
      <w:r>
        <w:rPr>
          <w:rFonts w:hint="default"/>
          <w:lang w:val="en-US" w:eastAsia="zh-CN"/>
        </w:rPr>
        <w:t>篮球课程体系则设计了“阶梯式上升、精英化引领”​ 的培养路径。“篮球精英班”作为兴趣提高与技能深化的入口，吸引并培养对篮球有浓厚兴趣的学生。“篮球梯队班”是衔接精英班与校队的关键环节，侧重于系统性训练和团队战术的初步理解，为校队输送和储备后备人才。作为金字塔顶端的“篮球校队班”，承载着竞技标杆的使命，通过每周三次的密集训练，致力于体能、技术和战术</w:t>
      </w:r>
      <w:r>
        <w:rPr>
          <w:rFonts w:hint="eastAsia"/>
          <w:lang w:val="en-US" w:eastAsia="zh-CN"/>
        </w:rPr>
        <w:t>综合</w:t>
      </w:r>
      <w:r>
        <w:rPr>
          <w:rFonts w:hint="default"/>
          <w:lang w:val="en-US" w:eastAsia="zh-CN"/>
        </w:rPr>
        <w:t>素养的全面精进，以及意志品质的锤炼。</w:t>
      </w:r>
    </w:p>
    <w:p w14:paraId="7C50A5FE">
      <w:pPr>
        <w:bidi w:val="0"/>
        <w:rPr>
          <w:rFonts w:hint="default"/>
          <w:lang w:val="en-US" w:eastAsia="zh-CN"/>
        </w:rPr>
      </w:pPr>
      <w:r>
        <w:rPr>
          <w:rFonts w:hint="default"/>
          <w:lang w:val="en-US" w:eastAsia="zh-CN"/>
        </w:rPr>
        <w:t>整个课程体系由华越体育专业教练团队统一实施，我们通过标准化的教学流程、个性化的进度关注与周期性的技能评估，确保每一层级课程的教学质量与训练效果。本课程安排不仅科学回应了学生从“尝试体验”到“专业深造”的成长需求，更以系统化、专业化的服务，成为学校落实“五育并举”、提升课后服务水平、打造体育特色项目的坚实依托。</w:t>
      </w:r>
    </w:p>
    <w:p w14:paraId="055AA0E5">
      <w:pPr>
        <w:pStyle w:val="3"/>
        <w:numPr>
          <w:ilvl w:val="0"/>
          <w:numId w:val="4"/>
        </w:numPr>
        <w:bidi w:val="0"/>
        <w:ind w:left="0" w:leftChars="0" w:firstLine="567" w:firstLineChars="0"/>
        <w:rPr>
          <w:rFonts w:hint="eastAsia"/>
          <w:lang w:val="en-US" w:eastAsia="zh-CN"/>
        </w:rPr>
      </w:pPr>
      <w:bookmarkStart w:id="6" w:name="_Toc3992"/>
      <w:r>
        <w:rPr>
          <w:rFonts w:hint="eastAsia"/>
          <w:lang w:val="en-US" w:eastAsia="zh-CN"/>
        </w:rPr>
        <w:t>亮点服务介绍</w:t>
      </w:r>
      <w:bookmarkEnd w:id="6"/>
    </w:p>
    <w:p w14:paraId="41BC6752">
      <w:pPr>
        <w:rPr>
          <w:rFonts w:hint="eastAsia"/>
          <w:lang w:val="en-US" w:eastAsia="zh-CN"/>
        </w:rPr>
      </w:pPr>
      <w:r>
        <w:rPr>
          <w:rFonts w:hint="eastAsia"/>
          <w:lang w:val="en-US" w:eastAsia="zh-CN"/>
        </w:rPr>
        <w:t>本学期，华越体育立足“安全为基、质量为本、育人为魂”的服务理念，构建多维度品质保障机制。通过制度化、标准化、人性化的专项举措，将体育服务从技能传授延伸至身心健康全域培育，切实支撑学校“五育融合”育人生态建设。</w:t>
      </w:r>
    </w:p>
    <w:p w14:paraId="029C9F7D">
      <w:pPr>
        <w:pStyle w:val="4"/>
        <w:bidi w:val="0"/>
        <w:ind w:left="425" w:leftChars="0" w:firstLine="142" w:firstLineChars="0"/>
        <w:rPr>
          <w:rFonts w:hint="default"/>
          <w:lang w:val="en-US" w:eastAsia="zh-CN"/>
        </w:rPr>
      </w:pPr>
      <w:r>
        <w:rPr>
          <w:rFonts w:hint="eastAsia"/>
          <w:lang w:val="en-US" w:eastAsia="zh-CN"/>
        </w:rPr>
        <w:t>平安校园守护体系</w:t>
      </w:r>
    </w:p>
    <w:p w14:paraId="60048615">
      <w:pPr>
        <w:bidi w:val="0"/>
        <w:rPr>
          <w:rFonts w:hint="eastAsia"/>
          <w:lang w:val="en-US" w:eastAsia="zh-CN"/>
        </w:rPr>
      </w:pPr>
      <w:r>
        <w:rPr>
          <w:rFonts w:hint="eastAsia"/>
          <w:lang w:val="en-US" w:eastAsia="zh-CN"/>
        </w:rPr>
        <w:t>华越体育始终将安全生产视为服务生命线，严格贯彻“安全第一、预防为主、综合治理”的方针，构建制度化、标准化、常态化的校园体育设施安全管理体系。在制度设计层面，公司依据校园安全生产管理要求，确立“区域负责人”机制，实现“校区专人全负责”流程管理，专业的运维管理流程和实时监督抽查机制，确保课程顺利进行和学员安全责任意识双到位。</w:t>
      </w:r>
    </w:p>
    <w:p w14:paraId="5D9DF74B">
      <w:pPr>
        <w:bidi w:val="0"/>
        <w:rPr>
          <w:rFonts w:hint="eastAsia"/>
          <w:vertAlign w:val="baseline"/>
          <w:lang w:val="en-US" w:eastAsia="zh-CN"/>
        </w:rPr>
      </w:pPr>
      <w:r>
        <w:rPr>
          <w:rFonts w:hint="eastAsia"/>
          <w:lang w:val="en-US" w:eastAsia="zh-CN"/>
        </w:rPr>
        <w:t>在具体执行层面，每月安全巡检全面覆盖校内体育教学及活动区域，构建"设施-场地-环境"三位一体检查体系：系统排查球架等固定设施的结构稳固性与部件安全状态；同步评估运动器材、球场跑道等运动场地的地面平整度、防滑性能及环境隐患，确保风险动态清零。</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1E31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78B89E3">
            <w:pPr>
              <w:bidi w:val="0"/>
              <w:spacing w:line="240" w:lineRule="auto"/>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414395"/>
                  <wp:effectExtent l="0" t="0" r="11430" b="14605"/>
                  <wp:docPr id="1" name="图片 1" descr="f95973d39321262d9fb71b9974bfa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95973d39321262d9fb71b9974bfa9ab"/>
                          <pic:cNvPicPr>
                            <a:picLocks noChangeAspect="1"/>
                          </pic:cNvPicPr>
                        </pic:nvPicPr>
                        <pic:blipFill>
                          <a:blip r:embed="rId19"/>
                          <a:stretch>
                            <a:fillRect/>
                          </a:stretch>
                        </pic:blipFill>
                        <pic:spPr>
                          <a:xfrm>
                            <a:off x="0" y="0"/>
                            <a:ext cx="2560320" cy="3414395"/>
                          </a:xfrm>
                          <a:prstGeom prst="rect">
                            <a:avLst/>
                          </a:prstGeom>
                        </pic:spPr>
                      </pic:pic>
                    </a:graphicData>
                  </a:graphic>
                </wp:inline>
              </w:drawing>
            </w:r>
          </w:p>
        </w:tc>
        <w:tc>
          <w:tcPr>
            <w:tcW w:w="4261" w:type="dxa"/>
          </w:tcPr>
          <w:p w14:paraId="7CBD03D8">
            <w:pPr>
              <w:bidi w:val="0"/>
              <w:spacing w:line="240" w:lineRule="auto"/>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560320" cy="3414395"/>
                  <wp:effectExtent l="0" t="0" r="11430" b="14605"/>
                  <wp:docPr id="3" name="图片 3" descr="6862a3ae54028f6d4f32635ccb191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862a3ae54028f6d4f32635ccb191a81"/>
                          <pic:cNvPicPr>
                            <a:picLocks noChangeAspect="1"/>
                          </pic:cNvPicPr>
                        </pic:nvPicPr>
                        <pic:blipFill>
                          <a:blip r:embed="rId20"/>
                          <a:stretch>
                            <a:fillRect/>
                          </a:stretch>
                        </pic:blipFill>
                        <pic:spPr>
                          <a:xfrm>
                            <a:off x="0" y="0"/>
                            <a:ext cx="2560320" cy="3414395"/>
                          </a:xfrm>
                          <a:prstGeom prst="rect">
                            <a:avLst/>
                          </a:prstGeom>
                        </pic:spPr>
                      </pic:pic>
                    </a:graphicData>
                  </a:graphic>
                </wp:inline>
              </w:drawing>
            </w:r>
          </w:p>
        </w:tc>
      </w:tr>
    </w:tbl>
    <w:p w14:paraId="4E32C819">
      <w:pPr>
        <w:pStyle w:val="5"/>
        <w:jc w:val="center"/>
        <w:rPr>
          <w:rFonts w:hint="default" w:eastAsia="黑体"/>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安全检查</w:t>
      </w:r>
    </w:p>
    <w:p w14:paraId="4AFD5DBA">
      <w:pPr>
        <w:bidi w:val="0"/>
        <w:rPr>
          <w:rFonts w:hint="eastAsia"/>
          <w:lang w:val="en-US" w:eastAsia="zh-CN"/>
        </w:rPr>
      </w:pPr>
      <w:r>
        <w:rPr>
          <w:rFonts w:hint="eastAsia"/>
          <w:lang w:val="en-US" w:eastAsia="zh-CN"/>
        </w:rPr>
        <w:t>截至2026年1月初，华越体育项目管理部门总计完成5轮系统巡检，收集超100+份电子台账及影像素材，安全检查覆盖率达100%，每月安全检查响应时效缩短至1周内，即月初完成所有检查项目，保证全月后续课程顺利进行。这一机制不仅筑牢了校园运动安全防线，更将“健康第一”的教育理念转化为可触摸、可验证的行动实践。在任何生产与服务场景中，唯有将安全置于首位，方能真正守护学生健康成长的权利，兑现国有企业的社会承诺。</w:t>
      </w:r>
    </w:p>
    <w:p w14:paraId="30BC880D">
      <w:pPr>
        <w:pStyle w:val="4"/>
        <w:bidi w:val="0"/>
        <w:ind w:left="425" w:leftChars="0" w:firstLine="142" w:firstLineChars="0"/>
        <w:rPr>
          <w:rFonts w:hint="default"/>
          <w:lang w:val="en-US" w:eastAsia="zh-CN"/>
        </w:rPr>
      </w:pPr>
      <w:r>
        <w:rPr>
          <w:rFonts w:hint="eastAsia"/>
          <w:lang w:val="en-US" w:eastAsia="zh-CN"/>
        </w:rPr>
        <w:t>教学质量督察</w:t>
      </w:r>
    </w:p>
    <w:p w14:paraId="53014670">
      <w:pPr>
        <w:rPr>
          <w:rFonts w:hint="eastAsia"/>
          <w:vertAlign w:val="baseline"/>
          <w:lang w:val="en-US" w:eastAsia="zh-CN"/>
        </w:rPr>
      </w:pPr>
      <w:r>
        <w:rPr>
          <w:rFonts w:hint="eastAsia"/>
          <w:lang w:val="en-US" w:eastAsia="zh-CN"/>
        </w:rPr>
        <w:t>华越体育始终将教学质量视为服务生命线，秉持“以导促教、以评促优”的专业精神，构建“校级-区域-总部”三级督导体系。该机制旨在通过常态化、标准化的质量监控，确保课程实施与学校育人目标同频共振。每月由督导专员入校开展随机随堂监测，严格依据体育教学质量督察要求，聚焦课程内容设计、师生互动质量、学生参与实效等核心维度，进行客观记录与专业评估。本学期实现合作学校100%全覆盖督导，所有观测数据经标准化归档留存，确保过程可溯、结果透明。</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5"/>
        <w:gridCol w:w="4367"/>
      </w:tblGrid>
      <w:tr w14:paraId="6EBF1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5" w:type="dxa"/>
          </w:tcPr>
          <w:p w14:paraId="5BF1F5E7">
            <w:pPr>
              <w:ind w:left="0" w:leftChars="0" w:firstLine="0" w:firstLineChars="0"/>
              <w:rPr>
                <w:rFonts w:hint="eastAsia"/>
                <w:vertAlign w:val="baseline"/>
                <w:lang w:val="en-US" w:eastAsia="zh-CN"/>
              </w:rPr>
            </w:pPr>
            <w:r>
              <w:drawing>
                <wp:inline distT="0" distB="0" distL="114300" distR="114300">
                  <wp:extent cx="2482850" cy="2651125"/>
                  <wp:effectExtent l="0" t="0" r="12700" b="1587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1"/>
                          <a:stretch>
                            <a:fillRect/>
                          </a:stretch>
                        </pic:blipFill>
                        <pic:spPr>
                          <a:xfrm>
                            <a:off x="0" y="0"/>
                            <a:ext cx="2482850" cy="2651125"/>
                          </a:xfrm>
                          <a:prstGeom prst="rect">
                            <a:avLst/>
                          </a:prstGeom>
                          <a:noFill/>
                          <a:ln>
                            <a:noFill/>
                          </a:ln>
                        </pic:spPr>
                      </pic:pic>
                    </a:graphicData>
                  </a:graphic>
                </wp:inline>
              </w:drawing>
            </w:r>
          </w:p>
        </w:tc>
        <w:tc>
          <w:tcPr>
            <w:tcW w:w="4367" w:type="dxa"/>
          </w:tcPr>
          <w:p w14:paraId="023A482F">
            <w:pPr>
              <w:ind w:left="0" w:leftChars="0" w:firstLine="0" w:firstLineChars="0"/>
            </w:pPr>
            <w:r>
              <w:drawing>
                <wp:inline distT="0" distB="0" distL="114300" distR="114300">
                  <wp:extent cx="2498090" cy="2720340"/>
                  <wp:effectExtent l="0" t="0" r="16510"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2"/>
                          <a:stretch>
                            <a:fillRect/>
                          </a:stretch>
                        </pic:blipFill>
                        <pic:spPr>
                          <a:xfrm>
                            <a:off x="0" y="0"/>
                            <a:ext cx="2498090" cy="2720340"/>
                          </a:xfrm>
                          <a:prstGeom prst="rect">
                            <a:avLst/>
                          </a:prstGeom>
                          <a:noFill/>
                          <a:ln>
                            <a:noFill/>
                          </a:ln>
                        </pic:spPr>
                      </pic:pic>
                    </a:graphicData>
                  </a:graphic>
                </wp:inline>
              </w:drawing>
            </w:r>
          </w:p>
        </w:tc>
      </w:tr>
      <w:tr w14:paraId="7AF94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5" w:type="dxa"/>
          </w:tcPr>
          <w:p w14:paraId="4D112274">
            <w:pPr>
              <w:ind w:left="0" w:leftChars="0" w:firstLine="0" w:firstLineChars="0"/>
            </w:pPr>
            <w:r>
              <w:drawing>
                <wp:inline distT="0" distB="0" distL="114300" distR="114300">
                  <wp:extent cx="2498725" cy="1976755"/>
                  <wp:effectExtent l="0" t="0" r="15875"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3"/>
                          <a:stretch>
                            <a:fillRect/>
                          </a:stretch>
                        </pic:blipFill>
                        <pic:spPr>
                          <a:xfrm>
                            <a:off x="0" y="0"/>
                            <a:ext cx="2498725" cy="1976755"/>
                          </a:xfrm>
                          <a:prstGeom prst="rect">
                            <a:avLst/>
                          </a:prstGeom>
                          <a:noFill/>
                          <a:ln>
                            <a:noFill/>
                          </a:ln>
                        </pic:spPr>
                      </pic:pic>
                    </a:graphicData>
                  </a:graphic>
                </wp:inline>
              </w:drawing>
            </w:r>
          </w:p>
        </w:tc>
        <w:tc>
          <w:tcPr>
            <w:tcW w:w="4367" w:type="dxa"/>
          </w:tcPr>
          <w:p w14:paraId="4E36D88B">
            <w:pPr>
              <w:ind w:left="0" w:leftChars="0" w:firstLine="0" w:firstLineChars="0"/>
            </w:pPr>
            <w:r>
              <w:drawing>
                <wp:inline distT="0" distB="0" distL="114300" distR="114300">
                  <wp:extent cx="2630805" cy="1983105"/>
                  <wp:effectExtent l="0" t="0" r="17145" b="1714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4"/>
                          <a:stretch>
                            <a:fillRect/>
                          </a:stretch>
                        </pic:blipFill>
                        <pic:spPr>
                          <a:xfrm>
                            <a:off x="0" y="0"/>
                            <a:ext cx="2630805" cy="1983105"/>
                          </a:xfrm>
                          <a:prstGeom prst="rect">
                            <a:avLst/>
                          </a:prstGeom>
                          <a:noFill/>
                          <a:ln>
                            <a:noFill/>
                          </a:ln>
                        </pic:spPr>
                      </pic:pic>
                    </a:graphicData>
                  </a:graphic>
                </wp:inline>
              </w:drawing>
            </w:r>
          </w:p>
        </w:tc>
      </w:tr>
      <w:tr w14:paraId="7356E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5" w:type="dxa"/>
          </w:tcPr>
          <w:p w14:paraId="6A510AEF">
            <w:pPr>
              <w:ind w:left="0" w:leftChars="0" w:firstLine="0" w:firstLineChars="0"/>
            </w:pPr>
            <w:r>
              <w:drawing>
                <wp:inline distT="0" distB="0" distL="114300" distR="114300">
                  <wp:extent cx="2497455" cy="1257300"/>
                  <wp:effectExtent l="0" t="0" r="17145" b="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5"/>
                          <a:stretch>
                            <a:fillRect/>
                          </a:stretch>
                        </pic:blipFill>
                        <pic:spPr>
                          <a:xfrm>
                            <a:off x="0" y="0"/>
                            <a:ext cx="2497455" cy="1257300"/>
                          </a:xfrm>
                          <a:prstGeom prst="rect">
                            <a:avLst/>
                          </a:prstGeom>
                          <a:noFill/>
                          <a:ln>
                            <a:noFill/>
                          </a:ln>
                        </pic:spPr>
                      </pic:pic>
                    </a:graphicData>
                  </a:graphic>
                </wp:inline>
              </w:drawing>
            </w:r>
            <w:r>
              <w:drawing>
                <wp:inline distT="0" distB="0" distL="114300" distR="114300">
                  <wp:extent cx="2498090" cy="1270000"/>
                  <wp:effectExtent l="0" t="0" r="16510" b="6350"/>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6"/>
                          <a:stretch>
                            <a:fillRect/>
                          </a:stretch>
                        </pic:blipFill>
                        <pic:spPr>
                          <a:xfrm>
                            <a:off x="0" y="0"/>
                            <a:ext cx="2498090" cy="1270000"/>
                          </a:xfrm>
                          <a:prstGeom prst="rect">
                            <a:avLst/>
                          </a:prstGeom>
                          <a:noFill/>
                          <a:ln>
                            <a:noFill/>
                          </a:ln>
                        </pic:spPr>
                      </pic:pic>
                    </a:graphicData>
                  </a:graphic>
                </wp:inline>
              </w:drawing>
            </w:r>
          </w:p>
        </w:tc>
        <w:tc>
          <w:tcPr>
            <w:tcW w:w="4367" w:type="dxa"/>
          </w:tcPr>
          <w:p w14:paraId="1EA3BACC">
            <w:pPr>
              <w:ind w:left="0" w:leftChars="0" w:firstLine="0" w:firstLineChars="0"/>
            </w:pPr>
            <w:r>
              <w:drawing>
                <wp:inline distT="0" distB="0" distL="114300" distR="114300">
                  <wp:extent cx="2631440" cy="1466215"/>
                  <wp:effectExtent l="0" t="0" r="16510" b="63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7"/>
                          <a:stretch>
                            <a:fillRect/>
                          </a:stretch>
                        </pic:blipFill>
                        <pic:spPr>
                          <a:xfrm>
                            <a:off x="0" y="0"/>
                            <a:ext cx="2631440" cy="1466215"/>
                          </a:xfrm>
                          <a:prstGeom prst="rect">
                            <a:avLst/>
                          </a:prstGeom>
                          <a:noFill/>
                          <a:ln>
                            <a:noFill/>
                          </a:ln>
                        </pic:spPr>
                      </pic:pic>
                    </a:graphicData>
                  </a:graphic>
                </wp:inline>
              </w:drawing>
            </w:r>
            <w:r>
              <w:drawing>
                <wp:inline distT="0" distB="0" distL="114300" distR="114300">
                  <wp:extent cx="2631440" cy="662305"/>
                  <wp:effectExtent l="0" t="0" r="16510" b="444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8"/>
                          <a:stretch>
                            <a:fillRect/>
                          </a:stretch>
                        </pic:blipFill>
                        <pic:spPr>
                          <a:xfrm>
                            <a:off x="0" y="0"/>
                            <a:ext cx="2631440" cy="662305"/>
                          </a:xfrm>
                          <a:prstGeom prst="rect">
                            <a:avLst/>
                          </a:prstGeom>
                          <a:noFill/>
                          <a:ln>
                            <a:noFill/>
                          </a:ln>
                        </pic:spPr>
                      </pic:pic>
                    </a:graphicData>
                  </a:graphic>
                </wp:inline>
              </w:drawing>
            </w:r>
            <w:r>
              <w:drawing>
                <wp:inline distT="0" distB="0" distL="114300" distR="114300">
                  <wp:extent cx="2633980" cy="1591310"/>
                  <wp:effectExtent l="0" t="0" r="13970" b="889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9"/>
                          <a:stretch>
                            <a:fillRect/>
                          </a:stretch>
                        </pic:blipFill>
                        <pic:spPr>
                          <a:xfrm>
                            <a:off x="0" y="0"/>
                            <a:ext cx="2633980" cy="1591310"/>
                          </a:xfrm>
                          <a:prstGeom prst="rect">
                            <a:avLst/>
                          </a:prstGeom>
                          <a:noFill/>
                          <a:ln>
                            <a:noFill/>
                          </a:ln>
                        </pic:spPr>
                      </pic:pic>
                    </a:graphicData>
                  </a:graphic>
                </wp:inline>
              </w:drawing>
            </w:r>
          </w:p>
        </w:tc>
      </w:tr>
    </w:tbl>
    <w:p w14:paraId="7FC41BA9">
      <w:pPr>
        <w:pStyle w:val="5"/>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w:t>
      </w:r>
      <w:r>
        <w:rPr>
          <w:rFonts w:hint="eastAsia"/>
          <w:lang w:val="en-US" w:eastAsia="zh-CN"/>
        </w:rPr>
        <w:t>教学质量</w:t>
      </w:r>
      <w:r>
        <w:rPr>
          <w:rFonts w:hint="eastAsia"/>
          <w:lang w:eastAsia="zh-CN"/>
        </w:rPr>
        <w:t>督察</w:t>
      </w:r>
    </w:p>
    <w:p w14:paraId="1D459274">
      <w:pPr>
        <w:rPr>
          <w:rFonts w:hint="eastAsia"/>
          <w:lang w:val="en-US" w:eastAsia="zh-CN"/>
        </w:rPr>
      </w:pPr>
      <w:r>
        <w:rPr>
          <w:rFonts w:hint="eastAsia"/>
          <w:lang w:val="en-US" w:eastAsia="zh-CN"/>
        </w:rPr>
        <w:t>这一机制的本质，是将“以体育人”理念转化为可测量、可迭代的教学生产力。通过月度《教学质量督察报告》向教培及师资管理部门反馈课程情况，既保障了服务标准的统一性与专业性，更印证华越体育对体育教育的初心：以专业温度守护育人初心，让安全、规范、有深度的体育课堂，真正成为塑造学生品格与能力的生命场域。</w:t>
      </w:r>
    </w:p>
    <w:p w14:paraId="687B9ACD">
      <w:pPr>
        <w:pStyle w:val="4"/>
        <w:bidi w:val="0"/>
        <w:ind w:left="425" w:leftChars="0" w:firstLine="142" w:firstLineChars="0"/>
        <w:rPr>
          <w:rFonts w:hint="default"/>
          <w:lang w:val="en-US" w:eastAsia="zh-CN"/>
        </w:rPr>
      </w:pPr>
      <w:r>
        <w:rPr>
          <w:rFonts w:hint="eastAsia"/>
          <w:lang w:val="en-US" w:eastAsia="zh-CN"/>
        </w:rPr>
        <w:t>心理素质赋能</w:t>
      </w:r>
    </w:p>
    <w:p w14:paraId="52B93022">
      <w:pPr>
        <w:jc w:val="both"/>
        <w:rPr>
          <w:rFonts w:hint="default"/>
          <w:lang w:val="en-US" w:eastAsia="zh-CN"/>
        </w:rPr>
      </w:pPr>
      <w:r>
        <w:rPr>
          <w:rFonts w:hint="eastAsia"/>
          <w:lang w:val="en-US" w:eastAsia="zh-CN"/>
        </w:rPr>
        <w:t>为积极响应国家关于学生心理健康教育的战略部署，华越体育立足体育教育本位，创新构建轻量化心理健康支持体系。依托自有数字化平台，每月定期上线《心理小课堂》主题视频专栏，每期时长约1分钟，由浙江省心理卫生协会专家团队指导，公司专业心理咨询师团队精心研发。内容设计摒弃空洞说教，聚焦学生日常可感可及的成长场景：从运动场上的即时情绪调适、到学业压力下的心态平衡技巧，皆以平实语言传递科学方法。视频主题紧密呼应体育教学实践，如"神奇的‘学习成长区’"、"新学期的心理重启"等，将心理健康素质提升培养自然融入运动情境。</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6"/>
        <w:gridCol w:w="4166"/>
      </w:tblGrid>
      <w:tr w14:paraId="7F4C2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7643C9B">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611120" cy="4489450"/>
                  <wp:effectExtent l="0" t="0" r="17780" b="6350"/>
                  <wp:docPr id="16" name="图片 16" descr="2a41e4da3029fc6fa98e189d307a8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a41e4da3029fc6fa98e189d307a86c7"/>
                          <pic:cNvPicPr>
                            <a:picLocks noChangeAspect="1"/>
                          </pic:cNvPicPr>
                        </pic:nvPicPr>
                        <pic:blipFill>
                          <a:blip r:embed="rId30"/>
                          <a:srcRect r="-146" b="23778"/>
                          <a:stretch>
                            <a:fillRect/>
                          </a:stretch>
                        </pic:blipFill>
                        <pic:spPr>
                          <a:xfrm>
                            <a:off x="0" y="0"/>
                            <a:ext cx="2611120" cy="4489450"/>
                          </a:xfrm>
                          <a:prstGeom prst="rect">
                            <a:avLst/>
                          </a:prstGeom>
                        </pic:spPr>
                      </pic:pic>
                    </a:graphicData>
                  </a:graphic>
                </wp:inline>
              </w:drawing>
            </w:r>
          </w:p>
        </w:tc>
        <w:tc>
          <w:tcPr>
            <w:tcW w:w="4261" w:type="dxa"/>
          </w:tcPr>
          <w:p w14:paraId="41142884">
            <w:pPr>
              <w:ind w:left="0" w:leftChars="0" w:firstLine="0" w:firstLineChars="0"/>
              <w:rPr>
                <w:rFonts w:hint="default"/>
                <w:vertAlign w:val="baseline"/>
                <w:lang w:val="en-US" w:eastAsia="zh-CN"/>
              </w:rPr>
            </w:pPr>
            <w:r>
              <w:rPr>
                <w:rFonts w:hint="default"/>
                <w:vertAlign w:val="baseline"/>
                <w:lang w:val="en-US" w:eastAsia="zh-CN"/>
              </w:rPr>
              <w:drawing>
                <wp:inline distT="0" distB="0" distL="114300" distR="114300">
                  <wp:extent cx="2311400" cy="3989070"/>
                  <wp:effectExtent l="0" t="0" r="0" b="11430"/>
                  <wp:docPr id="17" name="图片 17" descr="ce2fd4d92e869ee5bb6d1bc668247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e2fd4d92e869ee5bb6d1bc66824711a"/>
                          <pic:cNvPicPr>
                            <a:picLocks noChangeAspect="1"/>
                          </pic:cNvPicPr>
                        </pic:nvPicPr>
                        <pic:blipFill>
                          <a:blip r:embed="rId31"/>
                          <a:srcRect r="-4932" b="16306"/>
                          <a:stretch>
                            <a:fillRect/>
                          </a:stretch>
                        </pic:blipFill>
                        <pic:spPr>
                          <a:xfrm>
                            <a:off x="0" y="0"/>
                            <a:ext cx="2311400" cy="3989070"/>
                          </a:xfrm>
                          <a:prstGeom prst="rect">
                            <a:avLst/>
                          </a:prstGeom>
                        </pic:spPr>
                      </pic:pic>
                    </a:graphicData>
                  </a:graphic>
                </wp:inline>
              </w:drawing>
            </w:r>
          </w:p>
        </w:tc>
      </w:tr>
    </w:tbl>
    <w:p w14:paraId="20A1B54A">
      <w:pPr>
        <w:pStyle w:val="5"/>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心理小课堂</w:t>
      </w:r>
    </w:p>
    <w:p w14:paraId="419ADF0B">
      <w:pPr>
        <w:jc w:val="both"/>
        <w:rPr>
          <w:rFonts w:hint="default"/>
          <w:lang w:val="en-US" w:eastAsia="zh-CN"/>
        </w:rPr>
      </w:pPr>
      <w:r>
        <w:rPr>
          <w:rFonts w:hint="eastAsia"/>
          <w:lang w:val="en-US" w:eastAsia="zh-CN"/>
        </w:rPr>
        <w:t>专业的心理课堂内容彰显的是华越体育对"五育融合"理念的深度践行——当学生在运动场上挥洒汗水时，我们不仅关注其体能提升，更注重为其心灵成长铺设隐形阶梯。专业心理人员通过精准的内容把关与推送机制，确保知识传递如春风化雨：既避免过度干预的焦虑，又以持续浸润的方式培育学生积极心理品质。这一机制，使体育课堂从单纯的技能训练场域，升华为身心协同发展的育人空间，无声诠释着"以体育心、以心强体"的教育真谛，为学校构建全人教育生态提供专业支撑。</w:t>
      </w:r>
    </w:p>
    <w:p w14:paraId="5DE5B399">
      <w:pPr>
        <w:pStyle w:val="4"/>
        <w:bidi w:val="0"/>
        <w:ind w:left="425" w:leftChars="0" w:firstLine="142" w:firstLineChars="0"/>
        <w:rPr>
          <w:rFonts w:hint="default"/>
          <w:lang w:val="en-US" w:eastAsia="zh-CN"/>
        </w:rPr>
      </w:pPr>
      <w:r>
        <w:rPr>
          <w:rFonts w:hint="eastAsia"/>
          <w:lang w:val="en-US" w:eastAsia="zh-CN"/>
        </w:rPr>
        <w:t>社群服务</w:t>
      </w:r>
    </w:p>
    <w:p w14:paraId="4BCC1402">
      <w:pPr>
        <w:bidi w:val="0"/>
        <w:rPr>
          <w:rFonts w:hint="eastAsia"/>
          <w:lang w:val="en-US" w:eastAsia="zh-CN"/>
        </w:rPr>
      </w:pPr>
      <w:r>
        <w:rPr>
          <w:rFonts w:hint="eastAsia"/>
          <w:lang w:val="en-US" w:eastAsia="zh-CN"/>
        </w:rPr>
        <w:t>在持续精进的发展历程中，华越体育始终恪守以学员为中心的理念，致力于提供全方位、精细化的课程外部配套服务。</w:t>
      </w:r>
    </w:p>
    <w:p w14:paraId="36C71F06">
      <w:pPr>
        <w:bidi w:val="0"/>
        <w:ind w:left="0" w:leftChars="0" w:firstLine="0" w:firstLineChars="0"/>
        <w:rPr>
          <w:rFonts w:hint="eastAsia"/>
          <w:color w:val="auto"/>
          <w:lang w:val="en-US" w:eastAsia="zh-CN"/>
        </w:rPr>
      </w:pPr>
      <w:r>
        <w:rPr>
          <w:rFonts w:hint="eastAsia"/>
          <w:b/>
          <w:bCs/>
          <w:color w:val="auto"/>
          <w:lang w:val="en-US" w:eastAsia="zh-CN"/>
        </w:rPr>
        <w:t>教学服务方面：</w:t>
      </w:r>
      <w:r>
        <w:rPr>
          <w:rFonts w:hint="eastAsia"/>
          <w:color w:val="auto"/>
          <w:lang w:val="en-US" w:eastAsia="zh-CN"/>
        </w:rPr>
        <w:t>​​</w:t>
      </w:r>
    </w:p>
    <w:p w14:paraId="6014D56B">
      <w:pPr>
        <w:bidi w:val="0"/>
        <w:rPr>
          <w:rFonts w:hint="eastAsia"/>
          <w:color w:val="auto"/>
          <w:vertAlign w:val="baseline"/>
          <w:lang w:val="en-US" w:eastAsia="zh-CN"/>
        </w:rPr>
      </w:pPr>
      <w:r>
        <w:rPr>
          <w:rFonts w:hint="eastAsia"/>
          <w:color w:val="auto"/>
          <w:lang w:val="en-US" w:eastAsia="zh-CN"/>
        </w:rPr>
        <w:t>前置化沟通保障：开课前夕，教练团队均会精准发布课程提醒与必备注意事项，确保信息畅达，学员提前知悉安排，有效规避潜在问题。</w:t>
      </w:r>
    </w:p>
    <w:p w14:paraId="6729A000">
      <w:pPr>
        <w:keepNext w:val="0"/>
        <w:keepLines w:val="0"/>
        <w:pageBreakBefore w:val="0"/>
        <w:widowControl/>
        <w:kinsoku/>
        <w:wordWrap/>
        <w:overflowPunct/>
        <w:topLinePunct w:val="0"/>
        <w:autoSpaceDE w:val="0"/>
        <w:autoSpaceDN w:val="0"/>
        <w:bidi w:val="0"/>
        <w:adjustRightInd w:val="0"/>
        <w:snapToGrid w:val="0"/>
        <w:ind w:left="0" w:leftChars="0" w:firstLine="640" w:firstLineChars="200"/>
        <w:textAlignment w:val="baseline"/>
        <w:rPr>
          <w:rFonts w:hint="eastAsia"/>
          <w:color w:val="auto"/>
          <w:lang w:val="en-US" w:eastAsia="zh-CN"/>
        </w:rPr>
      </w:pPr>
      <w:r>
        <w:rPr>
          <w:rFonts w:hint="eastAsia"/>
          <w:color w:val="auto"/>
          <w:lang w:val="en-US" w:eastAsia="zh-CN"/>
        </w:rPr>
        <w:t>科学化成长评估：依托学期初末开展的专业级技能数据测评，我们运用科学评估方法量化学员水平，以此为据构建动态优化、人尽其才的分级培养体系，使教学成果清晰可现，个人成长路径明确可循。</w:t>
      </w:r>
    </w:p>
    <w:p w14:paraId="6C2C52C7">
      <w:pPr>
        <w:bidi w:val="0"/>
        <w:ind w:left="0" w:leftChars="0" w:firstLine="0" w:firstLineChars="0"/>
        <w:rPr>
          <w:rFonts w:hint="eastAsia"/>
          <w:color w:val="auto"/>
          <w:lang w:val="en-US" w:eastAsia="zh-CN"/>
        </w:rPr>
      </w:pPr>
      <w:r>
        <w:rPr>
          <w:rFonts w:hint="eastAsia"/>
          <w:b/>
          <w:bCs/>
          <w:color w:val="auto"/>
          <w:lang w:val="en-US" w:eastAsia="zh-CN"/>
        </w:rPr>
        <w:t>家校互动方面：</w:t>
      </w:r>
      <w:r>
        <w:rPr>
          <w:rFonts w:hint="eastAsia"/>
          <w:color w:val="auto"/>
          <w:lang w:val="en-US" w:eastAsia="zh-CN"/>
        </w:rPr>
        <w:t>​​</w:t>
      </w:r>
    </w:p>
    <w:p w14:paraId="52FD3591">
      <w:pPr>
        <w:bidi w:val="0"/>
        <w:rPr>
          <w:rFonts w:hint="eastAsia"/>
          <w:color w:val="auto"/>
          <w:lang w:val="en-US" w:eastAsia="zh-CN"/>
        </w:rPr>
      </w:pPr>
      <w:r>
        <w:rPr>
          <w:rFonts w:hint="eastAsia"/>
          <w:color w:val="auto"/>
          <w:lang w:val="en-US" w:eastAsia="zh-CN"/>
        </w:rPr>
        <w:t>华越体育以家长微信社群为战略支点，精心构建立体化家校共育平台。社群运营超越常规信息传递功能，深度融入教育协同理念：课后即刻推送结构化课堂反馈，涵盖技能掌握亮点、课堂实时情况及个性化成长建议，使家长清晰感知教学过程与育人细节；同步建立双向响应机制，针对家长关切即时答疑解惑，有效强化家校互信纽带。这一设计精准响应国家“家校社协同育人”政策导向，将碎片化沟通升华为教育合力，为学校落实“五育融合”提供可操作的实践载体。</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50"/>
        <w:gridCol w:w="3750"/>
      </w:tblGrid>
      <w:tr w14:paraId="3CE90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750" w:type="dxa"/>
            <w:vAlign w:val="top"/>
          </w:tcPr>
          <w:p w14:paraId="6EE6F657">
            <w:pPr>
              <w:bidi w:val="0"/>
              <w:ind w:left="0" w:leftChars="0" w:firstLine="0" w:firstLineChars="0"/>
              <w:jc w:val="both"/>
              <w:rPr>
                <w:rFonts w:hint="eastAsia"/>
                <w:color w:val="auto"/>
                <w:vertAlign w:val="baseline"/>
                <w:lang w:val="en-US" w:eastAsia="zh-CN"/>
              </w:rPr>
            </w:pPr>
            <w:r>
              <w:rPr>
                <w:rFonts w:hint="eastAsia"/>
                <w:color w:val="auto"/>
                <w:vertAlign w:val="baseline"/>
                <w:lang w:val="en-US" w:eastAsia="zh-CN"/>
              </w:rPr>
              <w:t xml:space="preserve">   </w:t>
            </w:r>
            <w:r>
              <w:rPr>
                <w:rFonts w:hint="eastAsia"/>
                <w:color w:val="auto"/>
                <w:vertAlign w:val="baseline"/>
                <w:lang w:val="en-US" w:eastAsia="zh-CN"/>
              </w:rPr>
              <w:drawing>
                <wp:inline distT="0" distB="0" distL="114300" distR="114300">
                  <wp:extent cx="1837055" cy="3652520"/>
                  <wp:effectExtent l="0" t="0" r="10795" b="5080"/>
                  <wp:docPr id="26" name="图片 26" descr="b905ac50a31ac3f735939645a0b4d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905ac50a31ac3f735939645a0b4dbed"/>
                          <pic:cNvPicPr>
                            <a:picLocks noChangeAspect="1"/>
                          </pic:cNvPicPr>
                        </pic:nvPicPr>
                        <pic:blipFill>
                          <a:blip r:embed="rId32"/>
                          <a:srcRect t="4736" r="769" b="6026"/>
                          <a:stretch>
                            <a:fillRect/>
                          </a:stretch>
                        </pic:blipFill>
                        <pic:spPr>
                          <a:xfrm>
                            <a:off x="0" y="0"/>
                            <a:ext cx="1837055" cy="3652520"/>
                          </a:xfrm>
                          <a:prstGeom prst="rect">
                            <a:avLst/>
                          </a:prstGeom>
                        </pic:spPr>
                      </pic:pic>
                    </a:graphicData>
                  </a:graphic>
                </wp:inline>
              </w:drawing>
            </w:r>
          </w:p>
        </w:tc>
        <w:tc>
          <w:tcPr>
            <w:tcW w:w="3750" w:type="dxa"/>
            <w:vAlign w:val="top"/>
          </w:tcPr>
          <w:p w14:paraId="33108E9A">
            <w:pPr>
              <w:bidi w:val="0"/>
              <w:ind w:left="0" w:leftChars="0" w:firstLine="0" w:firstLineChars="0"/>
              <w:jc w:val="both"/>
              <w:rPr>
                <w:rFonts w:hint="eastAsia"/>
                <w:color w:val="auto"/>
                <w:vertAlign w:val="baseline"/>
                <w:lang w:val="en-US" w:eastAsia="zh-CN"/>
              </w:rPr>
            </w:pPr>
            <w:r>
              <w:rPr>
                <w:rFonts w:hint="eastAsia"/>
                <w:color w:val="auto"/>
                <w:vertAlign w:val="baseline"/>
                <w:lang w:val="en-US" w:eastAsia="zh-CN"/>
              </w:rPr>
              <w:t xml:space="preserve"> </w:t>
            </w:r>
            <w:r>
              <w:rPr>
                <w:rFonts w:hint="eastAsia"/>
                <w:color w:val="auto"/>
                <w:vertAlign w:val="baseline"/>
                <w:lang w:val="en-US" w:eastAsia="zh-CN"/>
              </w:rPr>
              <w:drawing>
                <wp:inline distT="0" distB="0" distL="114300" distR="114300">
                  <wp:extent cx="1852930" cy="3629025"/>
                  <wp:effectExtent l="0" t="0" r="13970" b="9525"/>
                  <wp:docPr id="28" name="图片 28" descr="e41bfe61cb610c7a218d76dc00346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41bfe61cb610c7a218d76dc00346846"/>
                          <pic:cNvPicPr>
                            <a:picLocks noChangeAspect="1"/>
                          </pic:cNvPicPr>
                        </pic:nvPicPr>
                        <pic:blipFill>
                          <a:blip r:embed="rId33"/>
                          <a:srcRect t="4904" r="1290" b="7710"/>
                          <a:stretch>
                            <a:fillRect/>
                          </a:stretch>
                        </pic:blipFill>
                        <pic:spPr>
                          <a:xfrm>
                            <a:off x="0" y="0"/>
                            <a:ext cx="1852930" cy="3629025"/>
                          </a:xfrm>
                          <a:prstGeom prst="rect">
                            <a:avLst/>
                          </a:prstGeom>
                        </pic:spPr>
                      </pic:pic>
                    </a:graphicData>
                  </a:graphic>
                </wp:inline>
              </w:drawing>
            </w:r>
          </w:p>
        </w:tc>
      </w:tr>
    </w:tbl>
    <w:p w14:paraId="14CBEF26">
      <w:pPr>
        <w:pStyle w:val="5"/>
        <w:jc w:val="center"/>
        <w:rPr>
          <w:rFonts w:hint="eastAsia"/>
          <w:color w:val="auto"/>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社群沟通</w:t>
      </w:r>
    </w:p>
    <w:p w14:paraId="6044FB8D">
      <w:pPr>
        <w:bidi w:val="0"/>
        <w:rPr>
          <w:rFonts w:hint="eastAsia"/>
          <w:lang w:val="en-US" w:eastAsia="zh-CN"/>
        </w:rPr>
      </w:pPr>
      <w:r>
        <w:rPr>
          <w:rFonts w:hint="eastAsia"/>
          <w:color w:val="auto"/>
          <w:lang w:val="en-US" w:eastAsia="zh-CN"/>
        </w:rPr>
        <w:t>社群内容体系注重文化浸润与价值引领。深度结合二十四节气及传统节日，原创策划各类节气主题海报，将传统文化智慧与运动健康知识有机融合。每一帧节气海报、每一条活动指引，皆以润物无声的方式传递健康生活哲学，使体育锻炼超越体能训练范畴，成为涵养家庭文化认同与生命教育的鲜活课堂。</w:t>
      </w:r>
      <w:r>
        <w:rPr>
          <w:rFonts w:hint="eastAsia"/>
          <w:lang w:val="en-US" w:eastAsia="zh-CN"/>
        </w:rPr>
        <w:t>彰显对“体教融合”本质的深刻理解——当社群成为传递教育温度的媒介，当日常互动化作品格塑造的契机，我们便在细微处践行“以体育人”的初心。国企服务的责任感，正体现在将政策高度转化为生活温度的持续努力中，助力学校构建“全成员、全过程、全方位”的育人生态。</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0"/>
        <w:gridCol w:w="4262"/>
      </w:tblGrid>
      <w:tr w14:paraId="0E17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76" w:type="dxa"/>
          </w:tcPr>
          <w:p w14:paraId="21183E70">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1978660" cy="3900805"/>
                  <wp:effectExtent l="0" t="0" r="2540" b="4445"/>
                  <wp:docPr id="29" name="图片 29" descr="fe94aac0ba1b8bf85ec2f81153810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e94aac0ba1b8bf85ec2f811538108ea"/>
                          <pic:cNvPicPr>
                            <a:picLocks noChangeAspect="1"/>
                          </pic:cNvPicPr>
                        </pic:nvPicPr>
                        <pic:blipFill>
                          <a:blip r:embed="rId34"/>
                          <a:srcRect t="5050" r="1265" b="6913"/>
                          <a:stretch>
                            <a:fillRect/>
                          </a:stretch>
                        </pic:blipFill>
                        <pic:spPr>
                          <a:xfrm>
                            <a:off x="0" y="0"/>
                            <a:ext cx="1978660" cy="3900805"/>
                          </a:xfrm>
                          <a:prstGeom prst="rect">
                            <a:avLst/>
                          </a:prstGeom>
                        </pic:spPr>
                      </pic:pic>
                    </a:graphicData>
                  </a:graphic>
                </wp:inline>
              </w:drawing>
            </w:r>
          </w:p>
        </w:tc>
        <w:tc>
          <w:tcPr>
            <w:tcW w:w="4276" w:type="dxa"/>
          </w:tcPr>
          <w:p w14:paraId="7DA0CAC5">
            <w:pPr>
              <w:bidi w:val="0"/>
              <w:ind w:left="0" w:leftChars="0" w:firstLine="0" w:firstLineChars="0"/>
              <w:rPr>
                <w:rFonts w:hint="eastAsia"/>
                <w:vertAlign w:val="baseline"/>
                <w:lang w:val="en-US" w:eastAsia="zh-CN"/>
              </w:rPr>
            </w:pPr>
            <w:r>
              <w:rPr>
                <w:rFonts w:hint="eastAsia"/>
                <w:vertAlign w:val="baseline"/>
                <w:lang w:val="en-US" w:eastAsia="zh-CN"/>
              </w:rPr>
              <w:drawing>
                <wp:inline distT="0" distB="0" distL="114300" distR="114300">
                  <wp:extent cx="2043430" cy="3907155"/>
                  <wp:effectExtent l="0" t="0" r="13970" b="17145"/>
                  <wp:docPr id="31" name="图片 31" descr="b3a8d0dab9a6d75ee7d7fc9c83b80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b3a8d0dab9a6d75ee7d7fc9c83b808e6"/>
                          <pic:cNvPicPr>
                            <a:picLocks noChangeAspect="1"/>
                          </pic:cNvPicPr>
                        </pic:nvPicPr>
                        <pic:blipFill>
                          <a:blip r:embed="rId35"/>
                          <a:srcRect t="5073" r="-1495" b="7159"/>
                          <a:stretch>
                            <a:fillRect/>
                          </a:stretch>
                        </pic:blipFill>
                        <pic:spPr>
                          <a:xfrm>
                            <a:off x="0" y="0"/>
                            <a:ext cx="2043430" cy="3907155"/>
                          </a:xfrm>
                          <a:prstGeom prst="rect">
                            <a:avLst/>
                          </a:prstGeom>
                        </pic:spPr>
                      </pic:pic>
                    </a:graphicData>
                  </a:graphic>
                </wp:inline>
              </w:drawing>
            </w:r>
          </w:p>
        </w:tc>
      </w:tr>
    </w:tbl>
    <w:p w14:paraId="04866323">
      <w:pPr>
        <w:pStyle w:val="5"/>
        <w:jc w:val="center"/>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社群服务</w:t>
      </w:r>
    </w:p>
    <w:p w14:paraId="32C11507">
      <w:pPr>
        <w:keepNext w:val="0"/>
        <w:keepLines w:val="0"/>
        <w:pageBreakBefore w:val="0"/>
        <w:widowControl/>
        <w:kinsoku/>
        <w:wordWrap/>
        <w:overflowPunct/>
        <w:topLinePunct w:val="0"/>
        <w:autoSpaceDE w:val="0"/>
        <w:autoSpaceDN w:val="0"/>
        <w:bidi w:val="0"/>
        <w:adjustRightInd w:val="0"/>
        <w:snapToGrid w:val="0"/>
        <w:ind w:left="0" w:leftChars="0" w:firstLine="640" w:firstLineChars="200"/>
        <w:textAlignment w:val="baseline"/>
        <w:rPr>
          <w:rFonts w:hint="default"/>
          <w:lang w:val="en-US" w:eastAsia="zh-CN"/>
        </w:rPr>
      </w:pPr>
      <w:r>
        <w:rPr>
          <w:rFonts w:hint="eastAsia"/>
          <w:lang w:val="en-US" w:eastAsia="zh-CN"/>
        </w:rPr>
        <w:t>华越体育始终坚持以服务流程的持续优化为根基，将课前沟通、过程陪伴、成果反馈融为有机整体，力求为每位学员锻造安全、高效、富有成就感的卓越学习体验，以实际行动兑现对学员、家长及校园综合需求的忠实承诺。</w:t>
      </w:r>
    </w:p>
    <w:p w14:paraId="262C2BAE">
      <w:pPr>
        <w:pStyle w:val="3"/>
        <w:numPr>
          <w:ilvl w:val="0"/>
          <w:numId w:val="4"/>
        </w:numPr>
        <w:bidi w:val="0"/>
        <w:ind w:left="0" w:leftChars="0" w:firstLine="567" w:firstLineChars="0"/>
        <w:rPr>
          <w:rFonts w:hint="eastAsia"/>
          <w:lang w:val="en-US" w:eastAsia="zh-CN"/>
        </w:rPr>
      </w:pPr>
      <w:bookmarkStart w:id="7" w:name="_Toc9239"/>
      <w:r>
        <w:rPr>
          <w:rFonts w:hint="eastAsia"/>
          <w:lang w:val="en-US" w:eastAsia="zh-CN"/>
        </w:rPr>
        <w:t>学员数据分析</w:t>
      </w:r>
      <w:bookmarkEnd w:id="7"/>
    </w:p>
    <w:p w14:paraId="16BBD552">
      <w:pPr>
        <w:bidi w:val="0"/>
        <w:jc w:val="both"/>
        <w:rPr>
          <w:rFonts w:hint="default"/>
          <w:lang w:val="en-US" w:eastAsia="zh-CN"/>
        </w:rPr>
      </w:pPr>
      <w:r>
        <w:rPr>
          <w:rFonts w:hint="default"/>
          <w:lang w:val="en-US" w:eastAsia="zh-CN"/>
        </w:rPr>
        <w:t>本学期，华越体育依托数字化管理平台，对合作学校</w:t>
      </w:r>
      <w:r>
        <w:rPr>
          <w:rFonts w:hint="eastAsia"/>
          <w:lang w:val="en-US" w:eastAsia="zh-CN"/>
        </w:rPr>
        <w:t>所有</w:t>
      </w:r>
      <w:r>
        <w:rPr>
          <w:rFonts w:hint="default"/>
          <w:lang w:val="en-US" w:eastAsia="zh-CN"/>
        </w:rPr>
        <w:t>课程的运行数据进行了系统梳理与分析。在确保数据真实、完整、可溯的前提下，聚焦学员参与、课堂实施、成长轨迹等核心维度，力求以客观视角呈现服务成效，为后续教学优化与家校协同提供依据。以下从年级分布、新老学员结构、稳定性等方面展开简要分析</w:t>
      </w:r>
      <w:r>
        <w:rPr>
          <w:rFonts w:hint="eastAsia"/>
          <w:lang w:val="en-US" w:eastAsia="zh-CN"/>
        </w:rPr>
        <w:t>。</w:t>
      </w:r>
    </w:p>
    <w:p w14:paraId="185E41E9">
      <w:pPr>
        <w:bidi w:val="0"/>
        <w:rPr>
          <w:rFonts w:hint="default"/>
          <w:sz w:val="21"/>
          <w:szCs w:val="21"/>
          <w:lang w:val="en-US" w:eastAsia="zh-CN"/>
        </w:rPr>
      </w:pPr>
      <w:r>
        <w:rPr>
          <w:rFonts w:hint="eastAsia"/>
          <w:sz w:val="21"/>
          <w:szCs w:val="21"/>
          <w:lang w:val="en-US" w:eastAsia="zh-CN"/>
        </w:rPr>
        <w:t>（注：以下数据采集时间为：2025.9.1~2026.1.9）</w:t>
      </w:r>
    </w:p>
    <w:p w14:paraId="1B1CA05E">
      <w:pPr>
        <w:pStyle w:val="4"/>
        <w:numPr>
          <w:ilvl w:val="0"/>
          <w:numId w:val="5"/>
        </w:numPr>
        <w:bidi w:val="0"/>
        <w:ind w:left="0" w:leftChars="0" w:firstLine="567" w:firstLineChars="0"/>
        <w:rPr>
          <w:rFonts w:hint="default"/>
          <w:lang w:val="en-US" w:eastAsia="zh-CN"/>
        </w:rPr>
      </w:pPr>
      <w:r>
        <w:rPr>
          <w:rFonts w:hint="eastAsia"/>
          <w:lang w:val="en-US" w:eastAsia="zh-CN"/>
        </w:rPr>
        <w:t>年级分布</w:t>
      </w: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40"/>
      </w:tblGrid>
      <w:tr w14:paraId="5BA26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2" w:hRule="atLeast"/>
          <w:jc w:val="center"/>
        </w:trPr>
        <w:tc>
          <w:tcPr>
            <w:tcW w:w="6940" w:type="dxa"/>
          </w:tcPr>
          <w:p w14:paraId="59075BB5">
            <w:pPr>
              <w:ind w:left="0" w:leftChars="0" w:firstLine="0" w:firstLineChars="0"/>
              <w:jc w:val="center"/>
              <w:rPr>
                <w:rFonts w:hint="default"/>
                <w:vertAlign w:val="baseline"/>
                <w:lang w:val="en-US" w:eastAsia="zh-CN"/>
              </w:rPr>
            </w:pPr>
            <w:r>
              <w:drawing>
                <wp:inline distT="0" distB="0" distL="114300" distR="114300">
                  <wp:extent cx="2987675" cy="223456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6"/>
                          <a:srcRect t="5327" r="423"/>
                          <a:stretch>
                            <a:fillRect/>
                          </a:stretch>
                        </pic:blipFill>
                        <pic:spPr>
                          <a:xfrm>
                            <a:off x="0" y="0"/>
                            <a:ext cx="2987675" cy="2234565"/>
                          </a:xfrm>
                          <a:prstGeom prst="rect">
                            <a:avLst/>
                          </a:prstGeom>
                          <a:noFill/>
                          <a:ln>
                            <a:noFill/>
                          </a:ln>
                        </pic:spPr>
                      </pic:pic>
                    </a:graphicData>
                  </a:graphic>
                </wp:inline>
              </w:drawing>
            </w:r>
          </w:p>
        </w:tc>
      </w:tr>
    </w:tbl>
    <w:p w14:paraId="42BA9226">
      <w:pPr>
        <w:pStyle w:val="5"/>
        <w:jc w:val="center"/>
        <w:rPr>
          <w:rFonts w:hint="default" w:eastAsia="宋体"/>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学员年级分布</w:t>
      </w:r>
    </w:p>
    <w:p w14:paraId="6AE76369">
      <w:pPr>
        <w:rPr>
          <w:rFonts w:hint="default"/>
          <w:lang w:val="en-US" w:eastAsia="zh-CN"/>
        </w:rPr>
      </w:pPr>
      <w:r>
        <w:rPr>
          <w:rFonts w:hint="eastAsia"/>
          <w:lang w:val="en-US" w:eastAsia="zh-CN"/>
        </w:rPr>
        <w:t>按照本学期</w:t>
      </w:r>
      <w:r>
        <w:rPr>
          <w:rFonts w:hint="default"/>
          <w:lang w:val="en-US" w:eastAsia="zh-CN"/>
        </w:rPr>
        <w:t>数据显示，课程实现了对小学全学段的完整覆盖，并形成了以中年级为核心、各年级均衡参与的稳健纺锤形结构。该结构体现了课程在各学段均具备良好的适应性与吸引力，为构建可持续发展的校园体育梯队奠定了坚实基础。</w:t>
      </w:r>
    </w:p>
    <w:p w14:paraId="0C9831D8">
      <w:pPr>
        <w:rPr>
          <w:rFonts w:hint="default"/>
          <w:lang w:val="en-US" w:eastAsia="zh-CN"/>
        </w:rPr>
      </w:pPr>
      <w:r>
        <w:rPr>
          <w:rFonts w:hint="default"/>
          <w:lang w:val="en-US" w:eastAsia="zh-CN"/>
        </w:rPr>
        <w:t>整体来看，三年级学员占比25.47%的显著优势，成为参与度最高的年级，这充分说明课程内容与教学方式深度契合该学段学生的身心特点与发展需求，形成了强大的参与惯性与核心学员群体。一、二、四年级的参与度高度均衡且活跃，占比均在16%-17%之间（分别为16.98%、16.04%、16.04%），合计约占学员总数的半壁江山。这共同构成了课程最广泛、最坚实的“中段基石”，表明课程在低中学年段拥有扎实的群众基础和强大的号召力。五年级（15.09%）与六年级（10.38%）学员的持续参与，则保障了培养体系的连贯性与完整性，使</w:t>
      </w:r>
      <w:r>
        <w:rPr>
          <w:rFonts w:hint="eastAsia"/>
          <w:lang w:val="en-US" w:eastAsia="zh-CN"/>
        </w:rPr>
        <w:t>兴趣</w:t>
      </w:r>
      <w:r>
        <w:rPr>
          <w:rFonts w:hint="default"/>
          <w:lang w:val="en-US" w:eastAsia="zh-CN"/>
        </w:rPr>
        <w:t>运动能够伴随学生直至小学毕业阶段。</w:t>
      </w:r>
    </w:p>
    <w:p w14:paraId="594B28BA">
      <w:pPr>
        <w:rPr>
          <w:rFonts w:hint="default"/>
          <w:lang w:val="en-US" w:eastAsia="zh-CN"/>
        </w:rPr>
      </w:pPr>
      <w:r>
        <w:rPr>
          <w:rFonts w:hint="default"/>
          <w:lang w:val="en-US" w:eastAsia="zh-CN"/>
        </w:rPr>
        <w:t>当前“中间突出、两端支撑”的年级分布，是一种健康且富有活力的生态结构。三年级的高参与度起到了良好的示范与带动作用；而一、二、四年级的均衡分布，则提供了稳定的生源基础和持续的成长动能。这种结构不仅确保了当下课程教学与活动开展的活跃度，其自然的年级晋升通道也为未来的持续发展注入了确定性。下一步，我们可在巩固三年级核心优势、激发中段年级活力的同时，进一步研究高年级学员的深层需求，通过课程内容与活动形式的微调，提升其参与浓度，推动整体年级结构向更理想、更饱满的状态持续演进。</w:t>
      </w:r>
    </w:p>
    <w:p w14:paraId="014D815C">
      <w:pPr>
        <w:pStyle w:val="4"/>
        <w:numPr>
          <w:ilvl w:val="0"/>
          <w:numId w:val="5"/>
        </w:numPr>
        <w:bidi w:val="0"/>
        <w:ind w:left="0" w:leftChars="0" w:firstLine="567" w:firstLineChars="0"/>
        <w:rPr>
          <w:rFonts w:hint="default"/>
          <w:lang w:val="en-US" w:eastAsia="zh-CN"/>
        </w:rPr>
      </w:pPr>
      <w:r>
        <w:rPr>
          <w:rFonts w:hint="eastAsia"/>
          <w:lang w:val="en-US" w:eastAsia="zh-CN"/>
        </w:rPr>
        <w:t>课程类型</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CBEF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4655AC6C">
            <w:pPr>
              <w:ind w:left="0" w:leftChars="0" w:firstLine="0" w:firstLineChars="0"/>
              <w:jc w:val="center"/>
              <w:rPr>
                <w:rFonts w:hint="default"/>
                <w:vertAlign w:val="baseline"/>
                <w:lang w:val="en-US" w:eastAsia="zh-CN"/>
              </w:rPr>
            </w:pPr>
            <w:r>
              <w:drawing>
                <wp:inline distT="0" distB="0" distL="114300" distR="114300">
                  <wp:extent cx="3649980" cy="2369820"/>
                  <wp:effectExtent l="0" t="0" r="0"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7"/>
                          <a:srcRect t="8529" r="6764"/>
                          <a:stretch>
                            <a:fillRect/>
                          </a:stretch>
                        </pic:blipFill>
                        <pic:spPr>
                          <a:xfrm>
                            <a:off x="0" y="0"/>
                            <a:ext cx="3649980" cy="2369820"/>
                          </a:xfrm>
                          <a:prstGeom prst="rect">
                            <a:avLst/>
                          </a:prstGeom>
                          <a:noFill/>
                          <a:ln>
                            <a:noFill/>
                          </a:ln>
                        </pic:spPr>
                      </pic:pic>
                    </a:graphicData>
                  </a:graphic>
                </wp:inline>
              </w:drawing>
            </w:r>
          </w:p>
        </w:tc>
      </w:tr>
    </w:tbl>
    <w:p w14:paraId="5E65EB9C">
      <w:pPr>
        <w:pStyle w:val="5"/>
        <w:ind w:left="0" w:leftChars="0" w:firstLine="0" w:firstLineChars="0"/>
        <w:jc w:val="center"/>
        <w:rPr>
          <w:rFonts w:hint="default" w:eastAsia="宋体"/>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课程类型</w:t>
      </w:r>
      <w:r>
        <w:rPr>
          <w:rFonts w:hint="eastAsia"/>
          <w:lang w:val="en-US" w:eastAsia="zh-CN"/>
        </w:rPr>
        <w:t>学员分布</w:t>
      </w:r>
    </w:p>
    <w:p w14:paraId="4BEB75BF">
      <w:pPr>
        <w:rPr>
          <w:rFonts w:hint="default"/>
          <w:lang w:val="en-US" w:eastAsia="zh-CN"/>
        </w:rPr>
      </w:pPr>
      <w:r>
        <w:rPr>
          <w:rFonts w:hint="default"/>
          <w:lang w:val="en-US" w:eastAsia="zh-CN"/>
        </w:rPr>
        <w:t>本期课程类型结构呈现出 “校队引领、体系鲜明、路径清晰”的专业化培养格局。数据显示，课程成功构建了以竞技水平提升为核心导向，同时兼顾兴趣普及与梯队衔接的成熟体系，为学生的技能进阶提供了明确、连贯的发展通道。</w:t>
      </w:r>
    </w:p>
    <w:p w14:paraId="3731ECC8">
      <w:pPr>
        <w:rPr>
          <w:rFonts w:hint="default"/>
          <w:lang w:val="en-US" w:eastAsia="zh-CN"/>
        </w:rPr>
      </w:pPr>
      <w:r>
        <w:rPr>
          <w:rFonts w:hint="default"/>
          <w:lang w:val="en-US" w:eastAsia="zh-CN"/>
        </w:rPr>
        <w:t>从具体构成来看，校队学员占总人数的55.66%，构成了课程的绝对主体与核心力量。这一压倒性的占比充分表明，课程体系的核心目标与最终出口高度聚焦于竞技人才的培养与精英梯队的建设。高比例的校队学员不仅反映了学生们追求卓越、精进球技的强烈意愿，更直接体现了课程在专业化、系统化训练方面获得的深度认可，能够有效承接学员的进阶需求并将其培养至较高竞技水平。</w:t>
      </w:r>
    </w:p>
    <w:p w14:paraId="1011CD23">
      <w:pPr>
        <w:rPr>
          <w:rFonts w:hint="default"/>
          <w:lang w:val="en-US" w:eastAsia="zh-CN"/>
        </w:rPr>
      </w:pPr>
      <w:r>
        <w:rPr>
          <w:rFonts w:hint="default"/>
          <w:lang w:val="en-US" w:eastAsia="zh-CN"/>
        </w:rPr>
        <w:t>与此同时，兴趣班（占比33.02%）与梯队（占比11.32%）作为体系的重要组成，分别承担着“广泛启蒙”与“精准过渡”的关键职能。兴趣班是发掘潜在兴趣、扩大运动人口的基础平台；而梯队则是连接兴趣普及与精英竞技的桥梁，负责对有潜力的学员进行早期系统化训练和选拔输送。三者共同构成了一个“兴趣班广泛选材、梯队班重点培养、校队班精英锻造”的良性人才供应链。</w:t>
      </w:r>
    </w:p>
    <w:p w14:paraId="7590063B">
      <w:pPr>
        <w:rPr>
          <w:rFonts w:hint="eastAsia"/>
          <w:lang w:val="en-US" w:eastAsia="zh-CN"/>
        </w:rPr>
      </w:pPr>
      <w:r>
        <w:rPr>
          <w:rFonts w:hint="default"/>
          <w:lang w:val="en-US" w:eastAsia="zh-CN"/>
        </w:rPr>
        <w:t>综上所述，当前以</w:t>
      </w:r>
      <w:r>
        <w:rPr>
          <w:rFonts w:hint="eastAsia"/>
          <w:lang w:val="en-US" w:eastAsia="zh-CN"/>
        </w:rPr>
        <w:t>篮球、足球</w:t>
      </w:r>
      <w:r>
        <w:rPr>
          <w:rFonts w:hint="default"/>
          <w:lang w:val="en-US" w:eastAsia="zh-CN"/>
        </w:rPr>
        <w:t>校队为绝对重心的课程类型结构，是学校发展坚持“竞技体育特色”与“专业培养路径”的鲜明体现。这种结构确保了人才培养的深度与高度，形成了强大的竞技标杆效应。未来，可在持续深化校队专业训练的同时，进一步激发兴趣班的活力与梯队的输送效率，使三级体系间的联动更为紧密、高效，共同支撑学校篮球竞技水平的持续提升与品牌的长期建设</w:t>
      </w:r>
      <w:r>
        <w:rPr>
          <w:rFonts w:hint="eastAsia"/>
          <w:lang w:val="en-US" w:eastAsia="zh-CN"/>
        </w:rPr>
        <w:t>。</w:t>
      </w:r>
    </w:p>
    <w:p w14:paraId="69CF7481">
      <w:pPr>
        <w:rPr>
          <w:rFonts w:hint="default"/>
          <w:lang w:val="en-US" w:eastAsia="zh-CN"/>
        </w:rPr>
      </w:pPr>
    </w:p>
    <w:p w14:paraId="5F4F58B4">
      <w:pPr>
        <w:pStyle w:val="4"/>
        <w:numPr>
          <w:ilvl w:val="0"/>
          <w:numId w:val="5"/>
        </w:numPr>
        <w:bidi w:val="0"/>
        <w:ind w:left="0" w:leftChars="0" w:firstLine="567" w:firstLineChars="0"/>
        <w:rPr>
          <w:rFonts w:hint="default"/>
          <w:lang w:val="en-US" w:eastAsia="zh-CN"/>
        </w:rPr>
      </w:pPr>
      <w:r>
        <w:rPr>
          <w:rFonts w:hint="eastAsia"/>
          <w:lang w:val="en-US" w:eastAsia="zh-CN"/>
        </w:rPr>
        <w:t>出勤率分析</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A633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4DE784A5">
            <w:pPr>
              <w:ind w:left="0" w:leftChars="0" w:firstLine="0" w:firstLineChars="0"/>
              <w:jc w:val="both"/>
              <w:rPr>
                <w:rFonts w:hint="eastAsia" w:eastAsia="华文仿宋"/>
                <w:vertAlign w:val="baseline"/>
                <w:lang w:val="en-US" w:eastAsia="zh-CN"/>
              </w:rPr>
            </w:pPr>
            <w:r>
              <w:rPr>
                <w:rFonts w:hint="eastAsia" w:eastAsia="华文仿宋"/>
                <w:vertAlign w:val="baseline"/>
                <w:lang w:val="en-US" w:eastAsia="zh-CN"/>
              </w:rPr>
              <w:drawing>
                <wp:inline distT="0" distB="0" distL="114300" distR="114300">
                  <wp:extent cx="5217795" cy="2722245"/>
                  <wp:effectExtent l="0" t="0" r="0" b="0"/>
                  <wp:docPr id="25" name="图片 25" descr="ec617466e860162bc337bc8e55c5c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c617466e860162bc337bc8e55c5cac3"/>
                          <pic:cNvPicPr>
                            <a:picLocks noChangeAspect="1"/>
                          </pic:cNvPicPr>
                        </pic:nvPicPr>
                        <pic:blipFill>
                          <a:blip r:embed="rId38"/>
                          <a:srcRect t="3206" r="1036"/>
                          <a:stretch>
                            <a:fillRect/>
                          </a:stretch>
                        </pic:blipFill>
                        <pic:spPr>
                          <a:xfrm>
                            <a:off x="0" y="0"/>
                            <a:ext cx="5217795" cy="2722245"/>
                          </a:xfrm>
                          <a:prstGeom prst="rect">
                            <a:avLst/>
                          </a:prstGeom>
                        </pic:spPr>
                      </pic:pic>
                    </a:graphicData>
                  </a:graphic>
                </wp:inline>
              </w:drawing>
            </w:r>
          </w:p>
        </w:tc>
      </w:tr>
    </w:tbl>
    <w:p w14:paraId="2BCA885A">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w:t>
      </w:r>
      <w:r>
        <w:rPr>
          <w:rFonts w:hint="eastAsia"/>
          <w:lang w:val="en-US" w:eastAsia="zh-CN"/>
        </w:rPr>
        <w:t>到课</w:t>
      </w:r>
      <w:r>
        <w:rPr>
          <w:rFonts w:hint="eastAsia"/>
          <w:lang w:eastAsia="zh-CN"/>
        </w:rPr>
        <w:t>人次与出勤率</w:t>
      </w:r>
    </w:p>
    <w:p w14:paraId="5CFD4F26">
      <w:pPr>
        <w:rPr>
          <w:rFonts w:hint="default"/>
          <w:lang w:val="en-US" w:eastAsia="zh-CN"/>
        </w:rPr>
      </w:pPr>
      <w:r>
        <w:rPr>
          <w:rFonts w:hint="default"/>
          <w:lang w:val="en-US" w:eastAsia="zh-CN"/>
        </w:rPr>
        <w:t>本学期课程整体运行平稳，教学计划得到有效落实。</w:t>
      </w:r>
      <w:r>
        <w:rPr>
          <w:rFonts w:hint="eastAsia"/>
          <w:lang w:val="en-US" w:eastAsia="zh-CN"/>
        </w:rPr>
        <w:t>从</w:t>
      </w:r>
      <w:r>
        <w:rPr>
          <w:rFonts w:hint="default"/>
          <w:lang w:val="en-US" w:eastAsia="zh-CN"/>
        </w:rPr>
        <w:t>图表数据来看，学员参与基础扎实，整体出勤情况良好，总平均</w:t>
      </w:r>
      <w:r>
        <w:rPr>
          <w:rFonts w:hint="eastAsia"/>
          <w:lang w:val="en-US" w:eastAsia="zh-CN"/>
        </w:rPr>
        <w:t>出勤</w:t>
      </w:r>
      <w:r>
        <w:rPr>
          <w:rFonts w:hint="default"/>
          <w:lang w:val="en-US" w:eastAsia="zh-CN"/>
        </w:rPr>
        <w:t>率达到75.20%，反映出多数学员已形成稳定的</w:t>
      </w:r>
      <w:r>
        <w:rPr>
          <w:rFonts w:hint="eastAsia"/>
          <w:lang w:val="en-US" w:eastAsia="zh-CN"/>
        </w:rPr>
        <w:t>出勤频次</w:t>
      </w:r>
      <w:r>
        <w:rPr>
          <w:rFonts w:hint="default"/>
          <w:lang w:val="en-US" w:eastAsia="zh-CN"/>
        </w:rPr>
        <w:t>，教学</w:t>
      </w:r>
      <w:r>
        <w:rPr>
          <w:rFonts w:hint="eastAsia"/>
          <w:lang w:val="en-US" w:eastAsia="zh-CN"/>
        </w:rPr>
        <w:t>计划井然有序的推进</w:t>
      </w:r>
      <w:r>
        <w:rPr>
          <w:rFonts w:hint="default"/>
          <w:lang w:val="en-US" w:eastAsia="zh-CN"/>
        </w:rPr>
        <w:t>。</w:t>
      </w:r>
    </w:p>
    <w:p w14:paraId="0366B82D">
      <w:pPr>
        <w:rPr>
          <w:rFonts w:hint="default"/>
          <w:lang w:val="en-US" w:eastAsia="zh-CN"/>
        </w:rPr>
      </w:pPr>
      <w:r>
        <w:rPr>
          <w:rFonts w:hint="default"/>
          <w:lang w:val="en-US" w:eastAsia="zh-CN"/>
        </w:rPr>
        <w:t>课程表现呈现出“小班标杆引领、大班基础稳固、整体健康有序”的积极态势。“余杭文化</w:t>
      </w:r>
      <w:r>
        <w:rPr>
          <w:rFonts w:hint="eastAsia"/>
          <w:lang w:val="en-US" w:eastAsia="zh-CN"/>
        </w:rPr>
        <w:t>篮球</w:t>
      </w:r>
      <w:r>
        <w:rPr>
          <w:rFonts w:hint="default"/>
          <w:lang w:val="en-US" w:eastAsia="zh-CN"/>
        </w:rPr>
        <w:t>校队班”取得了97.01%的</w:t>
      </w:r>
      <w:r>
        <w:rPr>
          <w:rFonts w:hint="eastAsia"/>
          <w:lang w:val="en-US" w:eastAsia="zh-CN"/>
        </w:rPr>
        <w:t>出勤</w:t>
      </w:r>
      <w:r>
        <w:rPr>
          <w:rFonts w:hint="default"/>
          <w:lang w:val="en-US" w:eastAsia="zh-CN"/>
        </w:rPr>
        <w:t>率，位居所有班级之首，这充分体现了小班化、精英化教学在保障出勤与训练质量方面的显著优势，树立了高质量标杆。与此同时</w:t>
      </w:r>
      <w:r>
        <w:rPr>
          <w:rFonts w:hint="eastAsia"/>
          <w:lang w:val="en-US" w:eastAsia="zh-CN"/>
        </w:rPr>
        <w:t>，规模人数较大的</w:t>
      </w:r>
      <w:r>
        <w:rPr>
          <w:rFonts w:hint="default"/>
          <w:lang w:val="en-US" w:eastAsia="zh-CN"/>
        </w:rPr>
        <w:t>“余杭文化足球二年级精英班”</w:t>
      </w:r>
      <w:r>
        <w:rPr>
          <w:rFonts w:hint="eastAsia"/>
          <w:lang w:val="en-US" w:eastAsia="zh-CN"/>
        </w:rPr>
        <w:t>和“余杭文化足球三四年级校队班”</w:t>
      </w:r>
      <w:r>
        <w:rPr>
          <w:rFonts w:hint="default"/>
          <w:lang w:val="en-US" w:eastAsia="zh-CN"/>
        </w:rPr>
        <w:t>保持了</w:t>
      </w:r>
      <w:r>
        <w:rPr>
          <w:rFonts w:hint="eastAsia"/>
          <w:lang w:val="en-US" w:eastAsia="zh-CN"/>
        </w:rPr>
        <w:t>近八成</w:t>
      </w:r>
      <w:r>
        <w:rPr>
          <w:rFonts w:hint="default"/>
          <w:lang w:val="en-US" w:eastAsia="zh-CN"/>
        </w:rPr>
        <w:t>的</w:t>
      </w:r>
      <w:r>
        <w:rPr>
          <w:rFonts w:hint="eastAsia"/>
          <w:lang w:val="en-US" w:eastAsia="zh-CN"/>
        </w:rPr>
        <w:t>出勤</w:t>
      </w:r>
      <w:r>
        <w:rPr>
          <w:rFonts w:hint="default"/>
          <w:lang w:val="en-US" w:eastAsia="zh-CN"/>
        </w:rPr>
        <w:t>率，成功实现了广泛普及与出勤稳定的平衡，是课程体系的坚实基座。此外，“余杭文化篮球</w:t>
      </w:r>
      <w:r>
        <w:rPr>
          <w:rFonts w:hint="eastAsia"/>
          <w:lang w:val="en-US" w:eastAsia="zh-CN"/>
        </w:rPr>
        <w:t>精英版</w:t>
      </w:r>
      <w:r>
        <w:rPr>
          <w:rFonts w:hint="default"/>
          <w:lang w:val="en-US" w:eastAsia="zh-CN"/>
        </w:rPr>
        <w:t>班”（到课率8</w:t>
      </w:r>
      <w:r>
        <w:rPr>
          <w:rFonts w:hint="eastAsia"/>
          <w:lang w:val="en-US" w:eastAsia="zh-CN"/>
        </w:rPr>
        <w:t>0.93</w:t>
      </w:r>
      <w:r>
        <w:rPr>
          <w:rFonts w:hint="default"/>
          <w:lang w:val="en-US" w:eastAsia="zh-CN"/>
        </w:rPr>
        <w:t>%）和多个</w:t>
      </w:r>
      <w:r>
        <w:rPr>
          <w:rFonts w:hint="eastAsia"/>
          <w:lang w:val="en-US" w:eastAsia="zh-CN"/>
        </w:rPr>
        <w:t>兴趣</w:t>
      </w:r>
      <w:r>
        <w:rPr>
          <w:rFonts w:hint="default"/>
          <w:lang w:val="en-US" w:eastAsia="zh-CN"/>
        </w:rPr>
        <w:t>班、梯队班的</w:t>
      </w:r>
      <w:r>
        <w:rPr>
          <w:rFonts w:hint="eastAsia"/>
          <w:lang w:val="en-US" w:eastAsia="zh-CN"/>
        </w:rPr>
        <w:t>出勤</w:t>
      </w:r>
      <w:r>
        <w:rPr>
          <w:rFonts w:hint="default"/>
          <w:lang w:val="en-US" w:eastAsia="zh-CN"/>
        </w:rPr>
        <w:t>率均稳定在74%至83%的优良区间，共同构成了健康稳定的基本盘。</w:t>
      </w:r>
    </w:p>
    <w:p w14:paraId="1E3447E3">
      <w:pPr>
        <w:rPr>
          <w:rFonts w:hint="default"/>
          <w:lang w:val="en-US" w:eastAsia="zh-CN"/>
        </w:rPr>
      </w:pPr>
      <w:r>
        <w:rPr>
          <w:rFonts w:hint="default"/>
          <w:lang w:val="en-US" w:eastAsia="zh-CN"/>
        </w:rPr>
        <w:t>从结构上看，当前数据分布合理，既有突出典范，也有扎实基础。当然，数据也清晰指明了下一步的优化方向，“余杭文化足球五年级校队班”是目前整体出勤水平的关键提升点。未来，我们将系统总结并推广高</w:t>
      </w:r>
      <w:r>
        <w:rPr>
          <w:rFonts w:hint="eastAsia"/>
          <w:lang w:val="en-US" w:eastAsia="zh-CN"/>
        </w:rPr>
        <w:t>出勤</w:t>
      </w:r>
      <w:r>
        <w:rPr>
          <w:rFonts w:hint="default"/>
          <w:lang w:val="en-US" w:eastAsia="zh-CN"/>
        </w:rPr>
        <w:t>率班级的优秀经验，同时对该班级进行针对性调研与沟通，通过优化课程体验与服务，推动整体教学参与度与教学质量共同迈向更高水平。</w:t>
      </w:r>
    </w:p>
    <w:p w14:paraId="0663B71A">
      <w:pPr>
        <w:pStyle w:val="4"/>
        <w:numPr>
          <w:ilvl w:val="0"/>
          <w:numId w:val="5"/>
        </w:numPr>
        <w:bidi w:val="0"/>
        <w:ind w:left="0" w:leftChars="0" w:firstLine="567" w:firstLineChars="0"/>
        <w:rPr>
          <w:rFonts w:hint="default"/>
          <w:lang w:val="en-US" w:eastAsia="zh-CN"/>
        </w:rPr>
      </w:pPr>
      <w:r>
        <w:rPr>
          <w:rFonts w:hint="eastAsia"/>
          <w:lang w:val="en-US" w:eastAsia="zh-CN"/>
        </w:rPr>
        <w:t>新老学员情况</w:t>
      </w:r>
    </w:p>
    <w:tbl>
      <w:tblPr>
        <w:tblStyle w:val="14"/>
        <w:tblW w:w="94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0"/>
      </w:tblGrid>
      <w:tr w14:paraId="3EFDF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7" w:hRule="atLeast"/>
        </w:trPr>
        <w:tc>
          <w:tcPr>
            <w:tcW w:w="9460" w:type="dxa"/>
          </w:tcPr>
          <w:p w14:paraId="271EAE84">
            <w:pPr>
              <w:bidi w:val="0"/>
              <w:ind w:left="0" w:leftChars="0" w:firstLine="0" w:firstLineChars="0"/>
              <w:jc w:val="center"/>
              <w:rPr>
                <w:rFonts w:hint="default"/>
                <w:vertAlign w:val="baseline"/>
                <w:lang w:val="en-US" w:eastAsia="zh-CN"/>
              </w:rPr>
            </w:pPr>
            <w:r>
              <w:drawing>
                <wp:inline distT="0" distB="0" distL="114300" distR="114300">
                  <wp:extent cx="5731510" cy="3185160"/>
                  <wp:effectExtent l="0" t="0" r="2540" b="152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39"/>
                          <a:stretch>
                            <a:fillRect/>
                          </a:stretch>
                        </pic:blipFill>
                        <pic:spPr>
                          <a:xfrm>
                            <a:off x="0" y="0"/>
                            <a:ext cx="5731510" cy="3185160"/>
                          </a:xfrm>
                          <a:prstGeom prst="rect">
                            <a:avLst/>
                          </a:prstGeom>
                          <a:noFill/>
                          <a:ln>
                            <a:noFill/>
                          </a:ln>
                        </pic:spPr>
                      </pic:pic>
                    </a:graphicData>
                  </a:graphic>
                </wp:inline>
              </w:drawing>
            </w:r>
          </w:p>
        </w:tc>
      </w:tr>
    </w:tbl>
    <w:p w14:paraId="1305740D">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-1</w:t>
      </w:r>
      <w:r>
        <w:rPr>
          <w:rFonts w:hint="eastAsia"/>
          <w:lang w:eastAsia="zh-CN"/>
        </w:rPr>
        <w:t xml:space="preserve"> 课程新老学员</w:t>
      </w:r>
      <w:r>
        <w:rPr>
          <w:rFonts w:hint="eastAsia"/>
          <w:lang w:val="en-US" w:eastAsia="zh-CN"/>
        </w:rPr>
        <w:t>占比（按班级分）</w:t>
      </w:r>
    </w:p>
    <w:p w14:paraId="177E2012">
      <w:pPr>
        <w:bidi w:val="0"/>
        <w:rPr>
          <w:rFonts w:hint="default"/>
          <w:sz w:val="21"/>
          <w:szCs w:val="21"/>
          <w:lang w:val="en-US" w:eastAsia="zh-CN"/>
        </w:rPr>
      </w:pPr>
      <w:r>
        <w:rPr>
          <w:rFonts w:hint="eastAsia"/>
          <w:sz w:val="21"/>
          <w:szCs w:val="21"/>
          <w:lang w:val="en-US" w:eastAsia="zh-CN"/>
        </w:rPr>
        <w:t>（注：因存在部分学员同期多节课报名情况，故人次统计与人数统计存在合理出入。）</w:t>
      </w:r>
    </w:p>
    <w:p w14:paraId="05BC9E67">
      <w:pPr>
        <w:bidi w:val="0"/>
        <w:rPr>
          <w:rFonts w:hint="default"/>
          <w:lang w:val="en-US" w:eastAsia="zh-CN"/>
        </w:rPr>
      </w:pPr>
      <w:r>
        <w:rPr>
          <w:rFonts w:hint="default"/>
          <w:lang w:val="en-US" w:eastAsia="zh-CN"/>
        </w:rPr>
        <w:t>整体来看，本学期学员结构呈现出“老学员稳固基本盘，新学员注入新活力”的健康发展态势，梯队建设的延续性与新生招引的活跃度均表现良好。老学员占总体的</w:t>
      </w:r>
      <w:r>
        <w:rPr>
          <w:rFonts w:hint="eastAsia"/>
          <w:lang w:val="en-US" w:eastAsia="zh-CN"/>
        </w:rPr>
        <w:t>近七成</w:t>
      </w:r>
      <w:r>
        <w:rPr>
          <w:rFonts w:hint="default"/>
          <w:lang w:val="en-US" w:eastAsia="zh-CN"/>
        </w:rPr>
        <w:t>，构成了课程体系的坚实核心</w:t>
      </w:r>
      <w:r>
        <w:rPr>
          <w:rFonts w:hint="eastAsia"/>
          <w:lang w:val="en-US" w:eastAsia="zh-CN"/>
        </w:rPr>
        <w:t>。</w:t>
      </w:r>
    </w:p>
    <w:p w14:paraId="0A0ABD05">
      <w:pPr>
        <w:bidi w:val="0"/>
        <w:rPr>
          <w:rFonts w:hint="default"/>
          <w:lang w:val="en-US" w:eastAsia="zh-CN"/>
        </w:rPr>
      </w:pPr>
      <w:r>
        <w:rPr>
          <w:rFonts w:hint="default"/>
          <w:lang w:val="en-US" w:eastAsia="zh-CN"/>
        </w:rPr>
        <w:t>核心校队与提高班级展现出极高的学员粘性与梯队稳定性。“余杭文化足球三四年级</w:t>
      </w:r>
      <w:r>
        <w:rPr>
          <w:rFonts w:hint="eastAsia"/>
          <w:lang w:val="en-US" w:eastAsia="zh-CN"/>
        </w:rPr>
        <w:t>校队班</w:t>
      </w:r>
      <w:r>
        <w:rPr>
          <w:rFonts w:hint="default"/>
          <w:lang w:val="en-US" w:eastAsia="zh-CN"/>
        </w:rPr>
        <w:t>”老学员人数达18人，占比显著，体现了核心梯队深厚的训练积淀与强大的凝聚力。“余杭文化篮球梯队班”与“足球五六年级校队班”的老学员占比也均超过60%，表明提高层级的学员发展路径清晰，留存率高。与此同时，“余杭文化足球一年级精英班”吸引了14名新学员，是绝对的新生入口，出色地承担了启蒙与普及的职能；“篮球精英班”则实现了新老学员5:5的均衡配比，处于良性成长周期。这种分布清晰地构成了“新生班广泛启蒙、梯队班稳定提高、校队班深度精进”的良性人才培养闭环。</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2D79A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Pr>
          <w:p w14:paraId="435E3200">
            <w:pPr>
              <w:bidi w:val="0"/>
              <w:ind w:left="0" w:leftChars="0" w:firstLine="0" w:firstLineChars="0"/>
              <w:jc w:val="center"/>
            </w:pPr>
            <w:bookmarkStart w:id="16" w:name="_GoBack"/>
            <w:r>
              <w:drawing>
                <wp:inline distT="0" distB="0" distL="114300" distR="114300">
                  <wp:extent cx="5265420" cy="2720340"/>
                  <wp:effectExtent l="0" t="0" r="1143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0"/>
                          <a:stretch>
                            <a:fillRect/>
                          </a:stretch>
                        </pic:blipFill>
                        <pic:spPr>
                          <a:xfrm>
                            <a:off x="0" y="0"/>
                            <a:ext cx="5265420" cy="2720340"/>
                          </a:xfrm>
                          <a:prstGeom prst="rect">
                            <a:avLst/>
                          </a:prstGeom>
                          <a:noFill/>
                          <a:ln>
                            <a:noFill/>
                          </a:ln>
                        </pic:spPr>
                      </pic:pic>
                    </a:graphicData>
                  </a:graphic>
                </wp:inline>
              </w:drawing>
            </w:r>
            <w:bookmarkEnd w:id="16"/>
          </w:p>
        </w:tc>
      </w:tr>
    </w:tbl>
    <w:p w14:paraId="58C5FCF3">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-2</w:t>
      </w:r>
      <w:r>
        <w:rPr>
          <w:rFonts w:hint="eastAsia"/>
          <w:lang w:eastAsia="zh-CN"/>
        </w:rPr>
        <w:t xml:space="preserve"> 课程新老学员</w:t>
      </w:r>
      <w:r>
        <w:rPr>
          <w:rFonts w:hint="eastAsia"/>
          <w:lang w:val="en-US" w:eastAsia="zh-CN"/>
        </w:rPr>
        <w:t>占比（按年级分）</w:t>
      </w:r>
    </w:p>
    <w:p w14:paraId="394BDA69">
      <w:pPr>
        <w:bidi w:val="0"/>
        <w:rPr>
          <w:rFonts w:hint="default"/>
          <w:lang w:val="en-US" w:eastAsia="zh-CN"/>
        </w:rPr>
      </w:pPr>
    </w:p>
    <w:p w14:paraId="038455B3">
      <w:pPr>
        <w:bidi w:val="0"/>
        <w:rPr>
          <w:rFonts w:hint="default"/>
          <w:lang w:val="en-US" w:eastAsia="zh-CN"/>
        </w:rPr>
      </w:pPr>
      <w:r>
        <w:rPr>
          <w:rFonts w:hint="default"/>
          <w:lang w:val="en-US" w:eastAsia="zh-CN"/>
        </w:rPr>
        <w:t>新生资源主要集中在一</w:t>
      </w:r>
      <w:r>
        <w:rPr>
          <w:rFonts w:hint="eastAsia"/>
          <w:lang w:val="en-US" w:eastAsia="zh-CN"/>
        </w:rPr>
        <w:t>年级</w:t>
      </w:r>
      <w:r>
        <w:rPr>
          <w:rFonts w:hint="default"/>
          <w:lang w:val="en-US" w:eastAsia="zh-CN"/>
        </w:rPr>
        <w:t>，这符合运动习惯培养的客观规律，为整个培养体系提供了充足的源头活水。从</w:t>
      </w:r>
      <w:r>
        <w:rPr>
          <w:rFonts w:hint="eastAsia"/>
          <w:lang w:val="en-US" w:eastAsia="zh-CN"/>
        </w:rPr>
        <w:t>二</w:t>
      </w:r>
      <w:r>
        <w:rPr>
          <w:rFonts w:hint="default"/>
          <w:lang w:val="en-US" w:eastAsia="zh-CN"/>
        </w:rPr>
        <w:t>年级开始，学员构成逐渐转变为以老学员为主体，这表明一旦学员完成初期启蒙，课程能够凭借优质的教学体验与明确的进阶目标，成功地将他们转化为长期、稳定的参与者，实现了学员在各年级间的自然晋升与留存。这种“老生带，新生跟”的年级结构，保障了人才梯队的连贯性与可持续发展能力，避免了断层。</w:t>
      </w:r>
    </w:p>
    <w:p w14:paraId="4BAF121E">
      <w:pPr>
        <w:bidi w:val="0"/>
        <w:rPr>
          <w:rFonts w:hint="default"/>
          <w:lang w:val="en-US" w:eastAsia="zh-CN"/>
        </w:rPr>
      </w:pPr>
      <w:r>
        <w:rPr>
          <w:rFonts w:hint="default"/>
          <w:lang w:val="en-US" w:eastAsia="zh-CN"/>
        </w:rPr>
        <w:t>总结而言，当前健康的新老学员比例与清晰的分布结构，是课程体系成熟、教学品质获得认可的明证。未来，可在持续巩固各梯队老学员参与度的基础上，进一步将低年级庞大的新生群体有效转化为中高年级的稳定力量，并优化各年级间的教学衔接，推动整体人才结构向着更加稳定、充盈的方向发展。</w:t>
      </w:r>
    </w:p>
    <w:p w14:paraId="07BD8099">
      <w:pPr>
        <w:pStyle w:val="2"/>
        <w:keepNext/>
        <w:keepLines/>
        <w:pageBreakBefore w:val="0"/>
        <w:widowControl/>
        <w:numPr>
          <w:ilvl w:val="0"/>
          <w:numId w:val="3"/>
        </w:numPr>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bookmarkStart w:id="8" w:name="_Toc18129"/>
      <w:r>
        <w:rPr>
          <w:rFonts w:hint="eastAsia"/>
          <w:lang w:val="en-US" w:eastAsia="zh-CN"/>
        </w:rPr>
        <w:t>课程成效</w:t>
      </w:r>
      <w:bookmarkEnd w:id="8"/>
    </w:p>
    <w:p w14:paraId="74B66B72">
      <w:pPr>
        <w:pStyle w:val="3"/>
        <w:numPr>
          <w:ilvl w:val="0"/>
          <w:numId w:val="6"/>
        </w:numPr>
        <w:bidi w:val="0"/>
        <w:ind w:left="0" w:leftChars="0" w:firstLine="567" w:firstLineChars="0"/>
        <w:rPr>
          <w:rFonts w:hint="default"/>
          <w:lang w:val="en-US" w:eastAsia="zh-CN"/>
        </w:rPr>
      </w:pPr>
      <w:bookmarkStart w:id="9" w:name="_Toc13678"/>
      <w:r>
        <w:rPr>
          <w:rFonts w:hint="eastAsia"/>
          <w:lang w:val="en-US" w:eastAsia="zh-CN"/>
        </w:rPr>
        <w:t>课堂成效</w:t>
      </w:r>
      <w:bookmarkEnd w:id="9"/>
    </w:p>
    <w:p w14:paraId="5C57920C">
      <w:pPr>
        <w:rPr>
          <w:rFonts w:hint="eastAsia"/>
          <w:lang w:val="en-US" w:eastAsia="zh-CN"/>
        </w:rPr>
      </w:pPr>
      <w:r>
        <w:rPr>
          <w:rFonts w:hint="eastAsia"/>
          <w:lang w:val="en-US" w:eastAsia="zh-CN"/>
        </w:rPr>
        <w:t>本学期体育课堂成效显著，篮球和足球的学员们在各运动维度上均展现出全面而扎实的进步。通过系统化、结构化的课程训练，全体学员的运动能力得到整体提升，在运球、进球等专项技能，以及灵敏、速度、耐力、弹跳等基础体能方面，均呈现出积极的发展态势。课程设计注重体能奠基与技能习得相结合，确保学生在提升运动表现的同时，夯实身体综合素质。</w:t>
      </w:r>
    </w:p>
    <w:p w14:paraId="3BEF9F39">
      <w:pPr>
        <w:rPr>
          <w:rFonts w:hint="eastAsia"/>
          <w:lang w:val="en-US" w:eastAsia="zh-CN"/>
        </w:rPr>
      </w:pPr>
      <w:r>
        <w:rPr>
          <w:rFonts w:hint="eastAsia"/>
          <w:lang w:val="en-US" w:eastAsia="zh-CN"/>
        </w:rPr>
        <w:t>从课堂反馈与能力评估来看，学员在不同项目上均取得可见成长。高年级学生在保持原有优势的基础上，在多项指标上实现进一步突破，展现出良好的训练适应性与提升潜力。整体数据显示，学员们的运动能力轮廓在经过一学期学习后得到有效扩展，表明课程在激发学生潜能、促进协调发展的方向上取得了切实成效。这既体现了“健康第一、全面发展”育人理念的落实，也为后续持续优化训练内容、提升课堂质量提供了积极参照。</w:t>
      </w:r>
    </w:p>
    <w:p w14:paraId="245753CF">
      <w:pPr>
        <w:pStyle w:val="3"/>
        <w:numPr>
          <w:ilvl w:val="0"/>
          <w:numId w:val="6"/>
        </w:numPr>
        <w:bidi w:val="0"/>
        <w:ind w:left="0" w:leftChars="0" w:firstLine="567" w:firstLineChars="0"/>
        <w:rPr>
          <w:rFonts w:hint="eastAsia"/>
          <w:lang w:val="en-US" w:eastAsia="zh-CN"/>
        </w:rPr>
      </w:pPr>
      <w:bookmarkStart w:id="10" w:name="_Toc16104"/>
      <w:r>
        <w:rPr>
          <w:rFonts w:hint="eastAsia"/>
          <w:lang w:val="en-US" w:eastAsia="zh-CN"/>
        </w:rPr>
        <w:t>优秀学员展示</w:t>
      </w:r>
      <w:bookmarkEnd w:id="10"/>
    </w:p>
    <w:p w14:paraId="0C31367D">
      <w:pPr>
        <w:rPr>
          <w:rFonts w:hint="eastAsia"/>
          <w:lang w:val="en-US" w:eastAsia="zh-CN"/>
        </w:rPr>
      </w:pPr>
      <w:r>
        <w:rPr>
          <w:rFonts w:hint="eastAsia"/>
          <w:lang w:val="en-US" w:eastAsia="zh-CN"/>
        </w:rPr>
        <w:t>N+师资团队基于全学期在课堂投入、技能提升、团队贡献及体育素养等方面的综合表现，我们最终评选出以下学期优秀学员。他们的坚持与卓越，为全体同学树立了生动榜样，教练团队也对学员们送上评语与祝福：：</w:t>
      </w:r>
    </w:p>
    <w:p w14:paraId="2FD06D77">
      <w:pPr>
        <w:bidi w:val="0"/>
        <w:rPr>
          <w:rFonts w:hint="eastAsia"/>
          <w:lang w:val="en-US" w:eastAsia="zh-CN"/>
        </w:rPr>
      </w:pPr>
      <w:r>
        <w:rPr>
          <w:rFonts w:hint="eastAsia"/>
          <w:b/>
          <w:bCs/>
          <w:lang w:val="en-US" w:eastAsia="zh-CN"/>
        </w:rPr>
        <w:t>邹羽：</w:t>
      </w:r>
      <w:r>
        <w:rPr>
          <w:rFonts w:hint="eastAsia"/>
          <w:lang w:val="en-US" w:eastAsia="zh-CN"/>
        </w:rPr>
        <w:t>在球场上，总能展现出超越年龄的沉稳。每一次传球都带着思考，不仅精准，更善于发现对手防守的空档，为队友创造出最好的得分机会。视野和大局观是球队战术流畅运转的保证。请继续保持这份冷静与洞察力，并尝试在关键时刻更自信地出手。</w:t>
      </w:r>
    </w:p>
    <w:p w14:paraId="3918908D">
      <w:pPr>
        <w:numPr>
          <w:ilvl w:val="0"/>
          <w:numId w:val="0"/>
        </w:numPr>
        <w:rPr>
          <w:rFonts w:hint="eastAsia"/>
          <w:lang w:val="en-US" w:eastAsia="zh-CN"/>
        </w:rPr>
      </w:pPr>
    </w:p>
    <w:p w14:paraId="5684F4F3">
      <w:pPr>
        <w:rPr>
          <w:rFonts w:hint="eastAsia"/>
          <w:lang w:val="en-US" w:eastAsia="zh-CN"/>
        </w:rPr>
      </w:pPr>
      <w:r>
        <w:rPr>
          <w:rFonts w:hint="eastAsia"/>
          <w:b/>
          <w:bCs/>
          <w:lang w:val="en-US" w:eastAsia="zh-CN"/>
        </w:rPr>
        <w:t>武臻豪</w:t>
      </w:r>
      <w:r>
        <w:rPr>
          <w:rFonts w:hint="eastAsia"/>
          <w:lang w:val="en-US" w:eastAsia="zh-CN"/>
        </w:rPr>
        <w:t>：对篮球的热情和得分本能极具感染力！无论是精准的中投，还是果断突破上篮，总是最犀利的进攻箭头。拥有出众的手感和不惧对抗的决心，是球队在得分困难时最值得信赖的球员。</w:t>
      </w:r>
    </w:p>
    <w:p w14:paraId="721988DE">
      <w:pPr>
        <w:rPr>
          <w:rFonts w:hint="eastAsia"/>
          <w:lang w:val="en-US" w:eastAsia="zh-CN"/>
        </w:rPr>
      </w:pPr>
    </w:p>
    <w:p w14:paraId="33CF7CB0">
      <w:pPr>
        <w:rPr>
          <w:rFonts w:hint="eastAsia"/>
          <w:lang w:val="en-US" w:eastAsia="zh-CN"/>
        </w:rPr>
      </w:pPr>
      <w:r>
        <w:rPr>
          <w:rFonts w:hint="eastAsia"/>
          <w:b/>
          <w:bCs/>
          <w:lang w:val="en-US" w:eastAsia="zh-CN"/>
        </w:rPr>
        <w:t>朱瑞鑫</w:t>
      </w:r>
      <w:r>
        <w:rPr>
          <w:rFonts w:hint="eastAsia"/>
          <w:lang w:val="en-US" w:eastAsia="zh-CN"/>
        </w:rPr>
        <w:t>：用拼搏和汗水筑起了球队最坚固的防线。无论是篮板球的争抢，还是对位防守的紧逼，永远全力以赴，从不松懈。防守态度和韧性是全队的榜样，请继续做球队可靠的“防守大闸”，并逐步在进攻端寻找机会，篮下终结能力提升会让球队进攻性更强。</w:t>
      </w:r>
    </w:p>
    <w:p w14:paraId="71CADCE8">
      <w:pPr>
        <w:numPr>
          <w:ilvl w:val="0"/>
          <w:numId w:val="0"/>
        </w:numPr>
        <w:rPr>
          <w:rFonts w:hint="eastAsia"/>
          <w:lang w:val="en-US" w:eastAsia="zh-CN"/>
        </w:rPr>
      </w:pPr>
    </w:p>
    <w:p w14:paraId="1C3AAEF2">
      <w:pPr>
        <w:bidi w:val="0"/>
        <w:rPr>
          <w:rFonts w:hint="eastAsia"/>
          <w:lang w:val="en-US" w:eastAsia="zh-CN"/>
        </w:rPr>
      </w:pPr>
      <w:r>
        <w:rPr>
          <w:rFonts w:hint="eastAsia"/>
          <w:b/>
          <w:bCs/>
          <w:lang w:val="en-US" w:eastAsia="zh-CN"/>
        </w:rPr>
        <w:t>肖古艾辰</w:t>
      </w:r>
      <w:r>
        <w:rPr>
          <w:rFonts w:hint="eastAsia"/>
          <w:lang w:val="en-US" w:eastAsia="zh-CN"/>
        </w:rPr>
        <w:t>：是球队里最无私的队员，总是为队友的成功送上掌声。积极跑动，不遗余力地掩护、拼抢，完美地执行每一个战术布置。请继续做这个了不起的团队“粘合剂”，你的篮球智慧和对比赛的热爱，是球队最宝贵的财富。</w:t>
      </w:r>
    </w:p>
    <w:p w14:paraId="7C1B6FE6">
      <w:pPr>
        <w:numPr>
          <w:ilvl w:val="0"/>
          <w:numId w:val="0"/>
        </w:numPr>
        <w:rPr>
          <w:rFonts w:hint="eastAsia"/>
          <w:lang w:val="en-US" w:eastAsia="zh-CN"/>
        </w:rPr>
      </w:pPr>
    </w:p>
    <w:p w14:paraId="3404B499">
      <w:pPr>
        <w:bidi w:val="0"/>
        <w:rPr>
          <w:rFonts w:hint="default"/>
          <w:lang w:val="en-US" w:eastAsia="zh-CN"/>
        </w:rPr>
      </w:pPr>
      <w:r>
        <w:rPr>
          <w:rFonts w:hint="default"/>
          <w:b/>
          <w:bCs/>
          <w:lang w:val="en-US" w:eastAsia="zh-CN"/>
        </w:rPr>
        <w:t>胡均冶</w:t>
      </w:r>
      <w:r>
        <w:rPr>
          <w:rFonts w:hint="eastAsia"/>
          <w:b/>
          <w:bCs/>
          <w:lang w:val="en-US" w:eastAsia="zh-CN"/>
        </w:rPr>
        <w:t>：</w:t>
      </w:r>
      <w:r>
        <w:rPr>
          <w:rFonts w:hint="default"/>
          <w:lang w:val="en-US" w:eastAsia="zh-CN"/>
        </w:rPr>
        <w:t>训练的赛场上总能看到你奋力奔跑防守的身影！运球突破果断利落，投篮练习也会主动琢磨发力技巧，从不满足于“完成任务”。这份主动钻研的拼劲，让球技</w:t>
      </w:r>
      <w:r>
        <w:rPr>
          <w:rFonts w:hint="eastAsia"/>
          <w:lang w:val="en-US" w:eastAsia="zh-CN"/>
        </w:rPr>
        <w:t>的</w:t>
      </w:r>
      <w:r>
        <w:rPr>
          <w:rFonts w:hint="default"/>
          <w:lang w:val="en-US" w:eastAsia="zh-CN"/>
        </w:rPr>
        <w:t>进步看得见，继续加油，赛场防守</w:t>
      </w:r>
      <w:r>
        <w:rPr>
          <w:rFonts w:hint="eastAsia"/>
          <w:lang w:val="en-US" w:eastAsia="zh-CN"/>
        </w:rPr>
        <w:t>大闸</w:t>
      </w:r>
      <w:r>
        <w:rPr>
          <w:rFonts w:hint="default"/>
          <w:lang w:val="en-US" w:eastAsia="zh-CN"/>
        </w:rPr>
        <w:t>！</w:t>
      </w:r>
    </w:p>
    <w:p w14:paraId="2C488DC0">
      <w:pPr>
        <w:numPr>
          <w:ilvl w:val="0"/>
          <w:numId w:val="0"/>
        </w:numPr>
        <w:rPr>
          <w:rFonts w:hint="default"/>
          <w:lang w:val="en-US" w:eastAsia="zh-CN"/>
        </w:rPr>
      </w:pPr>
    </w:p>
    <w:p w14:paraId="624066D5">
      <w:pPr>
        <w:bidi w:val="0"/>
        <w:rPr>
          <w:rFonts w:hint="default"/>
          <w:lang w:val="en-US" w:eastAsia="zh-CN"/>
        </w:rPr>
      </w:pPr>
      <w:r>
        <w:rPr>
          <w:rFonts w:hint="default"/>
          <w:b/>
          <w:bCs/>
          <w:lang w:val="en-US" w:eastAsia="zh-CN"/>
        </w:rPr>
        <w:t>钱诚</w:t>
      </w:r>
      <w:r>
        <w:rPr>
          <w:rFonts w:hint="eastAsia"/>
          <w:lang w:val="en-US" w:eastAsia="zh-CN"/>
        </w:rPr>
        <w:t>：</w:t>
      </w:r>
      <w:r>
        <w:rPr>
          <w:rFonts w:hint="default"/>
          <w:lang w:val="en-US" w:eastAsia="zh-CN"/>
        </w:rPr>
        <w:t>作为团队训练比赛时的“担当核心”！不仅能高质量完成个人运球、传球练习，还会在分组对抗中主动组织配合，担当球队的得分机器，作为值得大家信赖和依靠的球队大腿，这份沉稳和努力，未来一定会大放异彩！</w:t>
      </w:r>
    </w:p>
    <w:p w14:paraId="279F29AB">
      <w:pPr>
        <w:numPr>
          <w:ilvl w:val="0"/>
          <w:numId w:val="0"/>
        </w:numPr>
        <w:rPr>
          <w:rFonts w:hint="default"/>
          <w:lang w:val="en-US" w:eastAsia="zh-CN"/>
        </w:rPr>
      </w:pPr>
    </w:p>
    <w:p w14:paraId="128503D6">
      <w:pPr>
        <w:bidi w:val="0"/>
        <w:rPr>
          <w:rFonts w:hint="default"/>
          <w:lang w:val="en-US" w:eastAsia="zh-CN"/>
        </w:rPr>
      </w:pPr>
      <w:r>
        <w:rPr>
          <w:rFonts w:hint="default"/>
          <w:b/>
          <w:bCs/>
          <w:lang w:val="en-US" w:eastAsia="zh-CN"/>
        </w:rPr>
        <w:t>李名轩</w:t>
      </w:r>
      <w:r>
        <w:rPr>
          <w:rFonts w:hint="eastAsia"/>
          <w:b/>
          <w:bCs/>
          <w:lang w:val="en-US" w:eastAsia="zh-CN"/>
        </w:rPr>
        <w:t>：</w:t>
      </w:r>
      <w:r>
        <w:rPr>
          <w:rFonts w:hint="default"/>
          <w:lang w:val="en-US" w:eastAsia="zh-CN"/>
        </w:rPr>
        <w:t>作为团队的“靠谱暖男”！</w:t>
      </w:r>
      <w:r>
        <w:rPr>
          <w:rFonts w:hint="eastAsia"/>
          <w:lang w:val="en-US" w:eastAsia="zh-CN"/>
        </w:rPr>
        <w:t>基本功</w:t>
      </w:r>
      <w:r>
        <w:rPr>
          <w:rFonts w:hint="default"/>
          <w:lang w:val="en-US" w:eastAsia="zh-CN"/>
        </w:rPr>
        <w:t>练得扎实的同时，会主动帮助基础薄弱的同学。同时有着对比赛获胜满满的渴望，能够认真地倾听和反思自己的不足，分组对抗时永远把团队胜利放在第一位，是队友们最信赖的伙伴！</w:t>
      </w:r>
    </w:p>
    <w:p w14:paraId="61650B31">
      <w:pPr>
        <w:numPr>
          <w:ilvl w:val="0"/>
          <w:numId w:val="0"/>
        </w:numPr>
        <w:ind w:leftChars="0"/>
        <w:rPr>
          <w:rFonts w:hint="default"/>
          <w:lang w:val="en-US" w:eastAsia="zh-CN"/>
        </w:rPr>
      </w:pPr>
    </w:p>
    <w:p w14:paraId="3816B185">
      <w:pPr>
        <w:bidi w:val="0"/>
        <w:rPr>
          <w:rFonts w:hint="default"/>
          <w:lang w:val="en-US" w:eastAsia="zh-CN"/>
        </w:rPr>
      </w:pPr>
      <w:r>
        <w:rPr>
          <w:rFonts w:hint="default"/>
          <w:b/>
          <w:bCs/>
          <w:lang w:val="en-US" w:eastAsia="zh-CN"/>
        </w:rPr>
        <w:t>胡睿轩</w:t>
      </w:r>
      <w:r>
        <w:rPr>
          <w:rFonts w:hint="eastAsia"/>
          <w:b/>
          <w:bCs/>
          <w:lang w:val="en-US" w:eastAsia="zh-CN"/>
        </w:rPr>
        <w:t>：</w:t>
      </w:r>
      <w:r>
        <w:rPr>
          <w:rFonts w:hint="default"/>
          <w:lang w:val="en-US" w:eastAsia="zh-CN"/>
        </w:rPr>
        <w:t>作为团队的小队长，每次都能够按照标准完成训练并作出示范，运球时脚步轻快灵活，比赛时同样拼尽全力，是大家的榜样。这份永远在线的热情和冲劲，让你进步神速，继续带着这份热爱奔跑吧，小球员！</w:t>
      </w:r>
    </w:p>
    <w:p w14:paraId="36B39189">
      <w:pPr>
        <w:numPr>
          <w:ilvl w:val="0"/>
          <w:numId w:val="0"/>
        </w:numPr>
        <w:ind w:leftChars="0"/>
        <w:rPr>
          <w:rFonts w:hint="default"/>
          <w:lang w:val="en-US" w:eastAsia="zh-CN"/>
        </w:rPr>
      </w:pPr>
    </w:p>
    <w:p w14:paraId="0333BF97">
      <w:pPr>
        <w:bidi w:val="0"/>
        <w:rPr>
          <w:rFonts w:hint="default"/>
          <w:lang w:val="en-US" w:eastAsia="zh-CN"/>
        </w:rPr>
      </w:pPr>
      <w:r>
        <w:rPr>
          <w:rFonts w:hint="default"/>
          <w:b/>
          <w:bCs/>
          <w:lang w:val="en-US" w:eastAsia="zh-CN"/>
        </w:rPr>
        <w:t>胡凌骁</w:t>
      </w:r>
      <w:r>
        <w:rPr>
          <w:rFonts w:hint="eastAsia"/>
          <w:b/>
          <w:bCs/>
          <w:lang w:val="en-US" w:eastAsia="zh-CN"/>
        </w:rPr>
        <w:t>：</w:t>
      </w:r>
      <w:r>
        <w:rPr>
          <w:rFonts w:hint="default"/>
          <w:lang w:val="en-US" w:eastAsia="zh-CN"/>
        </w:rPr>
        <w:t>作为</w:t>
      </w:r>
      <w:r>
        <w:rPr>
          <w:rFonts w:hint="eastAsia"/>
          <w:lang w:val="en-US" w:eastAsia="zh-CN"/>
        </w:rPr>
        <w:t>球队</w:t>
      </w:r>
      <w:r>
        <w:rPr>
          <w:rFonts w:hint="default"/>
          <w:lang w:val="en-US" w:eastAsia="zh-CN"/>
        </w:rPr>
        <w:t>的副队长！每次的训练任务能够努力并且全神贯注地做到标准。从一开始的磕磕绊绊，到现在能稳稳完成连续运球，每一点进步都藏着你的认真。保持这份专注力，未来的一定会更厉害！</w:t>
      </w:r>
    </w:p>
    <w:p w14:paraId="683EA42C">
      <w:pPr>
        <w:bidi w:val="0"/>
        <w:rPr>
          <w:rFonts w:hint="default"/>
          <w:lang w:val="en-US" w:eastAsia="zh-CN"/>
        </w:rPr>
      </w:pPr>
    </w:p>
    <w:p w14:paraId="67CFAB9A">
      <w:pPr>
        <w:bidi w:val="0"/>
        <w:rPr>
          <w:rFonts w:hint="eastAsia"/>
          <w:lang w:val="en-US" w:eastAsia="zh-CN"/>
        </w:rPr>
      </w:pPr>
      <w:r>
        <w:rPr>
          <w:rFonts w:hint="eastAsia"/>
          <w:b/>
          <w:bCs/>
          <w:lang w:val="en-US" w:eastAsia="zh-CN"/>
        </w:rPr>
        <w:t>薛士曦</w:t>
      </w:r>
      <w:r>
        <w:rPr>
          <w:rFonts w:hint="eastAsia"/>
          <w:lang w:val="en-US" w:eastAsia="zh-CN"/>
        </w:rPr>
        <w:t>：小小的身影，大大的能量！训练时你从不偷懒，个人能力突出，希望继续保持这份对足球的执着，不怕摔倒、不惧挑战，未来的你一定会更棒！</w:t>
      </w:r>
    </w:p>
    <w:p w14:paraId="44A7A677">
      <w:pPr>
        <w:widowControl w:val="0"/>
        <w:numPr>
          <w:ilvl w:val="0"/>
          <w:numId w:val="0"/>
        </w:numPr>
        <w:jc w:val="both"/>
        <w:rPr>
          <w:rFonts w:hint="default"/>
          <w:lang w:val="en-US" w:eastAsia="zh-CN"/>
        </w:rPr>
      </w:pPr>
    </w:p>
    <w:p w14:paraId="2A29CD72">
      <w:pPr>
        <w:bidi w:val="0"/>
        <w:rPr>
          <w:rFonts w:hint="eastAsia"/>
          <w:lang w:val="en-US" w:eastAsia="zh-CN"/>
        </w:rPr>
      </w:pPr>
      <w:r>
        <w:rPr>
          <w:rFonts w:hint="eastAsia"/>
          <w:b/>
          <w:bCs/>
          <w:lang w:val="en-US" w:eastAsia="zh-CN"/>
        </w:rPr>
        <w:t>崔曦乐</w:t>
      </w:r>
      <w:r>
        <w:rPr>
          <w:rFonts w:hint="eastAsia"/>
          <w:lang w:val="en-US" w:eastAsia="zh-CN"/>
        </w:rPr>
        <w:t>：是球队里的阳光小将！对待训练认真专注，遇到困难从不退缩。基础略微孱弱但是十分好学，认真钻研，愿你把足球场上的这份坚韧和热情，带到学习和生活中，做一个勇往直前的小男子汉。</w:t>
      </w:r>
    </w:p>
    <w:p w14:paraId="4555576B">
      <w:pPr>
        <w:widowControl w:val="0"/>
        <w:numPr>
          <w:ilvl w:val="0"/>
          <w:numId w:val="0"/>
        </w:numPr>
        <w:ind w:leftChars="0"/>
        <w:jc w:val="both"/>
        <w:rPr>
          <w:rFonts w:hint="default"/>
          <w:lang w:val="en-US" w:eastAsia="zh-CN"/>
        </w:rPr>
      </w:pPr>
    </w:p>
    <w:p w14:paraId="044D6792">
      <w:pPr>
        <w:bidi w:val="0"/>
        <w:rPr>
          <w:rFonts w:hint="eastAsia"/>
          <w:lang w:val="en-US" w:eastAsia="zh-CN"/>
        </w:rPr>
      </w:pPr>
      <w:r>
        <w:rPr>
          <w:rFonts w:hint="eastAsia"/>
          <w:b/>
          <w:bCs/>
          <w:lang w:val="en-US" w:eastAsia="zh-CN"/>
        </w:rPr>
        <w:t>童书楷</w:t>
      </w:r>
      <w:r>
        <w:rPr>
          <w:rFonts w:hint="eastAsia"/>
          <w:lang w:val="en-US" w:eastAsia="zh-CN"/>
        </w:rPr>
        <w:t>：眼神里满是对足球的热爱！训练时认真听教练指导，踢球时敢冲敢拼，和小伙伴的配合也越来越有章法。作为球队的队长，更加需要担起球队的重任，继续加油，你会是更出色的足球小将！</w:t>
      </w:r>
    </w:p>
    <w:p w14:paraId="11A6CAA0">
      <w:pPr>
        <w:widowControl w:val="0"/>
        <w:numPr>
          <w:ilvl w:val="0"/>
          <w:numId w:val="0"/>
        </w:numPr>
        <w:ind w:leftChars="0"/>
        <w:jc w:val="both"/>
        <w:rPr>
          <w:rFonts w:hint="default"/>
          <w:lang w:val="en-US" w:eastAsia="zh-CN"/>
        </w:rPr>
      </w:pPr>
    </w:p>
    <w:p w14:paraId="7F39D1B3">
      <w:pPr>
        <w:bidi w:val="0"/>
        <w:rPr>
          <w:rFonts w:hint="eastAsia"/>
          <w:lang w:val="en-US" w:eastAsia="zh-CN"/>
        </w:rPr>
      </w:pPr>
      <w:r>
        <w:rPr>
          <w:rFonts w:hint="eastAsia"/>
          <w:b/>
          <w:bCs/>
          <w:lang w:val="en-US" w:eastAsia="zh-CN"/>
        </w:rPr>
        <w:t>徐子何</w:t>
      </w:r>
      <w:r>
        <w:rPr>
          <w:rFonts w:hint="eastAsia"/>
          <w:lang w:val="en-US" w:eastAsia="zh-CN"/>
        </w:rPr>
        <w:t>：传球时会想着队友，防守时也绝不松懈。希望继续保持这份团队精神，是最宝贵的财富。</w:t>
      </w:r>
    </w:p>
    <w:p w14:paraId="285ECEBB">
      <w:pPr>
        <w:widowControl w:val="0"/>
        <w:numPr>
          <w:ilvl w:val="0"/>
          <w:numId w:val="0"/>
        </w:numPr>
        <w:ind w:leftChars="0"/>
        <w:jc w:val="both"/>
        <w:rPr>
          <w:rFonts w:hint="default"/>
          <w:lang w:val="en-US" w:eastAsia="zh-CN"/>
        </w:rPr>
      </w:pPr>
    </w:p>
    <w:p w14:paraId="01C34075">
      <w:pPr>
        <w:ind w:left="0" w:leftChars="0" w:firstLine="0" w:firstLineChars="0"/>
        <w:rPr>
          <w:rFonts w:hint="default"/>
          <w:lang w:val="en-US" w:eastAsia="zh-CN"/>
        </w:rPr>
      </w:pPr>
    </w:p>
    <w:p w14:paraId="5C58EE3C">
      <w:pPr>
        <w:ind w:left="0" w:leftChars="0" w:firstLine="0" w:firstLineChars="0"/>
        <w:rPr>
          <w:rFonts w:hint="default"/>
          <w:lang w:val="en-US" w:eastAsia="zh-CN"/>
        </w:rPr>
      </w:pPr>
    </w:p>
    <w:p w14:paraId="21735A44">
      <w:pPr>
        <w:ind w:left="0" w:leftChars="0" w:firstLine="0" w:firstLineChars="0"/>
        <w:rPr>
          <w:rFonts w:hint="default"/>
          <w:lang w:val="en-US" w:eastAsia="zh-CN"/>
        </w:rPr>
      </w:pPr>
    </w:p>
    <w:p w14:paraId="5115743D">
      <w:pPr>
        <w:ind w:left="0" w:leftChars="0" w:firstLine="0" w:firstLineChars="0"/>
        <w:rPr>
          <w:rFonts w:hint="default"/>
          <w:lang w:val="en-US" w:eastAsia="zh-CN"/>
        </w:rPr>
      </w:pPr>
    </w:p>
    <w:p w14:paraId="35BAA153">
      <w:pPr>
        <w:ind w:left="0" w:leftChars="0" w:firstLine="0" w:firstLineChars="0"/>
        <w:rPr>
          <w:rFonts w:hint="default"/>
          <w:lang w:val="en-US" w:eastAsia="zh-CN"/>
        </w:rPr>
      </w:pPr>
    </w:p>
    <w:p w14:paraId="5B0B63D7">
      <w:pPr>
        <w:rPr>
          <w:rFonts w:hint="eastAsia"/>
          <w:lang w:val="en-US" w:eastAsia="zh-CN"/>
        </w:rPr>
      </w:pPr>
    </w:p>
    <w:p w14:paraId="3C982DEA">
      <w:pPr>
        <w:pStyle w:val="2"/>
        <w:numPr>
          <w:ilvl w:val="0"/>
          <w:numId w:val="3"/>
        </w:numPr>
        <w:bidi w:val="0"/>
        <w:ind w:left="0" w:leftChars="0" w:firstLine="420" w:firstLineChars="0"/>
        <w:rPr>
          <w:rFonts w:hint="default"/>
          <w:lang w:val="en-US" w:eastAsia="zh-CN"/>
        </w:rPr>
      </w:pPr>
      <w:bookmarkStart w:id="11" w:name="_Toc21882"/>
      <w:r>
        <w:rPr>
          <w:rFonts w:hint="eastAsia"/>
          <w:lang w:val="en-US" w:eastAsia="zh-CN"/>
        </w:rPr>
        <w:t>项目计划</w:t>
      </w:r>
      <w:bookmarkEnd w:id="11"/>
    </w:p>
    <w:p w14:paraId="3E9AF0C2">
      <w:pPr>
        <w:pStyle w:val="3"/>
        <w:numPr>
          <w:ilvl w:val="0"/>
          <w:numId w:val="7"/>
        </w:numPr>
        <w:bidi w:val="0"/>
        <w:ind w:left="0" w:leftChars="0" w:firstLine="567" w:firstLineChars="0"/>
        <w:rPr>
          <w:rFonts w:hint="default"/>
          <w:lang w:val="en-US" w:eastAsia="zh-CN"/>
        </w:rPr>
      </w:pPr>
      <w:bookmarkStart w:id="12" w:name="_Toc8178"/>
      <w:r>
        <w:rPr>
          <w:rFonts w:hint="eastAsia"/>
          <w:lang w:val="en-US" w:eastAsia="zh-CN"/>
        </w:rPr>
        <w:t>教学内容优化</w:t>
      </w:r>
      <w:bookmarkEnd w:id="12"/>
    </w:p>
    <w:p w14:paraId="07DF2DEA">
      <w:pPr>
        <w:rPr>
          <w:rFonts w:hint="default"/>
          <w:lang w:val="en-US" w:eastAsia="zh-CN"/>
        </w:rPr>
      </w:pPr>
      <w:r>
        <w:rPr>
          <w:rFonts w:hint="default"/>
          <w:lang w:val="en-US" w:eastAsia="zh-CN"/>
        </w:rPr>
        <w:t>本学期，</w:t>
      </w:r>
      <w:r>
        <w:rPr>
          <w:rFonts w:hint="eastAsia"/>
          <w:lang w:val="en-US" w:eastAsia="zh-CN"/>
        </w:rPr>
        <w:t>华越体育教练团队</w:t>
      </w:r>
      <w:r>
        <w:rPr>
          <w:rFonts w:hint="default"/>
          <w:lang w:val="en-US" w:eastAsia="zh-CN"/>
        </w:rPr>
        <w:t>扎根一线教学实践，</w:t>
      </w:r>
      <w:r>
        <w:rPr>
          <w:rFonts w:hint="eastAsia"/>
          <w:lang w:val="en-US" w:eastAsia="zh-CN"/>
        </w:rPr>
        <w:t>深度推进课程</w:t>
      </w:r>
      <w:r>
        <w:rPr>
          <w:rFonts w:hint="default"/>
          <w:lang w:val="en-US" w:eastAsia="zh-CN"/>
        </w:rPr>
        <w:t>创新，推动课程质量从“经验型”向“科学化”跃升。一线教练以高度的专业自觉，在课堂中践行“精讲多练、以练促学”原则：将复杂技术动作拆解为30秒核心口诀（如</w:t>
      </w:r>
      <w:r>
        <w:rPr>
          <w:rFonts w:hint="eastAsia"/>
          <w:lang w:val="en-US" w:eastAsia="zh-CN"/>
        </w:rPr>
        <w:t>篮球</w:t>
      </w:r>
      <w:r>
        <w:rPr>
          <w:rFonts w:hint="default"/>
          <w:lang w:val="en-US" w:eastAsia="zh-CN"/>
        </w:rPr>
        <w:t>胸前传球聚焦“伸臂-翻腕-拨指”三要素），即时转入实践环节，使技能内化效率提升40%以上。此非简单流程优化，而是对《体育与健康课程标准》中“学、练、赛”一体化理念的精准落地，彰显教练团队对青少年注意力规律的深刻把握与教育匠心。</w:t>
      </w:r>
    </w:p>
    <w:p w14:paraId="50C2EE12">
      <w:pPr>
        <w:rPr>
          <w:rFonts w:hint="default"/>
          <w:lang w:val="en-US" w:eastAsia="zh-CN"/>
        </w:rPr>
      </w:pPr>
      <w:r>
        <w:rPr>
          <w:rFonts w:hint="default"/>
          <w:lang w:val="en-US" w:eastAsia="zh-CN"/>
        </w:rPr>
        <w:t>尤为可贵的是，教练团队主动将育人目标融入教学设计。通过创设阶梯式挑战任务（如“连胜通关”“距离进阶”机制），将枯燥训练转化为目标驱动的成长旅程；设计结构化团队竞赛（如</w:t>
      </w:r>
      <w:r>
        <w:rPr>
          <w:rFonts w:hint="eastAsia"/>
          <w:lang w:val="en-US" w:eastAsia="zh-CN"/>
        </w:rPr>
        <w:t>三</w:t>
      </w:r>
      <w:r>
        <w:rPr>
          <w:rFonts w:hint="default"/>
          <w:lang w:val="en-US" w:eastAsia="zh-CN"/>
        </w:rPr>
        <w:t>分钟攻防对抗），在激发专注力的同时自然培育规则意识与集体荣誉感。更创新实施“轮值队长制”，每课次由不同学员担任纪律督导与小组引领者，使其在角色担当中深化责任认知。</w:t>
      </w:r>
    </w:p>
    <w:p w14:paraId="48040B16">
      <w:pPr>
        <w:rPr>
          <w:rFonts w:hint="default"/>
          <w:lang w:val="en-US" w:eastAsia="zh-CN"/>
        </w:rPr>
      </w:pPr>
      <w:r>
        <w:rPr>
          <w:rFonts w:hint="default"/>
          <w:lang w:val="en-US" w:eastAsia="zh-CN"/>
        </w:rPr>
        <w:t>此系列优化，本质是华越体育“以学定教”质量观的生动诠释。这一蓬勃创新力的背后，是华越体育构建的“教研共生”专业生态。以“一校一案”机制为支点，搭建跨层级、跨区域的教研共同体：固定开展“磨课赛课”深度研训，由资深导师带领教练剖析典型课例，建立经验共享平台，上城、拱墅等合作校的优秀实践（如</w:t>
      </w:r>
      <w:r>
        <w:rPr>
          <w:rFonts w:hint="eastAsia"/>
          <w:lang w:val="en-US" w:eastAsia="zh-CN"/>
        </w:rPr>
        <w:t>上城区某校</w:t>
      </w:r>
      <w:r>
        <w:rPr>
          <w:rFonts w:hint="default"/>
          <w:lang w:val="en-US" w:eastAsia="zh-CN"/>
        </w:rPr>
        <w:t>校队梯队建设</w:t>
      </w:r>
      <w:r>
        <w:rPr>
          <w:rFonts w:hint="eastAsia"/>
          <w:lang w:val="en-US" w:eastAsia="zh-CN"/>
        </w:rPr>
        <w:t>经验总结</w:t>
      </w:r>
      <w:r>
        <w:rPr>
          <w:rFonts w:hint="default"/>
          <w:lang w:val="en-US" w:eastAsia="zh-CN"/>
        </w:rPr>
        <w:t>、余杭区</w:t>
      </w:r>
      <w:r>
        <w:rPr>
          <w:rFonts w:hint="eastAsia"/>
          <w:lang w:val="en-US" w:eastAsia="zh-CN"/>
        </w:rPr>
        <w:t>足篮双育</w:t>
      </w:r>
      <w:r>
        <w:rPr>
          <w:rFonts w:hint="default"/>
          <w:lang w:val="en-US" w:eastAsia="zh-CN"/>
        </w:rPr>
        <w:t>融合方案）经教研组提炼后，推送至全员学习；更设立“行业标杆对标计划”，系统拆解全国教培机构精品课程内核，引导教练在跨校际、跨领域的思想碰撞中突破认知边界。</w:t>
      </w:r>
    </w:p>
    <w:p w14:paraId="75858250">
      <w:pPr>
        <w:rPr>
          <w:rFonts w:hint="default"/>
          <w:lang w:val="en-US" w:eastAsia="zh-CN"/>
        </w:rPr>
      </w:pPr>
      <w:r>
        <w:rPr>
          <w:rFonts w:hint="default"/>
          <w:lang w:val="en-US" w:eastAsia="zh-CN"/>
        </w:rPr>
        <w:t>当一线教练的匠心与教研体系深度耦合，我们见证的不仅是课程设计的精进，更是国企服务教育的深层逻辑：将每所学校的独特需求转化为专业生长的土壤，让每位教练的实践智慧升华为行业共享的资产。这正是华越体育对“立德树人”最扎实的践行——在精雕每一堂课的专注里，在激活每一个</w:t>
      </w:r>
      <w:r>
        <w:rPr>
          <w:rFonts w:hint="eastAsia"/>
          <w:lang w:val="en-US" w:eastAsia="zh-CN"/>
        </w:rPr>
        <w:t>学院的运动热情中。</w:t>
      </w:r>
    </w:p>
    <w:p w14:paraId="6E429435">
      <w:pPr>
        <w:rPr>
          <w:rFonts w:hint="default"/>
          <w:vertAlign w:val="baseline"/>
          <w:lang w:val="en-US" w:eastAsia="zh-CN"/>
        </w:rPr>
      </w:pPr>
    </w:p>
    <w:tbl>
      <w:tblPr>
        <w:tblStyle w:val="14"/>
        <w:tblW w:w="87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00"/>
      </w:tblGrid>
      <w:tr w14:paraId="6643D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52" w:hRule="atLeast"/>
        </w:trPr>
        <w:tc>
          <w:tcPr>
            <w:tcW w:w="8700" w:type="dxa"/>
          </w:tcPr>
          <w:p w14:paraId="2943BAF6">
            <w:pPr>
              <w:ind w:left="0" w:leftChars="0" w:firstLine="0" w:firstLineChars="0"/>
              <w:jc w:val="center"/>
              <w:rPr>
                <w:rFonts w:hint="default"/>
                <w:vertAlign w:val="baseline"/>
                <w:lang w:val="en-US" w:eastAsia="zh-CN"/>
              </w:rPr>
            </w:pPr>
            <w:r>
              <w:rPr>
                <w:rFonts w:hint="default"/>
                <w:vertAlign w:val="baseline"/>
                <w:lang w:val="en-US" w:eastAsia="zh-CN"/>
              </w:rPr>
              <w:drawing>
                <wp:inline distT="0" distB="0" distL="114300" distR="114300">
                  <wp:extent cx="4019550" cy="5359400"/>
                  <wp:effectExtent l="0" t="0" r="0" b="12700"/>
                  <wp:docPr id="24" name="图片 24" descr="76137ba9ad14b6b7fdb20c25ec303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6137ba9ad14b6b7fdb20c25ec30318b"/>
                          <pic:cNvPicPr>
                            <a:picLocks noChangeAspect="1"/>
                          </pic:cNvPicPr>
                        </pic:nvPicPr>
                        <pic:blipFill>
                          <a:blip r:embed="rId41"/>
                          <a:stretch>
                            <a:fillRect/>
                          </a:stretch>
                        </pic:blipFill>
                        <pic:spPr>
                          <a:xfrm>
                            <a:off x="0" y="0"/>
                            <a:ext cx="4019550" cy="5359400"/>
                          </a:xfrm>
                          <a:prstGeom prst="rect">
                            <a:avLst/>
                          </a:prstGeom>
                        </pic:spPr>
                      </pic:pic>
                    </a:graphicData>
                  </a:graphic>
                </wp:inline>
              </w:drawing>
            </w:r>
          </w:p>
        </w:tc>
      </w:tr>
    </w:tbl>
    <w:p w14:paraId="1B65AA1D">
      <w:pPr>
        <w:pStyle w:val="5"/>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教练磨课</w:t>
      </w:r>
    </w:p>
    <w:p w14:paraId="6CBDA2F8">
      <w:pPr>
        <w:pStyle w:val="3"/>
        <w:numPr>
          <w:ilvl w:val="0"/>
          <w:numId w:val="7"/>
        </w:numPr>
        <w:bidi w:val="0"/>
        <w:ind w:left="0" w:leftChars="0" w:firstLine="567" w:firstLineChars="0"/>
        <w:rPr>
          <w:rFonts w:hint="default"/>
          <w:lang w:val="en-US" w:eastAsia="zh-CN"/>
        </w:rPr>
      </w:pPr>
      <w:bookmarkStart w:id="13" w:name="_Toc24683"/>
      <w:r>
        <w:rPr>
          <w:rFonts w:hint="eastAsia"/>
          <w:lang w:val="en-US" w:eastAsia="zh-CN"/>
        </w:rPr>
        <w:t>现存挑战分析</w:t>
      </w:r>
      <w:bookmarkEnd w:id="13"/>
    </w:p>
    <w:p w14:paraId="1621BAA8">
      <w:pPr>
        <w:rPr>
          <w:rFonts w:hint="default"/>
          <w:lang w:val="en-US" w:eastAsia="zh-CN"/>
        </w:rPr>
      </w:pPr>
      <w:r>
        <w:rPr>
          <w:rFonts w:hint="default"/>
          <w:lang w:val="en-US" w:eastAsia="zh-CN"/>
        </w:rPr>
        <w:t>在服务深化过程中，我们</w:t>
      </w:r>
      <w:r>
        <w:rPr>
          <w:rFonts w:hint="eastAsia"/>
          <w:lang w:val="en-US" w:eastAsia="zh-CN"/>
        </w:rPr>
        <w:t>仍需</w:t>
      </w:r>
      <w:r>
        <w:rPr>
          <w:rFonts w:hint="default"/>
          <w:lang w:val="en-US" w:eastAsia="zh-CN"/>
        </w:rPr>
        <w:t>客观面对若干需协同优化的发展性课题：</w:t>
      </w:r>
    </w:p>
    <w:p w14:paraId="239AFC15">
      <w:pPr>
        <w:rPr>
          <w:rFonts w:hint="default"/>
          <w:lang w:val="en-US" w:eastAsia="zh-CN"/>
        </w:rPr>
      </w:pPr>
      <w:r>
        <w:rPr>
          <w:rFonts w:hint="default"/>
          <w:lang w:val="en-US" w:eastAsia="zh-CN"/>
        </w:rPr>
        <w:t>其一，场地条件的适应性挑战。雨天教学易受室外场地制约，偶发地面湿滑隐患；部分场地</w:t>
      </w:r>
      <w:r>
        <w:rPr>
          <w:rFonts w:hint="eastAsia"/>
          <w:lang w:val="en-US" w:eastAsia="zh-CN"/>
        </w:rPr>
        <w:t>球</w:t>
      </w:r>
      <w:r>
        <w:rPr>
          <w:rFonts w:hint="default"/>
          <w:lang w:val="en-US" w:eastAsia="zh-CN"/>
        </w:rPr>
        <w:t>筐数量与可调节性尚有提升空间。对此，</w:t>
      </w:r>
      <w:r>
        <w:rPr>
          <w:rFonts w:hint="eastAsia"/>
          <w:lang w:val="en-US" w:eastAsia="zh-CN"/>
        </w:rPr>
        <w:t>华越体育</w:t>
      </w:r>
      <w:r>
        <w:rPr>
          <w:rFonts w:hint="default"/>
          <w:lang w:val="en-US" w:eastAsia="zh-CN"/>
        </w:rPr>
        <w:t>已启动"风雨无阻"预案——投入研发室内训练模块</w:t>
      </w:r>
      <w:r>
        <w:rPr>
          <w:rFonts w:hint="eastAsia"/>
          <w:lang w:val="en-US" w:eastAsia="zh-CN"/>
        </w:rPr>
        <w:t>内容</w:t>
      </w:r>
      <w:r>
        <w:rPr>
          <w:rFonts w:hint="default"/>
          <w:lang w:val="en-US" w:eastAsia="zh-CN"/>
        </w:rPr>
        <w:t>，将运球协调性、战术板演练</w:t>
      </w:r>
      <w:r>
        <w:rPr>
          <w:rFonts w:hint="eastAsia"/>
          <w:lang w:val="en-US" w:eastAsia="zh-CN"/>
        </w:rPr>
        <w:t>展示</w:t>
      </w:r>
      <w:r>
        <w:rPr>
          <w:rFonts w:hint="default"/>
          <w:lang w:val="en-US" w:eastAsia="zh-CN"/>
        </w:rPr>
        <w:t>等核心内容转化为雨天课程，建立课前</w:t>
      </w:r>
      <w:r>
        <w:rPr>
          <w:rFonts w:hint="eastAsia"/>
          <w:lang w:val="en-US" w:eastAsia="zh-CN"/>
        </w:rPr>
        <w:t>社群沟通</w:t>
      </w:r>
      <w:r>
        <w:rPr>
          <w:rFonts w:hint="default"/>
          <w:lang w:val="en-US" w:eastAsia="zh-CN"/>
        </w:rPr>
        <w:t>机制，确保风险前置管控。</w:t>
      </w:r>
    </w:p>
    <w:p w14:paraId="25D485F7">
      <w:pPr>
        <w:rPr>
          <w:rFonts w:hint="default"/>
          <w:lang w:val="en-US" w:eastAsia="zh-CN"/>
        </w:rPr>
      </w:pPr>
      <w:r>
        <w:rPr>
          <w:rFonts w:hint="default"/>
          <w:lang w:val="en-US" w:eastAsia="zh-CN"/>
        </w:rPr>
        <w:t>其二，学员需求的分层化特征。学生参与动机呈现竞技提升与兴趣体验的多元光谱，易导致教学目标</w:t>
      </w:r>
      <w:r>
        <w:rPr>
          <w:rFonts w:hint="eastAsia"/>
          <w:lang w:val="en-US" w:eastAsia="zh-CN"/>
        </w:rPr>
        <w:t>产生</w:t>
      </w:r>
      <w:r>
        <w:rPr>
          <w:rFonts w:hint="default"/>
          <w:lang w:val="en-US" w:eastAsia="zh-CN"/>
        </w:rPr>
        <w:t>张力。这恰是深化"因材施教"的契机：本学期试点"双轨教学法"，在兴趣班融入游戏化成就体系（如"三分射手</w:t>
      </w:r>
      <w:r>
        <w:rPr>
          <w:rFonts w:hint="eastAsia"/>
          <w:lang w:val="en-US" w:eastAsia="zh-CN"/>
        </w:rPr>
        <w:t>大赛</w:t>
      </w:r>
      <w:r>
        <w:rPr>
          <w:rFonts w:hint="default"/>
          <w:lang w:val="en-US" w:eastAsia="zh-CN"/>
        </w:rPr>
        <w:t>"</w:t>
      </w:r>
      <w:r>
        <w:rPr>
          <w:rFonts w:hint="eastAsia"/>
          <w:lang w:val="en-US" w:eastAsia="zh-CN"/>
        </w:rPr>
        <w:t>等</w:t>
      </w:r>
      <w:r>
        <w:rPr>
          <w:rFonts w:hint="default"/>
          <w:lang w:val="en-US" w:eastAsia="zh-CN"/>
        </w:rPr>
        <w:t>），在服务平台提供心理健康科普知识课堂视频，使不同基础学员在各自赛道获得成长尊严。实践证明，当教学设计精准匹配发展需求，参与深度自然提升。</w:t>
      </w:r>
    </w:p>
    <w:p w14:paraId="666A960D">
      <w:pPr>
        <w:rPr>
          <w:rFonts w:hint="default"/>
          <w:lang w:val="en-US" w:eastAsia="zh-CN"/>
        </w:rPr>
      </w:pPr>
      <w:r>
        <w:rPr>
          <w:rFonts w:hint="default"/>
          <w:lang w:val="en-US" w:eastAsia="zh-CN"/>
        </w:rPr>
        <w:t>其</w:t>
      </w:r>
      <w:r>
        <w:rPr>
          <w:rFonts w:hint="eastAsia"/>
          <w:lang w:val="en-US" w:eastAsia="zh-CN"/>
        </w:rPr>
        <w:t>三</w:t>
      </w:r>
      <w:r>
        <w:rPr>
          <w:rFonts w:hint="default"/>
          <w:lang w:val="en-US" w:eastAsia="zh-CN"/>
        </w:rPr>
        <w:t>，运动安全的精细化管理。篮球</w:t>
      </w:r>
      <w:r>
        <w:rPr>
          <w:rFonts w:hint="eastAsia"/>
          <w:lang w:val="en-US" w:eastAsia="zh-CN"/>
        </w:rPr>
        <w:t>、足球</w:t>
      </w:r>
      <w:r>
        <w:rPr>
          <w:rFonts w:hint="default"/>
          <w:lang w:val="en-US" w:eastAsia="zh-CN"/>
        </w:rPr>
        <w:t>运动固有的急停</w:t>
      </w:r>
      <w:r>
        <w:rPr>
          <w:rFonts w:hint="eastAsia"/>
          <w:lang w:val="en-US" w:eastAsia="zh-CN"/>
        </w:rPr>
        <w:t>对抗</w:t>
      </w:r>
      <w:r>
        <w:rPr>
          <w:rFonts w:hint="default"/>
          <w:lang w:val="en-US" w:eastAsia="zh-CN"/>
        </w:rPr>
        <w:t>特性，要求我们对损伤风险保持高度敬畏。</w:t>
      </w:r>
      <w:r>
        <w:rPr>
          <w:rFonts w:hint="eastAsia"/>
          <w:lang w:val="en-US" w:eastAsia="zh-CN"/>
        </w:rPr>
        <w:t>华越体育</w:t>
      </w:r>
      <w:r>
        <w:rPr>
          <w:rFonts w:hint="default"/>
          <w:lang w:val="en-US" w:eastAsia="zh-CN"/>
        </w:rPr>
        <w:t>将"安全阈值"设为教学红线：所有</w:t>
      </w:r>
      <w:r>
        <w:rPr>
          <w:rFonts w:hint="eastAsia"/>
          <w:lang w:val="en-US" w:eastAsia="zh-CN"/>
        </w:rPr>
        <w:t>校区</w:t>
      </w:r>
      <w:r>
        <w:rPr>
          <w:rFonts w:hint="default"/>
          <w:lang w:val="en-US" w:eastAsia="zh-CN"/>
        </w:rPr>
        <w:t>严格遵循</w:t>
      </w:r>
      <w:r>
        <w:rPr>
          <w:rFonts w:hint="eastAsia"/>
          <w:lang w:val="en-US" w:eastAsia="zh-CN"/>
        </w:rPr>
        <w:t>校园体育器材月度巡检机制</w:t>
      </w:r>
      <w:r>
        <w:rPr>
          <w:rFonts w:hint="default"/>
          <w:lang w:val="en-US" w:eastAsia="zh-CN"/>
        </w:rPr>
        <w:t>，</w:t>
      </w:r>
      <w:r>
        <w:rPr>
          <w:rFonts w:hint="eastAsia"/>
          <w:lang w:val="en-US" w:eastAsia="zh-CN"/>
        </w:rPr>
        <w:t>保障器械安全问题</w:t>
      </w:r>
      <w:r>
        <w:rPr>
          <w:rFonts w:hint="default"/>
          <w:lang w:val="en-US" w:eastAsia="zh-CN"/>
        </w:rPr>
        <w:t>；采用"渐进式对抗"训练法（如先用</w:t>
      </w:r>
      <w:r>
        <w:rPr>
          <w:rFonts w:hint="eastAsia"/>
          <w:lang w:val="en-US" w:eastAsia="zh-CN"/>
        </w:rPr>
        <w:t>根据不同学员身体情况，调整对抗训练强度，分层式训练</w:t>
      </w:r>
      <w:r>
        <w:rPr>
          <w:rFonts w:hint="default"/>
          <w:lang w:val="en-US" w:eastAsia="zh-CN"/>
        </w:rPr>
        <w:t>），既保障技能真实性，又最大限度规避风险。本学期实现零责任事故，印证专业防控体系的可靠性。</w:t>
      </w:r>
    </w:p>
    <w:p w14:paraId="5FD524C4">
      <w:pPr>
        <w:rPr>
          <w:rFonts w:hint="default"/>
          <w:lang w:val="en-US" w:eastAsia="zh-CN"/>
        </w:rPr>
      </w:pPr>
      <w:r>
        <w:rPr>
          <w:rFonts w:hint="default"/>
          <w:lang w:val="en-US" w:eastAsia="zh-CN"/>
        </w:rPr>
        <w:t>这些挑战本质是体教融合深化期的共性课题。华越体育始终以建设性姿态直面问题——因为我们深信，真正的专业主义不在于回避困难，而在于将每个挑战转化为优化服务的支点。在与学校的紧密协同中，我们持续完善"预防-响应-提升"全周期管理机制</w:t>
      </w:r>
      <w:r>
        <w:rPr>
          <w:rFonts w:hint="eastAsia"/>
          <w:lang w:val="en-US" w:eastAsia="zh-CN"/>
        </w:rPr>
        <w:t>。</w:t>
      </w:r>
      <w:r>
        <w:rPr>
          <w:rFonts w:hint="default"/>
          <w:lang w:val="en-US" w:eastAsia="zh-CN"/>
        </w:rPr>
        <w:t>每一次对场地的细致排查、对课程的精心分层、对安全的极致苛求，都是对"健康第一"教育理念最坚实的践行。</w:t>
      </w:r>
    </w:p>
    <w:p w14:paraId="2A28F9C4">
      <w:pPr>
        <w:pStyle w:val="3"/>
        <w:numPr>
          <w:ilvl w:val="0"/>
          <w:numId w:val="7"/>
        </w:numPr>
        <w:bidi w:val="0"/>
        <w:ind w:left="0" w:leftChars="0" w:firstLine="567" w:firstLineChars="0"/>
        <w:rPr>
          <w:rFonts w:hint="default"/>
          <w:lang w:val="en-US" w:eastAsia="zh-CN"/>
        </w:rPr>
      </w:pPr>
      <w:bookmarkStart w:id="14" w:name="_Toc8207"/>
      <w:r>
        <w:rPr>
          <w:rFonts w:hint="eastAsia"/>
          <w:lang w:val="en-US" w:eastAsia="zh-CN"/>
        </w:rPr>
        <w:t>提升数字化服务</w:t>
      </w:r>
      <w:bookmarkEnd w:id="14"/>
    </w:p>
    <w:p w14:paraId="26D89672">
      <w:pPr>
        <w:rPr>
          <w:rFonts w:hint="eastAsia"/>
          <w:lang w:val="en-US" w:eastAsia="zh-CN"/>
        </w:rPr>
      </w:pPr>
      <w:r>
        <w:rPr>
          <w:rFonts w:hint="default"/>
          <w:lang w:val="en-US" w:eastAsia="zh-CN"/>
        </w:rPr>
        <w:t>2022年9月，华越体育启动数字化转型，正式推出自有微信小程序及配套数据管理后台，构建起覆盖学员报名、课堂签到、课时记录、技能测评到成长追踪的全流程数字化服务体系。家长可通过小程序实时查阅机构介绍、课程安排、学员出勤及阶段性成长反馈；后台系统集成定位验证签到、课时自动统计、数据可视化分析等功能，显著提升运营效率与服务透明度。平台通过持续沉淀多维度篮球技能数据（如运球稳定性、投篮命中率、团队配合指数等），为教学策略动态调优提供科学依据，同时深度挖掘学员选课偏好、训练参与度及区域教学成效等关键洞察，为学校优化课程结构、打造体育特色品牌及统筹跨校资源提供有力支撑，有效推动校园篮球服务向科学化、精准化、专业化迈进</w:t>
      </w:r>
      <w:r>
        <w:rPr>
          <w:rFonts w:hint="eastAsia"/>
          <w:lang w:val="en-US" w:eastAsia="zh-CN"/>
        </w:rPr>
        <w:t>。</w:t>
      </w:r>
    </w:p>
    <w:p w14:paraId="7DA9063F">
      <w:pPr>
        <w:rPr>
          <w:rFonts w:hint="default"/>
          <w:lang w:val="en-US" w:eastAsia="zh-CN"/>
        </w:rPr>
      </w:pPr>
      <w:r>
        <w:rPr>
          <w:rFonts w:hint="default"/>
          <w:lang w:val="en-US" w:eastAsia="zh-CN"/>
        </w:rPr>
        <w:t>2025年，为进一步夯实数字底座、筑牢安全防线，</w:t>
      </w:r>
      <w:r>
        <w:rPr>
          <w:rFonts w:hint="eastAsia"/>
          <w:lang w:val="en-US" w:eastAsia="zh-CN"/>
        </w:rPr>
        <w:t>华越体育</w:t>
      </w:r>
      <w:r>
        <w:rPr>
          <w:rFonts w:hint="default"/>
          <w:lang w:val="en-US" w:eastAsia="zh-CN"/>
        </w:rPr>
        <w:t>对小程序及数据平台开展了全面的技术升级与安全加固。严格开展内部代码审计、漏洞扫描及第三方渗透测试，全面优化系统架构与数据加密机制，切实保障用户个人信息安全、课堂数据完整性和服务运行稳定性。此次升级不仅提升了平台的高可用性与抗风险能力，也为后续拓展应用</w:t>
      </w:r>
      <w:r>
        <w:rPr>
          <w:rFonts w:hint="eastAsia"/>
          <w:lang w:val="en-US" w:eastAsia="zh-CN"/>
        </w:rPr>
        <w:t>和稳定的数据分析</w:t>
      </w:r>
      <w:r>
        <w:rPr>
          <w:rFonts w:hint="default"/>
          <w:lang w:val="en-US" w:eastAsia="zh-CN"/>
        </w:rPr>
        <w:t>奠定坚实基础，持续以安全、可靠、高效的数字化能力赋能校园体育高质量发展。</w:t>
      </w:r>
    </w:p>
    <w:p w14:paraId="723A83AA">
      <w:pPr>
        <w:rPr>
          <w:rFonts w:hint="default"/>
          <w:vertAlign w:val="baseline"/>
          <w:lang w:val="en-US" w:eastAsia="zh-CN"/>
        </w:rPr>
      </w:pPr>
      <w:r>
        <w:rPr>
          <w:rFonts w:hint="default"/>
          <w:lang w:val="en-US" w:eastAsia="zh-CN"/>
        </w:rPr>
        <w:t>华越体育始终视服务品质为立身之本，以持续迭代的创新实践践行国企担当。从2022年启动数字化转型构建全流程管理平台，到2025年全面筑牢安全防线，我们以“年年精进”的定力推动服务升级这些努力，不仅是技术层面的自我超越，更是对“</w:t>
      </w:r>
      <w:r>
        <w:rPr>
          <w:rFonts w:hint="eastAsia"/>
          <w:lang w:val="en-US" w:eastAsia="zh-CN"/>
        </w:rPr>
        <w:t>安全第一</w:t>
      </w:r>
      <w:r>
        <w:rPr>
          <w:rFonts w:hint="default"/>
          <w:lang w:val="en-US" w:eastAsia="zh-CN"/>
        </w:rPr>
        <w:t>”教育理念的具身化诠释——当数据安全守护成长隐私，当精准分析赋能教学革新，我们便在细微处筑牢体教融合的数字基石。未来，华越体育将继续以专业温度与科技精度，助力学校构建“五育并举”的智慧育人新生态。</w:t>
      </w:r>
    </w:p>
    <w:tbl>
      <w:tblPr>
        <w:tblStyle w:val="14"/>
        <w:tblpPr w:leftFromText="180" w:rightFromText="180" w:vertAnchor="text" w:horzAnchor="page" w:tblpX="1801" w:tblpY="8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71"/>
        <w:gridCol w:w="4151"/>
      </w:tblGrid>
      <w:tr w14:paraId="4D753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noWrap w:val="0"/>
            <w:vAlign w:val="center"/>
          </w:tcPr>
          <w:p w14:paraId="12F5150A">
            <w:pPr>
              <w:bidi w:val="0"/>
              <w:ind w:left="0" w:leftChars="0" w:firstLine="0" w:firstLineChars="0"/>
              <w:jc w:val="center"/>
              <w:rPr>
                <w:rFonts w:hint="default" w:eastAsia="华文仿宋"/>
                <w:color w:val="auto"/>
                <w:vertAlign w:val="baseline"/>
                <w:lang w:val="en-US" w:eastAsia="zh-CN"/>
              </w:rPr>
            </w:pPr>
            <w:r>
              <w:drawing>
                <wp:inline distT="0" distB="0" distL="114300" distR="114300">
                  <wp:extent cx="5262245" cy="3091180"/>
                  <wp:effectExtent l="0" t="0" r="14605" b="1397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42"/>
                          <a:stretch>
                            <a:fillRect/>
                          </a:stretch>
                        </pic:blipFill>
                        <pic:spPr>
                          <a:xfrm>
                            <a:off x="0" y="0"/>
                            <a:ext cx="5262245" cy="3091180"/>
                          </a:xfrm>
                          <a:prstGeom prst="rect">
                            <a:avLst/>
                          </a:prstGeom>
                          <a:noFill/>
                          <a:ln>
                            <a:noFill/>
                          </a:ln>
                        </pic:spPr>
                      </pic:pic>
                    </a:graphicData>
                  </a:graphic>
                </wp:inline>
              </w:drawing>
            </w:r>
          </w:p>
        </w:tc>
      </w:tr>
      <w:tr w14:paraId="4A5E0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5" w:type="dxa"/>
            <w:noWrap w:val="0"/>
            <w:vAlign w:val="center"/>
          </w:tcPr>
          <w:p w14:paraId="74391E49">
            <w:pPr>
              <w:pStyle w:val="5"/>
              <w:bidi w:val="0"/>
              <w:ind w:left="0" w:leftChars="0" w:firstLine="0" w:firstLineChars="0"/>
              <w:jc w:val="center"/>
              <w:rPr>
                <w:rFonts w:hint="default"/>
                <w:lang w:val="en-US" w:eastAsia="zh-CN"/>
              </w:rPr>
            </w:pPr>
            <w:r>
              <w:rPr>
                <w:rFonts w:hint="default"/>
                <w:lang w:val="en-US" w:eastAsia="zh-CN"/>
              </w:rPr>
              <w:drawing>
                <wp:inline distT="0" distB="0" distL="114300" distR="114300">
                  <wp:extent cx="2546350" cy="3449955"/>
                  <wp:effectExtent l="0" t="0" r="6350" b="17145"/>
                  <wp:docPr id="33" name="图片 29" descr="5563baee94692198cccfbb0b0b63f318"/>
                  <wp:cNvGraphicFramePr/>
                  <a:graphic xmlns:a="http://schemas.openxmlformats.org/drawingml/2006/main">
                    <a:graphicData uri="http://schemas.openxmlformats.org/drawingml/2006/picture">
                      <pic:pic xmlns:pic="http://schemas.openxmlformats.org/drawingml/2006/picture">
                        <pic:nvPicPr>
                          <pic:cNvPr id="33" name="图片 29" descr="5563baee94692198cccfbb0b0b63f318"/>
                          <pic:cNvPicPr/>
                        </pic:nvPicPr>
                        <pic:blipFill>
                          <a:blip r:embed="rId43"/>
                          <a:stretch>
                            <a:fillRect/>
                          </a:stretch>
                        </pic:blipFill>
                        <pic:spPr>
                          <a:xfrm>
                            <a:off x="0" y="0"/>
                            <a:ext cx="2546350" cy="3449955"/>
                          </a:xfrm>
                          <a:prstGeom prst="rect">
                            <a:avLst/>
                          </a:prstGeom>
                          <a:noFill/>
                          <a:ln>
                            <a:noFill/>
                          </a:ln>
                        </pic:spPr>
                      </pic:pic>
                    </a:graphicData>
                  </a:graphic>
                </wp:inline>
              </w:drawing>
            </w:r>
          </w:p>
        </w:tc>
        <w:tc>
          <w:tcPr>
            <w:tcW w:w="4227" w:type="dxa"/>
            <w:noWrap w:val="0"/>
            <w:vAlign w:val="center"/>
          </w:tcPr>
          <w:p w14:paraId="0DC1FCD0">
            <w:pPr>
              <w:pStyle w:val="5"/>
              <w:bidi w:val="0"/>
              <w:ind w:left="0" w:leftChars="0" w:firstLine="0" w:firstLineChars="0"/>
              <w:jc w:val="center"/>
              <w:rPr>
                <w:rFonts w:hint="default"/>
                <w:lang w:val="en-US" w:eastAsia="zh-CN"/>
              </w:rPr>
            </w:pPr>
            <w:r>
              <w:rPr>
                <w:rFonts w:hint="eastAsia"/>
                <w:lang w:val="en-US" w:eastAsia="zh-CN"/>
              </w:rPr>
              <w:drawing>
                <wp:inline distT="0" distB="0" distL="114300" distR="114300">
                  <wp:extent cx="2319020" cy="3544570"/>
                  <wp:effectExtent l="0" t="0" r="5080" b="17780"/>
                  <wp:docPr id="34" name="图片 44" descr="小程序2"/>
                  <wp:cNvGraphicFramePr/>
                  <a:graphic xmlns:a="http://schemas.openxmlformats.org/drawingml/2006/main">
                    <a:graphicData uri="http://schemas.openxmlformats.org/drawingml/2006/picture">
                      <pic:pic xmlns:pic="http://schemas.openxmlformats.org/drawingml/2006/picture">
                        <pic:nvPicPr>
                          <pic:cNvPr id="34" name="图片 44" descr="小程序2"/>
                          <pic:cNvPicPr/>
                        </pic:nvPicPr>
                        <pic:blipFill>
                          <a:blip r:embed="rId44"/>
                          <a:stretch>
                            <a:fillRect/>
                          </a:stretch>
                        </pic:blipFill>
                        <pic:spPr>
                          <a:xfrm>
                            <a:off x="0" y="0"/>
                            <a:ext cx="2319020" cy="3544570"/>
                          </a:xfrm>
                          <a:prstGeom prst="rect">
                            <a:avLst/>
                          </a:prstGeom>
                          <a:noFill/>
                          <a:ln>
                            <a:noFill/>
                          </a:ln>
                        </pic:spPr>
                      </pic:pic>
                    </a:graphicData>
                  </a:graphic>
                </wp:inline>
              </w:drawing>
            </w:r>
          </w:p>
        </w:tc>
      </w:tr>
    </w:tbl>
    <w:p w14:paraId="631B971F">
      <w:pPr>
        <w:pStyle w:val="5"/>
        <w:ind w:left="0" w:leftChars="0" w:firstLine="0" w:firstLineChars="0"/>
        <w:jc w:val="center"/>
        <w:rPr>
          <w:rFonts w:hint="default"/>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数字化</w:t>
      </w:r>
      <w:r>
        <w:rPr>
          <w:rFonts w:hint="eastAsia"/>
          <w:lang w:val="en-US" w:eastAsia="zh-CN"/>
        </w:rPr>
        <w:t>管理</w:t>
      </w:r>
      <w:r>
        <w:rPr>
          <w:rFonts w:hint="eastAsia"/>
          <w:lang w:eastAsia="zh-CN"/>
        </w:rPr>
        <w:t>平台</w:t>
      </w:r>
    </w:p>
    <w:p w14:paraId="0274D5EC">
      <w:pPr>
        <w:pStyle w:val="3"/>
        <w:bidi w:val="0"/>
        <w:ind w:left="0" w:leftChars="0" w:firstLine="567" w:firstLineChars="0"/>
        <w:rPr>
          <w:rFonts w:hint="default"/>
          <w:lang w:val="en-US" w:eastAsia="zh-CN"/>
        </w:rPr>
      </w:pPr>
      <w:bookmarkStart w:id="15" w:name="_Toc31720"/>
      <w:r>
        <w:rPr>
          <w:rFonts w:hint="eastAsia"/>
          <w:lang w:val="en-US" w:eastAsia="zh-CN"/>
        </w:rPr>
        <w:t>未来建设愿景</w:t>
      </w:r>
      <w:bookmarkEnd w:id="15"/>
    </w:p>
    <w:p w14:paraId="5D016425">
      <w:pPr>
        <w:rPr>
          <w:rFonts w:hint="default"/>
          <w:lang w:val="en-US" w:eastAsia="zh-CN"/>
        </w:rPr>
      </w:pPr>
      <w:r>
        <w:rPr>
          <w:rFonts w:hint="default"/>
          <w:lang w:val="en-US" w:eastAsia="zh-CN"/>
        </w:rPr>
        <w:t>展望未来，华越体育将立足“立德树人”根本任务，系统构建以</w:t>
      </w:r>
      <w:r>
        <w:rPr>
          <w:rFonts w:hint="eastAsia"/>
          <w:lang w:val="en-US" w:eastAsia="zh-CN"/>
        </w:rPr>
        <w:t>体育</w:t>
      </w:r>
      <w:r>
        <w:rPr>
          <w:rFonts w:hint="default"/>
          <w:lang w:val="en-US" w:eastAsia="zh-CN"/>
        </w:rPr>
        <w:t>运动为载体的全人教育生态。在学生培养维度，我们聚焦运动习惯养成、心理韧性锤炼与团队精神涵育：通过结构化训练体系，引导学生领悟“胜不骄、败不馁”的竞技哲学，在规则对抗中深化对公平竞争与体育道德的认知；以“尊重、责任、界限”三大核心价值为纲，将尊重裁判与队友的礼仪、岗位职责的担当意识、规则边界的敬畏之心，内化为日常行为准则；同步依托统一队服、专属口号及仪式传统，塑造具有凝聚力的团队文化，使学生在身份认同中收获归属感。我们更注重发掘个体在运动协调性、空间感知力及战术理解力等维度的潜能，以积极愉悦的课堂体验，让篮球运动升华为受益终身的健康生活方式。</w:t>
      </w:r>
    </w:p>
    <w:p w14:paraId="7CCCEEB8">
      <w:pPr>
        <w:rPr>
          <w:rFonts w:hint="default"/>
          <w:lang w:val="en-US" w:eastAsia="zh-CN"/>
        </w:rPr>
      </w:pPr>
      <w:r>
        <w:rPr>
          <w:rFonts w:hint="default"/>
          <w:lang w:val="en-US" w:eastAsia="zh-CN"/>
        </w:rPr>
        <w:t>在协同共建层面，我们致力于打破服务边界，与学校、家庭、学生共筑育人合力：与学校深度协同，推动篮球课程融入校园文化肌理——将体育节、班级联赛等平台转化为展示校风校貌的窗口，使运动场成为彰显集体荣誉与精神风貌的育人阵地；与家长携手共育，通过定制化家长会、沉浸式比赛观摩，传递“体育即人格教育”的深层价值，以可视化成长案例（如自信心提升、纪律性强化、社交能力进阶）赢得家庭对体育教育的理解与支持；与学生共创共享，培育队长、组长担任“学生助教”，赋予其训练组织与团队管理职责，在角色担当中淬炼领导力，推动团队文化从“教练主导”向“学生自治”传承演进，最终形成生生不息的运动共同体。</w:t>
      </w:r>
    </w:p>
    <w:p w14:paraId="011A7CCA">
      <w:r>
        <w:rPr>
          <w:rFonts w:hint="default"/>
          <w:lang w:val="en-US" w:eastAsia="zh-CN"/>
        </w:rPr>
        <w:t>这一愿景的本质，是将体育从单一技能传授升维至生命教育的高度。华越体育愿以专业定力与创新实践，助力学校构建“五育融合”的鲜活样本——当每一次传球传递信任，每一次跌倒重拾勇气，我们便在细微处播种健全人格的种子，为培养德智体美劳全面发展的时代新人贡献国企力量。</w:t>
      </w:r>
    </w:p>
    <w:p w14:paraId="24525380">
      <w:pPr>
        <w:ind w:left="0" w:leftChars="0" w:firstLine="0" w:firstLineChars="0"/>
      </w:pPr>
    </w:p>
    <w:sectPr>
      <w:headerReference r:id="rId13" w:type="default"/>
      <w:footerReference r:id="rId14"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mn-cs">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2864A">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893A0">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47E893A0">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01AA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DBE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4EC8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3118D">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25E79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0325E79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640"/>
      </w:pPr>
      <w:r>
        <w:separator/>
      </w:r>
    </w:p>
  </w:footnote>
  <w:footnote w:type="continuationSeparator" w:id="1">
    <w:p>
      <w:pPr>
        <w:spacing w:line="36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8F60E">
    <w:pPr>
      <w:pStyle w:val="9"/>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71EA3029">
    <w:pPr>
      <w:pStyle w:val="9"/>
      <w:pBdr>
        <w:bottom w:val="none" w:color="auto" w:sz="0" w:space="1"/>
      </w:pBdr>
      <w:rPr>
        <w:rFonts w:hint="eastAsia" w:eastAsia="宋体"/>
        <w:lang w:val="en-US" w:eastAsia="zh-CN"/>
      </w:rPr>
    </w:pPr>
  </w:p>
  <w:p w14:paraId="3DDF2CB7">
    <w:pPr>
      <w:pStyle w:val="9"/>
      <w:pBdr>
        <w:bottom w:val="none" w:color="auto" w:sz="0" w:space="1"/>
      </w:pBdr>
      <w:rPr>
        <w:rFonts w:hint="eastAsia" w:eastAsia="宋体"/>
        <w:lang w:val="en-US" w:eastAsia="zh-CN"/>
      </w:rPr>
    </w:pPr>
  </w:p>
  <w:p w14:paraId="703CE6A9">
    <w:pPr>
      <w:pStyle w:val="9"/>
      <w:pBdr>
        <w:bottom w:val="none" w:color="auto" w:sz="0" w:space="1"/>
      </w:pBdr>
      <w:rPr>
        <w:rFonts w:hint="eastAsia" w:eastAsia="宋体"/>
        <w:lang w:val="en-US" w:eastAsia="zh-CN"/>
      </w:rPr>
    </w:pPr>
  </w:p>
  <w:p w14:paraId="54DA84E4">
    <w:pPr>
      <w:pStyle w:val="9"/>
      <w:pBdr>
        <w:bottom w:val="none" w:color="auto" w:sz="0" w:space="1"/>
      </w:pBdr>
      <w:rPr>
        <w:rFonts w:hint="eastAsia" w:eastAsia="宋体"/>
        <w:lang w:val="en-US" w:eastAsia="zh-CN"/>
      </w:rPr>
    </w:pPr>
  </w:p>
  <w:p w14:paraId="42EC2F25">
    <w:pPr>
      <w:pStyle w:val="9"/>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2A3F7">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05699">
    <w:pPr>
      <w:pStyle w:val="9"/>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体育服务内容</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1F30F">
    <w:pPr>
      <w:pStyle w:val="9"/>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F2E30">
    <w:pPr>
      <w:pStyle w:val="9"/>
      <w:wordWrap w:val="0"/>
      <w:bidi w:val="0"/>
      <w:ind w:left="394" w:leftChars="123" w:right="320" w:rightChars="100" w:firstLine="0" w:firstLineChars="0"/>
      <w:jc w:val="right"/>
      <w:rPr>
        <w:rFonts w:hint="default" w:ascii="黑体" w:hAnsi="黑体" w:eastAsia="黑体" w:cs="黑体"/>
        <w:lang w:val="en-US" w:eastAsia="zh-CN"/>
      </w:rPr>
    </w:pPr>
    <w:r>
      <w:rPr>
        <w:rFonts w:hint="eastAsia" w:ascii="黑体" w:hAnsi="黑体" w:eastAsia="黑体" w:cs="黑体"/>
        <w:color w:val="000000" w:themeColor="text1"/>
        <w:lang w:val="en-US" w:eastAsia="zh-CN"/>
        <w14:textFill>
          <w14:solidFill>
            <w14:schemeClr w14:val="tx1"/>
          </w14:solidFill>
        </w14:textFill>
      </w:rPr>
      <w:fldChar w:fldCharType="begin"/>
    </w:r>
    <w:r>
      <w:rPr>
        <w:rFonts w:hint="eastAsia" w:ascii="黑体" w:hAnsi="黑体" w:eastAsia="黑体" w:cs="黑体"/>
        <w:color w:val="000000" w:themeColor="text1"/>
        <w:lang w:val="en-US" w:eastAsia="zh-CN"/>
        <w14:textFill>
          <w14:solidFill>
            <w14:schemeClr w14:val="tx1"/>
          </w14:solidFill>
        </w14:textFill>
      </w:rPr>
      <w:instrText xml:space="preserve"> STYLEREF "标题 1"  \* MERGEFORMAT </w:instrText>
    </w:r>
    <w:r>
      <w:rPr>
        <w:rFonts w:hint="eastAsia" w:ascii="黑体" w:hAnsi="黑体" w:eastAsia="黑体" w:cs="黑体"/>
        <w:color w:val="000000" w:themeColor="text1"/>
        <w:lang w:val="en-US" w:eastAsia="zh-CN"/>
        <w14:textFill>
          <w14:solidFill>
            <w14:schemeClr w14:val="tx1"/>
          </w14:solidFill>
        </w14:textFill>
      </w:rPr>
      <w:fldChar w:fldCharType="separate"/>
    </w:r>
    <w:r>
      <w:rPr>
        <w:rFonts w:hint="eastAsia" w:ascii="黑体" w:hAnsi="黑体" w:eastAsia="黑体" w:cs="黑体"/>
        <w:color w:val="000000" w:themeColor="text1"/>
        <w:lang w:val="en-US" w:eastAsia="zh-CN"/>
        <w14:textFill>
          <w14:solidFill>
            <w14:schemeClr w14:val="tx1"/>
          </w14:solidFill>
        </w14:textFill>
      </w:rPr>
      <w:t>体育服务内容</w:t>
    </w:r>
    <w:r>
      <w:rPr>
        <w:rFonts w:hint="eastAsia" w:ascii="黑体" w:hAnsi="黑体" w:eastAsia="黑体" w:cs="黑体"/>
        <w:color w:val="000000" w:themeColor="text1"/>
        <w:lang w:val="en-US" w:eastAsia="zh-CN"/>
        <w14:textFill>
          <w14:solidFill>
            <w14:schemeClr w14:val="tx1"/>
          </w14:solidFill>
        </w14:textFill>
      </w:rPr>
      <w:fldChar w:fldCharType="end"/>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14:textFill>
          <w14:solidFill>
            <w14:schemeClr w14:val="tx1"/>
          </w14:solidFill>
        </w14:textFill>
      </w:rPr>
      <w:tab/>
    </w:r>
    <w:r>
      <w:rPr>
        <w:rFonts w:hint="eastAsia" w:ascii="黑体" w:hAnsi="黑体" w:eastAsia="黑体" w:cs="黑体"/>
        <w:color w:val="000000" w:themeColor="text1"/>
        <w:lang w:val="en-US" w:eastAsia="zh-CN"/>
        <w14:textFill>
          <w14:solidFill>
            <w14:schemeClr w14:val="tx1"/>
          </w14:solidFill>
        </w14:textFill>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B8E3E"/>
    <w:multiLevelType w:val="singleLevel"/>
    <w:tmpl w:val="903B8E3E"/>
    <w:lvl w:ilvl="0" w:tentative="0">
      <w:start w:val="1"/>
      <w:numFmt w:val="chineseCounting"/>
      <w:suff w:val="nothing"/>
      <w:lvlText w:val="%1、"/>
      <w:lvlJc w:val="left"/>
      <w:pPr>
        <w:ind w:left="0" w:firstLine="420"/>
      </w:pPr>
      <w:rPr>
        <w:rFonts w:hint="eastAsia"/>
      </w:rPr>
    </w:lvl>
  </w:abstractNum>
  <w:abstractNum w:abstractNumId="1">
    <w:nsid w:val="AF0FC9C1"/>
    <w:multiLevelType w:val="singleLevel"/>
    <w:tmpl w:val="AF0FC9C1"/>
    <w:lvl w:ilvl="0" w:tentative="0">
      <w:start w:val="1"/>
      <w:numFmt w:val="chineseCounting"/>
      <w:suff w:val="nothing"/>
      <w:lvlText w:val="（%1）"/>
      <w:lvlJc w:val="left"/>
      <w:pPr>
        <w:ind w:left="0" w:firstLine="567"/>
      </w:pPr>
      <w:rPr>
        <w:rFonts w:hint="eastAsia"/>
      </w:rPr>
    </w:lvl>
  </w:abstractNum>
  <w:abstractNum w:abstractNumId="2">
    <w:nsid w:val="D68E5055"/>
    <w:multiLevelType w:val="singleLevel"/>
    <w:tmpl w:val="D68E5055"/>
    <w:lvl w:ilvl="0" w:tentative="0">
      <w:start w:val="1"/>
      <w:numFmt w:val="chineseCounting"/>
      <w:suff w:val="nothing"/>
      <w:lvlText w:val="（%1）"/>
      <w:lvlJc w:val="left"/>
      <w:pPr>
        <w:ind w:left="0" w:firstLine="567"/>
      </w:pPr>
      <w:rPr>
        <w:rFonts w:hint="eastAsia"/>
      </w:rPr>
    </w:lvl>
  </w:abstractNum>
  <w:abstractNum w:abstractNumId="3">
    <w:nsid w:val="DBC5F32F"/>
    <w:multiLevelType w:val="singleLevel"/>
    <w:tmpl w:val="DBC5F32F"/>
    <w:lvl w:ilvl="0" w:tentative="0">
      <w:start w:val="1"/>
      <w:numFmt w:val="decimal"/>
      <w:suff w:val="space"/>
      <w:lvlText w:val="%1."/>
      <w:lvlJc w:val="left"/>
      <w:pPr>
        <w:ind w:left="0" w:leftChars="0" w:firstLine="567" w:firstLineChars="0"/>
      </w:pPr>
      <w:rPr>
        <w:rFonts w:hint="default"/>
      </w:rPr>
    </w:lvl>
  </w:abstractNum>
  <w:abstractNum w:abstractNumId="4">
    <w:nsid w:val="373E60B9"/>
    <w:multiLevelType w:val="singleLevel"/>
    <w:tmpl w:val="373E60B9"/>
    <w:lvl w:ilvl="0" w:tentative="0">
      <w:start w:val="1"/>
      <w:numFmt w:val="decimal"/>
      <w:pStyle w:val="4"/>
      <w:suff w:val="space"/>
      <w:lvlText w:val="%1."/>
      <w:lvlJc w:val="left"/>
      <w:pPr>
        <w:ind w:left="425" w:firstLine="142"/>
      </w:pPr>
      <w:rPr>
        <w:rFonts w:hint="default"/>
      </w:rPr>
    </w:lvl>
  </w:abstractNum>
  <w:abstractNum w:abstractNumId="5">
    <w:nsid w:val="3B8ADB61"/>
    <w:multiLevelType w:val="singleLevel"/>
    <w:tmpl w:val="3B8ADB61"/>
    <w:lvl w:ilvl="0" w:tentative="0">
      <w:start w:val="1"/>
      <w:numFmt w:val="chineseCounting"/>
      <w:pStyle w:val="3"/>
      <w:suff w:val="nothing"/>
      <w:lvlText w:val="（%1）"/>
      <w:lvlJc w:val="left"/>
      <w:pPr>
        <w:ind w:left="0" w:firstLine="567"/>
      </w:pPr>
      <w:rPr>
        <w:rFonts w:hint="eastAsia"/>
      </w:rPr>
    </w:lvl>
  </w:abstractNum>
  <w:abstractNum w:abstractNumId="6">
    <w:nsid w:val="4CF41B88"/>
    <w:multiLevelType w:val="singleLevel"/>
    <w:tmpl w:val="4CF41B88"/>
    <w:lvl w:ilvl="0" w:tentative="0">
      <w:start w:val="1"/>
      <w:numFmt w:val="chineseCounting"/>
      <w:suff w:val="nothing"/>
      <w:lvlText w:val="（%1）"/>
      <w:lvlJc w:val="left"/>
      <w:pPr>
        <w:ind w:left="0" w:firstLine="567"/>
      </w:pPr>
      <w:rPr>
        <w:rFonts w:hint="eastAsia"/>
      </w:rPr>
    </w:lvl>
  </w:abstractNum>
  <w:num w:numId="1">
    <w:abstractNumId w:val="5"/>
  </w:num>
  <w:num w:numId="2">
    <w:abstractNumId w:val="4"/>
  </w:num>
  <w:num w:numId="3">
    <w:abstractNumId w:val="0"/>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6E3D45"/>
    <w:rsid w:val="018D2101"/>
    <w:rsid w:val="049620D1"/>
    <w:rsid w:val="04F20F62"/>
    <w:rsid w:val="068C3E93"/>
    <w:rsid w:val="07C43D4D"/>
    <w:rsid w:val="09B82C7E"/>
    <w:rsid w:val="09BE3FCD"/>
    <w:rsid w:val="0AB17A25"/>
    <w:rsid w:val="0B1B7594"/>
    <w:rsid w:val="0B352404"/>
    <w:rsid w:val="113605CA"/>
    <w:rsid w:val="127001C5"/>
    <w:rsid w:val="139754CD"/>
    <w:rsid w:val="17A80401"/>
    <w:rsid w:val="1FF015ED"/>
    <w:rsid w:val="21047F36"/>
    <w:rsid w:val="21C81DCC"/>
    <w:rsid w:val="21F46C5B"/>
    <w:rsid w:val="262E5CD2"/>
    <w:rsid w:val="271D597F"/>
    <w:rsid w:val="29D8068B"/>
    <w:rsid w:val="2A1055C7"/>
    <w:rsid w:val="2A823751"/>
    <w:rsid w:val="2AB2780B"/>
    <w:rsid w:val="2B862968"/>
    <w:rsid w:val="2F2B1071"/>
    <w:rsid w:val="31A54044"/>
    <w:rsid w:val="321E1594"/>
    <w:rsid w:val="32614D27"/>
    <w:rsid w:val="32A777DC"/>
    <w:rsid w:val="360E4154"/>
    <w:rsid w:val="37917C6A"/>
    <w:rsid w:val="3AE37F8F"/>
    <w:rsid w:val="3BBF7944"/>
    <w:rsid w:val="3BDD6894"/>
    <w:rsid w:val="3D9B7DC2"/>
    <w:rsid w:val="3EB412B6"/>
    <w:rsid w:val="3F970DA9"/>
    <w:rsid w:val="400967AA"/>
    <w:rsid w:val="50935EC0"/>
    <w:rsid w:val="58560C83"/>
    <w:rsid w:val="5B8A71CF"/>
    <w:rsid w:val="5F4A6B41"/>
    <w:rsid w:val="60C63929"/>
    <w:rsid w:val="623F4899"/>
    <w:rsid w:val="688B27D8"/>
    <w:rsid w:val="691107DA"/>
    <w:rsid w:val="6B6E3D45"/>
    <w:rsid w:val="71A515FE"/>
    <w:rsid w:val="73C250B2"/>
    <w:rsid w:val="78F96CC6"/>
    <w:rsid w:val="79570DC2"/>
    <w:rsid w:val="7B3D5BB4"/>
    <w:rsid w:val="7CDB7866"/>
    <w:rsid w:val="7E9755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pPr>
    <w:rPr>
      <w:rFonts w:ascii="仿宋" w:hAnsi="仿宋" w:eastAsia="华文仿宋" w:cs="仿宋"/>
      <w:snapToGrid w:val="0"/>
      <w:color w:val="auto"/>
      <w:kern w:val="2"/>
      <w:sz w:val="32"/>
      <w:szCs w:val="32"/>
      <w:lang w:val="en-US" w:eastAsia="en-US" w:bidi="ar-SA"/>
    </w:rPr>
  </w:style>
  <w:style w:type="paragraph" w:styleId="2">
    <w:name w:val="heading 1"/>
    <w:basedOn w:val="1"/>
    <w:next w:val="1"/>
    <w:link w:val="17"/>
    <w:qFormat/>
    <w:uiPriority w:val="0"/>
    <w:pPr>
      <w:keepNext/>
      <w:keepLines/>
      <w:spacing w:before="50" w:beforeLines="50" w:beforeAutospacing="0" w:after="50" w:afterLines="50" w:afterAutospacing="0" w:line="360" w:lineRule="auto"/>
      <w:jc w:val="center"/>
      <w:outlineLvl w:val="0"/>
    </w:pPr>
    <w:rPr>
      <w:rFonts w:ascii="黑体" w:hAnsi="黑体" w:eastAsia="黑体"/>
      <w:b/>
      <w:color w:val="000000" w:themeColor="text1"/>
      <w:kern w:val="44"/>
      <w14:textFill>
        <w14:solidFill>
          <w14:schemeClr w14:val="tx1"/>
        </w14:solidFill>
      </w14:textFill>
    </w:rPr>
  </w:style>
  <w:style w:type="paragraph" w:styleId="3">
    <w:name w:val="heading 2"/>
    <w:basedOn w:val="1"/>
    <w:next w:val="1"/>
    <w:unhideWhenUsed/>
    <w:qFormat/>
    <w:uiPriority w:val="0"/>
    <w:pPr>
      <w:keepNext/>
      <w:keepLines/>
      <w:numPr>
        <w:ilvl w:val="0"/>
        <w:numId w:val="1"/>
      </w:numPr>
      <w:tabs>
        <w:tab w:val="left" w:pos="0"/>
      </w:tabs>
      <w:spacing w:before="260" w:beforeLines="0" w:beforeAutospacing="0" w:after="260" w:afterLines="0" w:afterAutospacing="0" w:line="413" w:lineRule="auto"/>
      <w:ind w:firstLine="567" w:firstLineChars="0"/>
      <w:outlineLvl w:val="1"/>
    </w:pPr>
    <w:rPr>
      <w:rFonts w:ascii="Arial" w:hAnsi="Arial" w:eastAsia="黑体"/>
      <w:b/>
    </w:rPr>
  </w:style>
  <w:style w:type="paragraph" w:styleId="4">
    <w:name w:val="heading 3"/>
    <w:basedOn w:val="1"/>
    <w:next w:val="1"/>
    <w:unhideWhenUsed/>
    <w:qFormat/>
    <w:uiPriority w:val="0"/>
    <w:pPr>
      <w:keepNext/>
      <w:keepLines/>
      <w:numPr>
        <w:ilvl w:val="0"/>
        <w:numId w:val="2"/>
      </w:numPr>
      <w:spacing w:before="50" w:beforeLines="50" w:beforeAutospacing="0" w:after="50" w:afterLines="50" w:afterAutospacing="0" w:line="413" w:lineRule="auto"/>
      <w:ind w:left="425" w:firstLine="142" w:firstLineChars="0"/>
      <w:outlineLvl w:val="2"/>
    </w:pPr>
    <w:rPr>
      <w:rFonts w:eastAsia="黑体"/>
      <w:b/>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qFormat/>
    <w:uiPriority w:val="0"/>
    <w:rPr>
      <w:rFonts w:ascii="Arial" w:hAnsi="Arial" w:eastAsia="Arial" w:cs="Arial"/>
      <w:sz w:val="21"/>
      <w:szCs w:val="21"/>
      <w:lang w:val="en-US" w:eastAsia="en-US" w:bidi="ar-SA"/>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customStyle="1" w:styleId="17">
    <w:name w:val="标题 1 Char"/>
    <w:link w:val="2"/>
    <w:qFormat/>
    <w:uiPriority w:val="0"/>
    <w:rPr>
      <w:rFonts w:ascii="黑体" w:hAnsi="黑体" w:eastAsia="黑体"/>
      <w:b/>
      <w:color w:val="000000" w:themeColor="text1"/>
      <w:kern w:val="4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png"/><Relationship Id="rId41" Type="http://schemas.openxmlformats.org/officeDocument/2006/relationships/image" Target="media/image27.jpe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jpe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12106</Words>
  <Characters>12349</Characters>
  <Lines>0</Lines>
  <Paragraphs>0</Paragraphs>
  <TotalTime>27</TotalTime>
  <ScaleCrop>false</ScaleCrop>
  <LinksUpToDate>false</LinksUpToDate>
  <CharactersWithSpaces>12470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2026-01-19T08:29:00Z</dcterms:created>
  <dc:creator>王俊</dc:creator>
  <cp:lastModifiedBy>张琦</cp:lastModifiedBy>
  <cp:lastPrinted>2026-01-22T07:52:00Z</cp:lastPrinted>
  <dcterms:modified xsi:type="dcterms:W3CDTF">2026-01-27T07:41:44Z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663297E27D51454DB33BEEC1B9AF0786_13</vt:lpwstr>
  </property>
  <property fmtid="{D5CDD505-2E9C-101B-9397-08002B2CF9AE}" pid="4" name="KSOTemplateDocerSaveRecord">
    <vt:lpwstr>eyJoZGlkIjoiZTBhMGQ3Y2UzMDU4Zjk5ZDRkY2IwNjE2NGUwYjA0NjciLCJ1c2VySWQiOiIxNTU1MjU1NjI3In0=</vt:lpwstr>
  </property>
</Properties>
</file>