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AD725">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66432"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16"/>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3360"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355949">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3360;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36355949">
                      <w:pPr>
                        <w:rPr>
                          <w:rFonts w:hint="default"/>
                          <w:spacing w:val="57"/>
                          <w:sz w:val="21"/>
                          <w:lang w:val="en-US" w:eastAsia="zh-CN"/>
                        </w:rPr>
                      </w:pPr>
                    </w:p>
                  </w:txbxContent>
                </v:textbox>
              </v:shape>
            </w:pict>
          </mc:Fallback>
        </mc:AlternateContent>
      </w:r>
      <w:r>
        <w:drawing>
          <wp:anchor distT="0" distB="0" distL="114300" distR="114300" simplePos="0" relativeHeight="251664384"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7"/>
                    <a:stretch>
                      <a:fillRect/>
                    </a:stretch>
                  </pic:blipFill>
                  <pic:spPr>
                    <a:xfrm>
                      <a:off x="0" y="0"/>
                      <a:ext cx="7665720" cy="10866120"/>
                    </a:xfrm>
                    <a:prstGeom prst="rect">
                      <a:avLst/>
                    </a:prstGeom>
                    <a:noFill/>
                    <a:ln>
                      <a:noFill/>
                    </a:ln>
                  </pic:spPr>
                </pic:pic>
              </a:graphicData>
            </a:graphic>
          </wp:anchor>
        </w:drawing>
      </w:r>
    </w:p>
    <w:p w14:paraId="06CC9884">
      <w:pPr>
        <w:pStyle w:val="7"/>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5408" behindDoc="0" locked="0" layoutInCell="1" allowOverlap="1">
                <wp:simplePos x="0" y="0"/>
                <wp:positionH relativeFrom="column">
                  <wp:posOffset>-280035</wp:posOffset>
                </wp:positionH>
                <wp:positionV relativeFrom="paragraph">
                  <wp:posOffset>7477760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4E18F">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670564BE">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5pt;margin-top:588.8pt;height:109.5pt;width:455.45pt;z-index:251665408;mso-width-relative:page;mso-height-relative:page;" filled="f" stroked="f" coordsize="21600,21600" o:gfxdata="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G6bH5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3034E18F">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670564BE">
                      <w:pPr>
                        <w:pStyle w:val="7"/>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97741">
                            <w:pPr>
                              <w:pStyle w:val="13"/>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现代</w:t>
                            </w:r>
                            <w:r>
                              <w:rPr>
                                <w:rFonts w:hint="eastAsia" w:ascii="微软雅黑" w:hAnsi="微软雅黑" w:eastAsia="微软雅黑" w:cs="mn-cs"/>
                                <w:b w:val="0"/>
                                <w:bCs w:val="0"/>
                                <w:color w:val="A6A6A6" w:themeColor="background1" w:themeShade="A6"/>
                                <w:kern w:val="24"/>
                                <w:sz w:val="44"/>
                                <w:szCs w:val="44"/>
                              </w:rPr>
                              <w:t>小学</w:t>
                            </w:r>
                            <w:r>
                              <w:rPr>
                                <w:rFonts w:hint="eastAsia" w:ascii="微软雅黑" w:hAnsi="微软雅黑" w:eastAsia="微软雅黑" w:cs="mn-cs"/>
                                <w:b w:val="0"/>
                                <w:bCs w:val="0"/>
                                <w:color w:val="A6A6A6" w:themeColor="background1" w:themeShade="A6"/>
                                <w:kern w:val="24"/>
                                <w:sz w:val="44"/>
                                <w:szCs w:val="44"/>
                                <w:lang w:val="en-US" w:eastAsia="zh-CN"/>
                              </w:rPr>
                              <w:t xml:space="preserve">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2336;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14:paraId="1C197741">
                      <w:pPr>
                        <w:pStyle w:val="13"/>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现代</w:t>
                      </w:r>
                      <w:r>
                        <w:rPr>
                          <w:rFonts w:hint="eastAsia" w:ascii="微软雅黑" w:hAnsi="微软雅黑" w:eastAsia="微软雅黑" w:cs="mn-cs"/>
                          <w:b w:val="0"/>
                          <w:bCs w:val="0"/>
                          <w:color w:val="A6A6A6" w:themeColor="background1" w:themeShade="A6"/>
                          <w:kern w:val="24"/>
                          <w:sz w:val="44"/>
                          <w:szCs w:val="44"/>
                        </w:rPr>
                        <w:t>小学</w:t>
                      </w:r>
                      <w:r>
                        <w:rPr>
                          <w:rFonts w:hint="eastAsia" w:ascii="微软雅黑" w:hAnsi="微软雅黑" w:eastAsia="微软雅黑" w:cs="mn-cs"/>
                          <w:b w:val="0"/>
                          <w:bCs w:val="0"/>
                          <w:color w:val="A6A6A6" w:themeColor="background1" w:themeShade="A6"/>
                          <w:kern w:val="24"/>
                          <w:sz w:val="44"/>
                          <w:szCs w:val="44"/>
                          <w:lang w:val="en-US" w:eastAsia="zh-CN"/>
                        </w:rPr>
                        <w:t xml:space="preserve">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0288;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p>
    <w:sdt>
      <w:sdtPr>
        <w:rPr>
          <w:rFonts w:ascii="宋体" w:hAnsi="宋体" w:eastAsia="宋体" w:cs="仿宋"/>
          <w:snapToGrid w:val="0"/>
          <w:color w:val="auto"/>
          <w:kern w:val="2"/>
          <w:sz w:val="21"/>
          <w:szCs w:val="32"/>
          <w:lang w:val="en-US" w:eastAsia="en-US" w:bidi="ar-SA"/>
        </w:rPr>
        <w:id w:val="147454600"/>
        <w15:color w:val="DBDBDB"/>
        <w:docPartObj>
          <w:docPartGallery w:val="Table of Contents"/>
          <w:docPartUnique/>
        </w:docPartObj>
      </w:sdtPr>
      <w:sdtEndPr>
        <w:rPr>
          <w:rFonts w:hint="eastAsia" w:ascii="微软雅黑" w:hAnsi="微软雅黑" w:eastAsia="微软雅黑" w:cs="微软雅黑"/>
          <w:bCs w:val="0"/>
          <w:snapToGrid w:val="0"/>
          <w:color w:val="auto"/>
          <w:kern w:val="2"/>
          <w:sz w:val="32"/>
          <w:szCs w:val="24"/>
          <w:lang w:val="en-US" w:eastAsia="en-US" w:bidi="ar-SA"/>
        </w:rPr>
      </w:sdtEndPr>
      <w:sdtContent>
        <w:p w14:paraId="11EB36AE">
          <w:pPr>
            <w:spacing w:before="0" w:beforeLines="0" w:after="0" w:afterLines="0" w:line="240" w:lineRule="auto"/>
            <w:ind w:left="0" w:leftChars="0" w:right="0" w:rightChars="0" w:firstLine="0" w:firstLineChars="0"/>
            <w:jc w:val="center"/>
            <w:rPr>
              <w:rStyle w:val="18"/>
            </w:rPr>
          </w:pPr>
          <w:r>
            <w:rPr>
              <w:rStyle w:val="18"/>
            </w:rPr>
            <w:t>目</w:t>
          </w:r>
          <w:r>
            <w:rPr>
              <w:rStyle w:val="18"/>
              <w:rFonts w:hint="eastAsia" w:eastAsia="黑体"/>
              <w:lang w:val="en-US" w:eastAsia="zh-CN"/>
            </w:rPr>
            <w:t xml:space="preserve"> </w:t>
          </w:r>
          <w:r>
            <w:rPr>
              <w:rStyle w:val="18"/>
            </w:rPr>
            <w:t>录</w:t>
          </w:r>
        </w:p>
        <w:p w14:paraId="19A6B4D0">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"1-2" \h \u </w:instrText>
          </w:r>
          <w:r>
            <w:rPr>
              <w:rFonts w:hint="eastAsia" w:ascii="微软雅黑" w:hAnsi="微软雅黑" w:eastAsia="微软雅黑" w:cs="微软雅黑"/>
              <w:b w:val="0"/>
              <w:bCs w:val="0"/>
              <w:sz w:val="24"/>
              <w:szCs w:val="24"/>
            </w:rPr>
            <w:fldChar w:fldCharType="separate"/>
          </w: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_Toc17861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前 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_Toc17861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543E6985">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_Toc2156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政策响应</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_Toc2156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1E894D69">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_Toc5908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合作机构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_Toc5908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bCs w:val="0"/>
              <w:szCs w:val="24"/>
            </w:rPr>
            <w:fldChar w:fldCharType="end"/>
          </w:r>
        </w:p>
        <w:p w14:paraId="4368D63B">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_Toc22386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项目概览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_Toc22386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bCs w:val="0"/>
              <w:szCs w:val="24"/>
            </w:rPr>
            <w:fldChar w:fldCharType="end"/>
          </w:r>
        </w:p>
        <w:p w14:paraId="460B9B1C">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_Toc16583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体育服务内容</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_Toc16583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2D302FFD">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_Toc30503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课程内容介绍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_Toc30503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2F807D99">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_Toc26589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亮点服务介绍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_Toc26589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bCs w:val="0"/>
              <w:szCs w:val="24"/>
            </w:rPr>
            <w:fldChar w:fldCharType="end"/>
          </w:r>
        </w:p>
        <w:p w14:paraId="7C7A45FE">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_Toc22889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学员数据分析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_Toc22889 \h </w:instrText>
          </w:r>
          <w:r>
            <w:rPr>
              <w:rFonts w:hint="eastAsia" w:ascii="黑体" w:hAnsi="黑体" w:eastAsia="黑体" w:cs="黑体"/>
            </w:rPr>
            <w:fldChar w:fldCharType="separate"/>
          </w:r>
          <w:r>
            <w:rPr>
              <w:rFonts w:hint="eastAsia" w:ascii="黑体" w:hAnsi="黑体" w:eastAsia="黑体" w:cs="黑体"/>
            </w:rPr>
            <w:t>24</w:t>
          </w:r>
          <w:r>
            <w:rPr>
              <w:rFonts w:hint="eastAsia" w:ascii="黑体" w:hAnsi="黑体" w:eastAsia="黑体" w:cs="黑体"/>
            </w:rPr>
            <w:fldChar w:fldCharType="end"/>
          </w:r>
          <w:r>
            <w:rPr>
              <w:rFonts w:hint="eastAsia" w:ascii="黑体" w:hAnsi="黑体" w:eastAsia="黑体" w:cs="黑体"/>
              <w:bCs w:val="0"/>
              <w:szCs w:val="24"/>
            </w:rPr>
            <w:fldChar w:fldCharType="end"/>
          </w:r>
        </w:p>
        <w:p w14:paraId="6239433B">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_Toc31788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课程成效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_Toc31788 \h </w:instrText>
          </w:r>
          <w:r>
            <w:rPr>
              <w:rFonts w:hint="eastAsia" w:ascii="黑体" w:hAnsi="黑体" w:eastAsia="黑体" w:cs="黑体"/>
            </w:rPr>
            <w:fldChar w:fldCharType="separate"/>
          </w:r>
          <w:r>
            <w:rPr>
              <w:rFonts w:hint="eastAsia" w:ascii="黑体" w:hAnsi="黑体" w:eastAsia="黑体" w:cs="黑体"/>
            </w:rPr>
            <w:t>30</w:t>
          </w:r>
          <w:r>
            <w:rPr>
              <w:rFonts w:hint="eastAsia" w:ascii="黑体" w:hAnsi="黑体" w:eastAsia="黑体" w:cs="黑体"/>
            </w:rPr>
            <w:fldChar w:fldCharType="end"/>
          </w:r>
          <w:r>
            <w:rPr>
              <w:rFonts w:hint="eastAsia" w:ascii="黑体" w:hAnsi="黑体" w:eastAsia="黑体" w:cs="黑体"/>
              <w:bCs w:val="0"/>
              <w:szCs w:val="24"/>
            </w:rPr>
            <w:fldChar w:fldCharType="end"/>
          </w:r>
        </w:p>
        <w:p w14:paraId="201F22CB">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_Toc9824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成果量化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_Toc9824 \h </w:instrText>
          </w:r>
          <w:r>
            <w:rPr>
              <w:rFonts w:hint="eastAsia" w:ascii="黑体" w:hAnsi="黑体" w:eastAsia="黑体" w:cs="黑体"/>
            </w:rPr>
            <w:fldChar w:fldCharType="separate"/>
          </w:r>
          <w:r>
            <w:rPr>
              <w:rFonts w:hint="eastAsia" w:ascii="黑体" w:hAnsi="黑体" w:eastAsia="黑体" w:cs="黑体"/>
            </w:rPr>
            <w:t>30</w:t>
          </w:r>
          <w:r>
            <w:rPr>
              <w:rFonts w:hint="eastAsia" w:ascii="黑体" w:hAnsi="黑体" w:eastAsia="黑体" w:cs="黑体"/>
            </w:rPr>
            <w:fldChar w:fldCharType="end"/>
          </w:r>
          <w:r>
            <w:rPr>
              <w:rFonts w:hint="eastAsia" w:ascii="黑体" w:hAnsi="黑体" w:eastAsia="黑体" w:cs="黑体"/>
              <w:bCs w:val="0"/>
              <w:szCs w:val="24"/>
            </w:rPr>
            <w:fldChar w:fldCharType="end"/>
          </w:r>
        </w:p>
        <w:p w14:paraId="32CD11C6">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_Toc17980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优秀学员展示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_Toc17980 \h </w:instrText>
          </w:r>
          <w:r>
            <w:rPr>
              <w:rFonts w:hint="eastAsia" w:ascii="黑体" w:hAnsi="黑体" w:eastAsia="黑体" w:cs="黑体"/>
            </w:rPr>
            <w:fldChar w:fldCharType="separate"/>
          </w:r>
          <w:r>
            <w:rPr>
              <w:rFonts w:hint="eastAsia" w:ascii="黑体" w:hAnsi="黑体" w:eastAsia="黑体" w:cs="黑体"/>
            </w:rPr>
            <w:t>33</w:t>
          </w:r>
          <w:r>
            <w:rPr>
              <w:rFonts w:hint="eastAsia" w:ascii="黑体" w:hAnsi="黑体" w:eastAsia="黑体" w:cs="黑体"/>
            </w:rPr>
            <w:fldChar w:fldCharType="end"/>
          </w:r>
          <w:r>
            <w:rPr>
              <w:rFonts w:hint="eastAsia" w:ascii="黑体" w:hAnsi="黑体" w:eastAsia="黑体" w:cs="黑体"/>
              <w:bCs w:val="0"/>
              <w:szCs w:val="24"/>
            </w:rPr>
            <w:fldChar w:fldCharType="end"/>
          </w:r>
        </w:p>
        <w:p w14:paraId="39A9E737">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_Toc18797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项目计划</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_Toc18797 \h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val="0"/>
              <w:szCs w:val="24"/>
            </w:rPr>
            <w:fldChar w:fldCharType="end"/>
          </w:r>
        </w:p>
        <w:p w14:paraId="02682DF8">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_Toc7426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教学内容优化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_Toc7426 \h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val="0"/>
              <w:szCs w:val="24"/>
            </w:rPr>
            <w:fldChar w:fldCharType="end"/>
          </w:r>
        </w:p>
        <w:p w14:paraId="38BDB9D9">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_Toc14970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现存挑战分析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_Toc14970 \h </w:instrText>
          </w:r>
          <w:r>
            <w:rPr>
              <w:rFonts w:hint="eastAsia" w:ascii="黑体" w:hAnsi="黑体" w:eastAsia="黑体" w:cs="黑体"/>
            </w:rPr>
            <w:fldChar w:fldCharType="separate"/>
          </w:r>
          <w:r>
            <w:rPr>
              <w:rFonts w:hint="eastAsia" w:ascii="黑体" w:hAnsi="黑体" w:eastAsia="黑体" w:cs="黑体"/>
            </w:rPr>
            <w:t>38</w:t>
          </w:r>
          <w:r>
            <w:rPr>
              <w:rFonts w:hint="eastAsia" w:ascii="黑体" w:hAnsi="黑体" w:eastAsia="黑体" w:cs="黑体"/>
            </w:rPr>
            <w:fldChar w:fldCharType="end"/>
          </w:r>
          <w:r>
            <w:rPr>
              <w:rFonts w:hint="eastAsia" w:ascii="黑体" w:hAnsi="黑体" w:eastAsia="黑体" w:cs="黑体"/>
              <w:bCs w:val="0"/>
              <w:szCs w:val="24"/>
            </w:rPr>
            <w:fldChar w:fldCharType="end"/>
          </w:r>
        </w:p>
        <w:p w14:paraId="5729A126">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_Toc19036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提升数字化服务</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_Toc19036 \h </w:instrText>
          </w:r>
          <w:r>
            <w:rPr>
              <w:rFonts w:hint="eastAsia" w:ascii="黑体" w:hAnsi="黑体" w:eastAsia="黑体" w:cs="黑体"/>
            </w:rPr>
            <w:fldChar w:fldCharType="separate"/>
          </w:r>
          <w:r>
            <w:rPr>
              <w:rFonts w:hint="eastAsia" w:ascii="黑体" w:hAnsi="黑体" w:eastAsia="黑体" w:cs="黑体"/>
            </w:rPr>
            <w:t>39</w:t>
          </w:r>
          <w:r>
            <w:rPr>
              <w:rFonts w:hint="eastAsia" w:ascii="黑体" w:hAnsi="黑体" w:eastAsia="黑体" w:cs="黑体"/>
            </w:rPr>
            <w:fldChar w:fldCharType="end"/>
          </w:r>
          <w:r>
            <w:rPr>
              <w:rFonts w:hint="eastAsia" w:ascii="黑体" w:hAnsi="黑体" w:eastAsia="黑体" w:cs="黑体"/>
              <w:bCs w:val="0"/>
              <w:szCs w:val="24"/>
            </w:rPr>
            <w:fldChar w:fldCharType="end"/>
          </w:r>
        </w:p>
        <w:p w14:paraId="20B7A23B">
          <w:pPr>
            <w:pStyle w:val="12"/>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_Toc3847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未来建设愿景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_Toc3847 \h </w:instrText>
          </w:r>
          <w:r>
            <w:rPr>
              <w:rFonts w:hint="eastAsia" w:ascii="黑体" w:hAnsi="黑体" w:eastAsia="黑体" w:cs="黑体"/>
            </w:rPr>
            <w:fldChar w:fldCharType="separate"/>
          </w:r>
          <w:r>
            <w:rPr>
              <w:rFonts w:hint="eastAsia" w:ascii="黑体" w:hAnsi="黑体" w:eastAsia="黑体" w:cs="黑体"/>
            </w:rPr>
            <w:t>42</w:t>
          </w:r>
          <w:r>
            <w:rPr>
              <w:rFonts w:hint="eastAsia" w:ascii="黑体" w:hAnsi="黑体" w:eastAsia="黑体" w:cs="黑体"/>
            </w:rPr>
            <w:fldChar w:fldCharType="end"/>
          </w:r>
          <w:r>
            <w:rPr>
              <w:rFonts w:hint="eastAsia" w:ascii="黑体" w:hAnsi="黑体" w:eastAsia="黑体" w:cs="黑体"/>
              <w:bCs w:val="0"/>
              <w:szCs w:val="24"/>
            </w:rPr>
            <w:fldChar w:fldCharType="end"/>
          </w:r>
        </w:p>
        <w:p w14:paraId="64DA12B4">
          <w:pPr>
            <w:pStyle w:val="8"/>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both"/>
            <w:textAlignment w:val="baseline"/>
            <w:rPr>
              <w:rFonts w:hint="eastAsia" w:ascii="微软雅黑" w:hAnsi="微软雅黑" w:eastAsia="微软雅黑" w:cs="微软雅黑"/>
              <w:bCs w:val="0"/>
              <w:snapToGrid w:val="0"/>
              <w:color w:val="auto"/>
              <w:kern w:val="2"/>
              <w:sz w:val="32"/>
              <w:szCs w:val="24"/>
              <w:lang w:val="en-US" w:eastAsia="en-US" w:bidi="ar-SA"/>
            </w:rPr>
          </w:pPr>
          <w:r>
            <w:rPr>
              <w:rFonts w:hint="eastAsia" w:ascii="微软雅黑" w:hAnsi="微软雅黑" w:eastAsia="微软雅黑" w:cs="微软雅黑"/>
              <w:bCs w:val="0"/>
              <w:szCs w:val="24"/>
            </w:rPr>
            <w:fldChar w:fldCharType="end"/>
          </w:r>
        </w:p>
      </w:sdtContent>
    </w:sdt>
    <w:p w14:paraId="5BC07262">
      <w:pPr>
        <w:rPr>
          <w:rFonts w:hint="eastAsia"/>
        </w:rPr>
        <w:sectPr>
          <w:headerReference r:id="rId10" w:type="first"/>
          <w:footerReference r:id="rId12"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titlePg/>
        </w:sectPr>
      </w:pPr>
    </w:p>
    <w:p w14:paraId="382E4A70">
      <w:pPr>
        <w:pStyle w:val="2"/>
        <w:numPr>
          <w:ilvl w:val="0"/>
          <w:numId w:val="3"/>
        </w:numPr>
        <w:bidi w:val="0"/>
        <w:ind w:left="0" w:leftChars="0" w:firstLine="420" w:firstLineChars="0"/>
        <w:jc w:val="center"/>
        <w:rPr>
          <w:rFonts w:hint="default"/>
          <w:lang w:val="en-US" w:eastAsia="zh-CN"/>
        </w:rPr>
      </w:pPr>
      <w:bookmarkStart w:id="0" w:name="_Toc17861"/>
      <w:r>
        <w:rPr>
          <w:rFonts w:hint="eastAsia" w:cs="黑体"/>
          <w:lang w:val="en-US" w:eastAsia="zh-CN"/>
        </w:rPr>
        <w:t>前 言</w:t>
      </w:r>
      <w:bookmarkEnd w:id="0"/>
    </w:p>
    <w:p w14:paraId="3A9BC76E">
      <w:pPr>
        <w:pStyle w:val="3"/>
        <w:bidi w:val="0"/>
        <w:ind w:left="0" w:leftChars="0" w:firstLine="0" w:firstLineChars="0"/>
        <w:rPr>
          <w:rFonts w:hint="default"/>
          <w:lang w:val="en-US" w:eastAsia="zh-CN"/>
        </w:rPr>
      </w:pPr>
      <w:bookmarkStart w:id="1" w:name="_Toc2156"/>
      <w:r>
        <w:rPr>
          <w:rFonts w:hint="eastAsia"/>
          <w:lang w:val="en-US" w:eastAsia="zh-CN"/>
        </w:rPr>
        <w:t>政策响应</w:t>
      </w:r>
      <w:bookmarkEnd w:id="1"/>
    </w:p>
    <w:p w14:paraId="692E3F26">
      <w:pPr>
        <w:bidi w:val="0"/>
        <w:rPr>
          <w:rFonts w:hint="eastAsia"/>
          <w:lang w:val="en-US" w:eastAsia="zh-CN"/>
        </w:rPr>
      </w:pPr>
      <w:r>
        <w:rPr>
          <w:rFonts w:hint="eastAsia"/>
          <w:lang w:val="en-US" w:eastAsia="zh-CN"/>
        </w:rPr>
        <w:t>近年来，国家将青少年体质健康和全面发展置于教育改革的突出位置。2025年11月，教育部等五部门联合印发《关于实施学生体质强健计划的意见》，明确提出“健康第一”的教育理念，系统部署深化体育教学改革、保障学生每天综合体育活动时间不少于2小时、强化体教融合等重点任务，强调体育在“五育并举”育人体系中的基础性作用。文件指出，体育不仅是增强身体素质的有效途径，更是落实立德树人根本任务，培养学生意志品质、团队精神与规则意识的重要载体。</w:t>
      </w:r>
    </w:p>
    <w:p w14:paraId="7D011680">
      <w:pPr>
        <w:bidi w:val="0"/>
        <w:rPr>
          <w:rFonts w:hint="eastAsia"/>
          <w:lang w:val="en-US" w:eastAsia="zh-CN"/>
        </w:rPr>
      </w:pPr>
      <w:r>
        <w:rPr>
          <w:rFonts w:hint="eastAsia"/>
          <w:lang w:val="en-US" w:eastAsia="zh-CN"/>
        </w:rPr>
        <w:t>全国教育系统正深入推进学校体育高质量发展，推动体育工作实现三个转变：由形式覆盖转向内涵提升、由单一技能训练转向综合素养培育、由达标考核转向育人赋能。体育的价值亦随之升维——从传统意义上的身体锻炼，跃迁为塑造健全人格、涵养家国情怀、砥砺奋斗精神、锤炼意志品质的关键育人路径，成为“五育融合”不可或缺的支点。</w:t>
      </w:r>
    </w:p>
    <w:p w14:paraId="4630D066">
      <w:pPr>
        <w:bidi w:val="0"/>
        <w:rPr>
          <w:rFonts w:hint="eastAsia"/>
          <w:lang w:val="en-US" w:eastAsia="zh-CN"/>
        </w:rPr>
      </w:pPr>
      <w:r>
        <w:rPr>
          <w:rFonts w:hint="eastAsia"/>
          <w:lang w:val="en-US" w:eastAsia="zh-CN"/>
        </w:rPr>
        <w:t>杭州市现代实验小学（以下简称“现代小学”）始终以以崇高的教育理想和强烈的社会责任感，引领学校的发展与实践。精准把握新时代党的教育方针和国家育人导向，将学生身心健康置于办学治校的核心位置。学校不仅在制度设计上强化体育的优先地位，更在实践层面系统构建“全课程、全过程、全方位”的体育育人体系：通过科学优化课程结构、丰富课后服务供给、打造特色体育文化品牌，有效贯通课内与课外、校内与校外、教学与活动的育人链条。尤为可贵的是，学校将体育精神深度融入校风学风建设，使运动成为学生锤炼品格、学会合作、超越自我的重要成长载体。这一系列举措，充分彰显了现代小学对“立德树人”根本任务的坚定践行、对“健康第一”教育理念的深入落实，以及对培养德智体美劳全面发展的社会主义建设者和接班人的战略远见，为区域基础教育高质量发展树立了示范标杆。</w:t>
      </w:r>
    </w:p>
    <w:p w14:paraId="5C28ED3A">
      <w:pPr>
        <w:bidi w:val="0"/>
        <w:rPr>
          <w:rFonts w:hint="eastAsia"/>
          <w:lang w:val="en-US" w:eastAsia="zh-CN"/>
        </w:rPr>
      </w:pPr>
      <w:r>
        <w:rPr>
          <w:rFonts w:hint="eastAsia"/>
          <w:lang w:val="en-US" w:eastAsia="zh-CN"/>
        </w:rPr>
        <w:t>在此背景下，2021年9月，杭州市现代实验小学引进浙江华越体育文化发展有限公司（以下简称“华越体育”）旗下“N+”体育品牌，正式启动校园体育素质提升课程体系建设，同步搭建专业化、结构支持团队。</w:t>
      </w:r>
    </w:p>
    <w:p w14:paraId="68794201">
      <w:pPr>
        <w:bidi w:val="0"/>
        <w:rPr>
          <w:rFonts w:hint="eastAsia"/>
          <w:lang w:val="en-US" w:eastAsia="zh-CN"/>
        </w:rPr>
      </w:pPr>
      <w:r>
        <w:rPr>
          <w:rFonts w:hint="eastAsia"/>
          <w:lang w:val="en-US" w:eastAsia="zh-CN"/>
        </w:rPr>
        <w:t>截至2026年1月，华越体育已为现代小学连续提供8个学期的体育素质提升课程服务项目。项目实施稳步推进，特色日益鲜明，育人成效初步显现，深受师生及家长广泛认可与好评。</w:t>
      </w:r>
    </w:p>
    <w:p w14:paraId="452D70DD">
      <w:pPr>
        <w:pStyle w:val="3"/>
        <w:bidi w:val="0"/>
        <w:ind w:left="0" w:leftChars="0" w:firstLine="0" w:firstLineChars="0"/>
        <w:rPr>
          <w:rFonts w:hint="eastAsia"/>
          <w:lang w:val="en-US" w:eastAsia="zh-CN"/>
        </w:rPr>
      </w:pPr>
      <w:bookmarkStart w:id="2" w:name="_Toc5908"/>
      <w:r>
        <w:rPr>
          <w:rFonts w:hint="eastAsia"/>
          <w:lang w:val="en-US" w:eastAsia="zh-CN"/>
        </w:rPr>
        <w:t>合作机构</w:t>
      </w:r>
      <w:bookmarkEnd w:id="2"/>
    </w:p>
    <w:p w14:paraId="7C32A9B8">
      <w:pPr>
        <w:bidi w:val="0"/>
        <w:rPr>
          <w:rFonts w:hint="eastAsia"/>
        </w:rPr>
      </w:pPr>
      <w:r>
        <w:rPr>
          <w:rFonts w:hint="eastAsia"/>
          <w:lang w:eastAsia="zh-CN"/>
        </w:rPr>
        <w:drawing>
          <wp:anchor distT="0" distB="0" distL="114300" distR="114300" simplePos="0" relativeHeight="251667456" behindDoc="0" locked="0" layoutInCell="1" allowOverlap="1">
            <wp:simplePos x="0" y="0"/>
            <wp:positionH relativeFrom="column">
              <wp:posOffset>-65405</wp:posOffset>
            </wp:positionH>
            <wp:positionV relativeFrom="paragraph">
              <wp:posOffset>2972435</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18"/>
                    <a:stretch>
                      <a:fillRect/>
                    </a:stretch>
                  </pic:blipFill>
                  <pic:spPr>
                    <a:xfrm>
                      <a:off x="0" y="0"/>
                      <a:ext cx="1512570" cy="2140585"/>
                    </a:xfrm>
                    <a:prstGeom prst="rect">
                      <a:avLst/>
                    </a:prstGeom>
                  </pic:spPr>
                </pic:pic>
              </a:graphicData>
            </a:graphic>
          </wp:anchor>
        </w:drawing>
      </w:r>
      <w:r>
        <w:rPr>
          <w:rFonts w:hint="eastAsia"/>
          <w:lang w:val="en-US" w:eastAsia="zh-CN"/>
        </w:rPr>
        <w:t>浙江</w:t>
      </w:r>
      <w:r>
        <w:rPr>
          <w:rFonts w:hint="eastAsia"/>
        </w:rPr>
        <w:t>华越体育</w:t>
      </w:r>
      <w:r>
        <w:rPr>
          <w:rFonts w:hint="eastAsia"/>
          <w:lang w:val="en-US" w:eastAsia="zh-CN"/>
        </w:rPr>
        <w:t>文化发展有限公司</w:t>
      </w:r>
      <w:r>
        <w:rPr>
          <w:rFonts w:hint="eastAsia"/>
        </w:rPr>
        <w:t>成立于2016年10月12日，先后主要致力于职业体育竞技、教培体育智慧、服务体育教育等体育产业及细分领域产业。2022年7月1日，华越体育完成股权调整，由</w:t>
      </w:r>
      <w:r>
        <w:rPr>
          <w:rFonts w:hint="eastAsia"/>
          <w:lang w:val="en-US" w:eastAsia="zh-CN"/>
        </w:rPr>
        <w:t>浙江省</w:t>
      </w:r>
      <w:r>
        <w:rPr>
          <w:rFonts w:hint="eastAsia"/>
        </w:rPr>
        <w:t>东阳市</w:t>
      </w:r>
      <w:r>
        <w:rPr>
          <w:rFonts w:hint="eastAsia"/>
          <w:lang w:val="en-US" w:eastAsia="zh-CN"/>
        </w:rPr>
        <w:t>文旅集</w:t>
      </w:r>
      <w:r>
        <w:rPr>
          <w:rFonts w:hint="eastAsia"/>
        </w:rPr>
        <w:t>团有限公司（以下简称</w:t>
      </w:r>
      <w:r>
        <w:rPr>
          <w:rFonts w:hint="eastAsia"/>
          <w:lang w:eastAsia="zh-CN"/>
        </w:rPr>
        <w:t>“</w:t>
      </w:r>
      <w:r>
        <w:rPr>
          <w:rFonts w:hint="eastAsia"/>
        </w:rPr>
        <w:t>文旅集团</w:t>
      </w:r>
      <w:r>
        <w:rPr>
          <w:rFonts w:hint="eastAsia"/>
          <w:lang w:val="en-US" w:eastAsia="zh-CN"/>
        </w:rPr>
        <w:t>”</w:t>
      </w:r>
      <w:r>
        <w:rPr>
          <w:rFonts w:hint="eastAsia"/>
        </w:rPr>
        <w:t>）完全控股领导，企业转型为国有企业。在文旅集团的统一领导下，华越体育深度践行国家关于体育和教育的指导思想和战略方针，积极响应</w:t>
      </w:r>
      <w:r>
        <w:rPr>
          <w:rFonts w:hint="eastAsia"/>
          <w:lang w:eastAsia="zh-CN"/>
        </w:rPr>
        <w:t>“</w:t>
      </w:r>
      <w:r>
        <w:rPr>
          <w:rFonts w:hint="eastAsia"/>
        </w:rPr>
        <w:t>全民健身</w:t>
      </w:r>
      <w:r>
        <w:rPr>
          <w:rFonts w:hint="eastAsia"/>
          <w:lang w:val="en-US" w:eastAsia="zh-CN"/>
        </w:rPr>
        <w:t>”</w:t>
      </w:r>
      <w:r>
        <w:rPr>
          <w:rFonts w:hint="eastAsia"/>
        </w:rPr>
        <w:t>、</w:t>
      </w:r>
      <w:r>
        <w:rPr>
          <w:rFonts w:hint="eastAsia"/>
          <w:lang w:eastAsia="zh-CN"/>
        </w:rPr>
        <w:t>“</w:t>
      </w:r>
      <w:r>
        <w:rPr>
          <w:rFonts w:hint="eastAsia"/>
        </w:rPr>
        <w:t>体育强国</w:t>
      </w:r>
      <w:r>
        <w:rPr>
          <w:rFonts w:hint="eastAsia"/>
          <w:lang w:val="en-US" w:eastAsia="zh-CN"/>
        </w:rPr>
        <w:t>”</w:t>
      </w:r>
      <w:r>
        <w:rPr>
          <w:rFonts w:hint="eastAsia"/>
        </w:rPr>
        <w:t>等国家战略，配合落实教育部关于</w:t>
      </w:r>
      <w:r>
        <w:rPr>
          <w:rFonts w:hint="eastAsia"/>
          <w:lang w:eastAsia="zh-CN"/>
        </w:rPr>
        <w:t>“</w:t>
      </w:r>
      <w:r>
        <w:rPr>
          <w:rFonts w:hint="eastAsia"/>
        </w:rPr>
        <w:t>教育数字化</w:t>
      </w:r>
      <w:r>
        <w:rPr>
          <w:rFonts w:hint="eastAsia"/>
          <w:lang w:val="en-US" w:eastAsia="zh-CN"/>
        </w:rPr>
        <w:t>”</w:t>
      </w:r>
      <w:r>
        <w:rPr>
          <w:rFonts w:hint="eastAsia"/>
        </w:rPr>
        <w:t>、</w:t>
      </w:r>
      <w:r>
        <w:rPr>
          <w:rFonts w:hint="eastAsia"/>
          <w:lang w:eastAsia="zh-CN"/>
        </w:rPr>
        <w:t>“</w:t>
      </w:r>
      <w:r>
        <w:rPr>
          <w:rFonts w:hint="eastAsia"/>
        </w:rPr>
        <w:t>服务双减</w:t>
      </w:r>
      <w:r>
        <w:rPr>
          <w:rFonts w:hint="eastAsia"/>
          <w:lang w:val="en-US" w:eastAsia="zh-CN"/>
        </w:rPr>
        <w:t>”</w:t>
      </w:r>
      <w:r>
        <w:rPr>
          <w:rFonts w:hint="eastAsia"/>
        </w:rPr>
        <w:t>等教育战略，并在东阳市、杭州市均设有分/子公司</w:t>
      </w:r>
      <w:r>
        <w:rPr>
          <w:rFonts w:hint="eastAsia"/>
          <w:lang w:val="en-US" w:eastAsia="zh-CN"/>
        </w:rPr>
        <w:t>。“N+”是浙江华越体育文化发展有限公司培育的子品牌，主营青训育才产业。</w:t>
      </w:r>
    </w:p>
    <w:p w14:paraId="0A4EA1E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739" w:firstLineChars="231"/>
        <w:jc w:val="left"/>
        <w:textAlignment w:val="baseline"/>
        <w:rPr>
          <w:rFonts w:hint="eastAsia"/>
        </w:rPr>
      </w:pPr>
      <w:r>
        <w:rPr>
          <w:rFonts w:hint="eastAsia"/>
        </w:rPr>
        <w:t>2023年起，华越体育进</w:t>
      </w:r>
      <w:r>
        <w:rPr>
          <w:rFonts w:hint="eastAsia"/>
          <w:lang w:val="en-US" w:eastAsia="zh-CN"/>
        </w:rPr>
        <w:t>行</w:t>
      </w:r>
      <w:r>
        <w:rPr>
          <w:rFonts w:hint="eastAsia"/>
        </w:rPr>
        <w:t>产业优化转型升级，</w:t>
      </w:r>
      <w:r>
        <w:rPr>
          <w:rFonts w:hint="eastAsia"/>
          <w:lang w:val="en-US" w:eastAsia="zh-CN"/>
        </w:rPr>
        <w:t>逐步</w:t>
      </w:r>
      <w:r>
        <w:rPr>
          <w:rFonts w:hint="eastAsia"/>
        </w:rPr>
        <w:t>实现企业跨越式发展的推进高速期</w:t>
      </w:r>
      <w:r>
        <w:rPr>
          <w:rFonts w:hint="eastAsia"/>
          <w:lang w:eastAsia="zh-CN"/>
        </w:rPr>
        <w:t>。</w:t>
      </w:r>
      <w:r>
        <w:rPr>
          <w:rFonts w:hint="eastAsia"/>
        </w:rPr>
        <w:t>在文旅集团的领导指挥和战略部署下，形成体育教育产业三大重点战略发展板块，一是青少年体育教育板块；二是全民健身场馆运维板块；三是数字化智慧体育功能平台板块。</w:t>
      </w:r>
    </w:p>
    <w:p w14:paraId="042CA1A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eastAsia="华文仿宋"/>
          <w:lang w:val="en-US" w:eastAsia="zh-CN"/>
        </w:rPr>
      </w:pPr>
      <w:r>
        <w:rPr>
          <w:rFonts w:hint="eastAsia"/>
          <w:lang w:eastAsia="zh-CN"/>
        </w:rPr>
        <w:t>“N+</w:t>
      </w:r>
      <w:r>
        <w:rPr>
          <w:rFonts w:hint="eastAsia"/>
          <w:lang w:val="en-US" w:eastAsia="zh-CN"/>
        </w:rPr>
        <w:t>”</w:t>
      </w:r>
      <w:r>
        <w:rPr>
          <w:rFonts w:hint="eastAsia"/>
          <w:lang w:eastAsia="zh-CN"/>
        </w:rPr>
        <w:t>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凝聚了杭城羽毛球、跆拳道、篮球、足球、乒乓球等多样化项目资源，致力于提升杭城校园的体育教育服务，并已成功入选杭州市各区(合作学校所在区）非学科类校外培训机构参与学校课后服务“白名单</w:t>
      </w:r>
      <w:r>
        <w:rPr>
          <w:rFonts w:hint="eastAsia"/>
          <w:lang w:val="en-US" w:eastAsia="zh-CN"/>
        </w:rPr>
        <w:t>”</w:t>
      </w:r>
      <w:r>
        <w:rPr>
          <w:rFonts w:hint="eastAsia"/>
          <w:lang w:eastAsia="zh-CN"/>
        </w:rPr>
        <w:t>。</w:t>
      </w:r>
    </w:p>
    <w:p w14:paraId="31A9E4D3">
      <w:pPr>
        <w:pStyle w:val="3"/>
        <w:keepNext/>
        <w:keepLines/>
        <w:pageBreakBefore/>
        <w:widowControl/>
        <w:kinsoku/>
        <w:wordWrap/>
        <w:overflowPunct/>
        <w:topLinePunct w:val="0"/>
        <w:autoSpaceDE w:val="0"/>
        <w:autoSpaceDN w:val="0"/>
        <w:bidi w:val="0"/>
        <w:adjustRightInd w:val="0"/>
        <w:snapToGrid w:val="0"/>
        <w:spacing w:line="413" w:lineRule="auto"/>
        <w:ind w:left="0" w:leftChars="0" w:firstLine="0" w:firstLineChars="0"/>
        <w:textAlignment w:val="baseline"/>
        <w:rPr>
          <w:rFonts w:hint="eastAsia"/>
          <w:lang w:val="en-US" w:eastAsia="zh-CN"/>
        </w:rPr>
      </w:pPr>
      <w:bookmarkStart w:id="3" w:name="_Toc22386"/>
      <w:r>
        <w:rPr>
          <w:rFonts w:hint="eastAsia"/>
          <w:lang w:val="en-US" w:eastAsia="zh-CN"/>
        </w:rPr>
        <w:t>项目概览</w:t>
      </w:r>
      <w:bookmarkEnd w:id="3"/>
    </w:p>
    <w:p w14:paraId="4F664CC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100" w:firstLine="640" w:firstLineChars="200"/>
        <w:jc w:val="left"/>
        <w:textAlignment w:val="baseline"/>
        <w:rPr>
          <w:rFonts w:hint="default"/>
          <w:lang w:val="en-US" w:eastAsia="zh-CN"/>
        </w:rPr>
      </w:pPr>
      <w:r>
        <w:rPr>
          <w:rFonts w:hint="eastAsia"/>
          <w:lang w:val="en-US" w:eastAsia="zh-CN"/>
        </w:rPr>
        <w:t>本学期根据学校情况以及学员报名情况，于校内开设课程共7类，其中包含篮球预备班、篮球校队班以及晚托课程，具体如下所示:</w:t>
      </w:r>
    </w:p>
    <w:tbl>
      <w:tblPr>
        <w:tblStyle w:val="14"/>
        <w:tblW w:w="88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98"/>
        <w:gridCol w:w="3904"/>
        <w:gridCol w:w="1491"/>
        <w:gridCol w:w="1285"/>
      </w:tblGrid>
      <w:tr w14:paraId="46BDB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7" w:hRule="atLeast"/>
          <w:jc w:val="center"/>
        </w:trPr>
        <w:tc>
          <w:tcPr>
            <w:tcW w:w="2198" w:type="dxa"/>
            <w:tcBorders>
              <w:top w:val="single" w:color="FFFFFF" w:sz="4" w:space="0"/>
              <w:left w:val="single" w:color="FFFFFF" w:sz="4" w:space="0"/>
              <w:bottom w:val="single" w:color="FFFFFF" w:sz="4" w:space="0"/>
              <w:right w:val="single" w:color="FFFFFF" w:sz="4" w:space="0"/>
              <w:tl2br w:val="nil"/>
            </w:tcBorders>
            <w:shd w:val="clear" w:color="4874CB" w:fill="4874CB"/>
            <w:noWrap/>
            <w:vAlign w:val="center"/>
          </w:tcPr>
          <w:p w14:paraId="06D923C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课程名称</w:t>
            </w:r>
          </w:p>
        </w:tc>
        <w:tc>
          <w:tcPr>
            <w:tcW w:w="3904"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D7B316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上课时间</w:t>
            </w:r>
          </w:p>
        </w:tc>
        <w:tc>
          <w:tcPr>
            <w:tcW w:w="1491"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CF6012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招生人数</w:t>
            </w:r>
          </w:p>
        </w:tc>
        <w:tc>
          <w:tcPr>
            <w:tcW w:w="1285"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0953F06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总课次</w:t>
            </w:r>
          </w:p>
        </w:tc>
      </w:tr>
      <w:tr w14:paraId="68B62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2"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2DA62A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篮球预备班</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5B2B7E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周一、周三 15：30-17：00</w:t>
            </w:r>
          </w:p>
          <w:p w14:paraId="2F72490A">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周六 9：30-11：00</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2DC90F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9</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35876F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48</w:t>
            </w:r>
          </w:p>
        </w:tc>
      </w:tr>
      <w:tr w14:paraId="2034D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2"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C7E89F">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朝六晚托班</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44A6C1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周一、周三 15：30-17：30</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6404E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339B07A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36</w:t>
            </w:r>
          </w:p>
        </w:tc>
      </w:tr>
      <w:tr w14:paraId="3CC0B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2"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642500F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篮球梯队班</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78151A4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周二、周四 16：00-17：30</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9F78E4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24</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62907F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35</w:t>
            </w:r>
          </w:p>
        </w:tc>
      </w:tr>
      <w:tr w14:paraId="10750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2"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062F3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朝二晚托班</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54DB0C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周二、周四 15：40-17：30</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7510F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48943B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36</w:t>
            </w:r>
          </w:p>
        </w:tc>
      </w:tr>
      <w:tr w14:paraId="6FC1D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2"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B6E80B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早训班</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3F9DAA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周一至周五 8：00 - 8：30</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0ACDAF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5835D2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20</w:t>
            </w:r>
          </w:p>
        </w:tc>
      </w:tr>
      <w:tr w14:paraId="65B65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2"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5155AB15">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现代城晚托班</w:t>
            </w:r>
          </w:p>
        </w:tc>
        <w:tc>
          <w:tcPr>
            <w:tcW w:w="3904"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3BE62C2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周五 14：50-15：50</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79CF40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27CA857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18</w:t>
            </w:r>
          </w:p>
        </w:tc>
      </w:tr>
      <w:tr w14:paraId="00053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99"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1A6584E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篮球校队班</w:t>
            </w:r>
          </w:p>
        </w:tc>
        <w:tc>
          <w:tcPr>
            <w:tcW w:w="3904"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5E6FD7B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周一至周四 16：30 -17：40</w:t>
            </w:r>
          </w:p>
          <w:p w14:paraId="47AA1AB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 xml:space="preserve">周五 15：00 - 16：30 </w:t>
            </w:r>
          </w:p>
        </w:tc>
        <w:tc>
          <w:tcPr>
            <w:tcW w:w="0" w:type="auto"/>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6F9BE73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25</w:t>
            </w:r>
          </w:p>
        </w:tc>
        <w:tc>
          <w:tcPr>
            <w:tcW w:w="0" w:type="auto"/>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0A821E4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70</w:t>
            </w:r>
          </w:p>
        </w:tc>
      </w:tr>
    </w:tbl>
    <w:p w14:paraId="285A3557">
      <w:pPr>
        <w:pStyle w:val="5"/>
        <w:keepNext w:val="0"/>
        <w:keepLines w:val="0"/>
        <w:pageBreakBefore w:val="0"/>
        <w:widowControl/>
        <w:kinsoku/>
        <w:wordWrap/>
        <w:overflowPunct/>
        <w:topLinePunct w:val="0"/>
        <w:autoSpaceDE w:val="0"/>
        <w:autoSpaceDN w:val="0"/>
        <w:bidi w:val="0"/>
        <w:adjustRightInd w:val="0"/>
        <w:snapToGrid w:val="0"/>
        <w:spacing w:before="0" w:beforeLines="50"/>
        <w:ind w:firstLine="420"/>
        <w:jc w:val="center"/>
        <w:textAlignment w:val="baseline"/>
        <w:rPr>
          <w:rFonts w:hint="default"/>
          <w:lang w:val="en-US" w:eastAsia="zh-CN"/>
        </w:rPr>
      </w:pPr>
      <w:r>
        <w:t>表</w:t>
      </w:r>
      <w:r>
        <w:rPr>
          <w:rFonts w:hint="eastAsia"/>
          <w:lang w:val="en-US" w:eastAsia="zh-CN"/>
        </w:rPr>
        <w:t>1</w:t>
      </w:r>
      <w:r>
        <w:t xml:space="preserve"> </w:t>
      </w:r>
      <w:r>
        <w:rPr>
          <w:rFonts w:hint="eastAsia"/>
          <w:lang w:eastAsia="zh-CN"/>
        </w:rPr>
        <w:t xml:space="preserve"> 课程设置情况表</w:t>
      </w:r>
    </w:p>
    <w:p w14:paraId="336C70A0">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4" w:name="_Toc16583"/>
      <w:r>
        <w:rPr>
          <w:rFonts w:hint="eastAsia"/>
          <w:lang w:val="en-US" w:eastAsia="zh-CN"/>
        </w:rPr>
        <w:t>体育服务内容</w:t>
      </w:r>
      <w:bookmarkEnd w:id="4"/>
    </w:p>
    <w:p w14:paraId="5DB53A9F">
      <w:pPr>
        <w:pStyle w:val="3"/>
        <w:numPr>
          <w:ilvl w:val="0"/>
          <w:numId w:val="4"/>
        </w:numPr>
        <w:bidi w:val="0"/>
        <w:ind w:left="0" w:leftChars="0" w:firstLine="567" w:firstLineChars="0"/>
        <w:rPr>
          <w:rFonts w:hint="eastAsia"/>
          <w:lang w:val="en-US" w:eastAsia="zh-CN"/>
        </w:rPr>
      </w:pPr>
      <w:bookmarkStart w:id="5" w:name="_Toc30503"/>
      <w:r>
        <w:rPr>
          <w:rFonts w:hint="eastAsia"/>
          <w:lang w:val="en-US" w:eastAsia="zh-CN"/>
        </w:rPr>
        <w:t>课程内容介绍</w:t>
      </w:r>
      <w:bookmarkEnd w:id="5"/>
    </w:p>
    <w:p w14:paraId="043F9BAB">
      <w:pPr>
        <w:bidi w:val="0"/>
        <w:rPr>
          <w:rFonts w:hint="default"/>
          <w:lang w:val="en-US" w:eastAsia="zh-CN"/>
        </w:rPr>
      </w:pPr>
      <w:r>
        <w:rPr>
          <w:rFonts w:hint="default"/>
          <w:lang w:val="en-US" w:eastAsia="zh-CN"/>
        </w:rPr>
        <w:t>华越体育紧密围绕</w:t>
      </w:r>
      <w:r>
        <w:rPr>
          <w:rFonts w:hint="eastAsia"/>
          <w:lang w:val="en-US" w:eastAsia="zh-CN"/>
        </w:rPr>
        <w:t>现代小学“</w:t>
      </w:r>
      <w:r>
        <w:rPr>
          <w:rFonts w:hint="default"/>
          <w:lang w:val="en-US" w:eastAsia="zh-CN"/>
        </w:rPr>
        <w:t>健康第一、五育融合</w:t>
      </w:r>
      <w:r>
        <w:rPr>
          <w:rFonts w:hint="eastAsia"/>
          <w:lang w:val="en-US" w:eastAsia="zh-CN"/>
        </w:rPr>
        <w:t>”</w:t>
      </w:r>
      <w:r>
        <w:rPr>
          <w:rFonts w:hint="default"/>
          <w:lang w:val="en-US" w:eastAsia="zh-CN"/>
        </w:rPr>
        <w:t>的育人导向，结合学生发展需求与校园</w:t>
      </w:r>
      <w:r>
        <w:rPr>
          <w:rFonts w:hint="eastAsia"/>
          <w:lang w:val="en-US" w:eastAsia="zh-CN"/>
        </w:rPr>
        <w:t>场地</w:t>
      </w:r>
      <w:r>
        <w:rPr>
          <w:rFonts w:hint="default"/>
          <w:lang w:val="en-US" w:eastAsia="zh-CN"/>
        </w:rPr>
        <w:t>实际</w:t>
      </w:r>
      <w:r>
        <w:rPr>
          <w:rFonts w:hint="eastAsia"/>
          <w:lang w:val="en-US" w:eastAsia="zh-CN"/>
        </w:rPr>
        <w:t>情况</w:t>
      </w:r>
      <w:r>
        <w:rPr>
          <w:rFonts w:hint="default"/>
          <w:lang w:val="en-US" w:eastAsia="zh-CN"/>
        </w:rPr>
        <w:t>，系统构建</w:t>
      </w:r>
      <w:r>
        <w:rPr>
          <w:rFonts w:hint="eastAsia"/>
          <w:lang w:val="en-US" w:eastAsia="zh-CN"/>
        </w:rPr>
        <w:t>“</w:t>
      </w:r>
      <w:r>
        <w:rPr>
          <w:rFonts w:hint="default"/>
          <w:lang w:val="en-US" w:eastAsia="zh-CN"/>
        </w:rPr>
        <w:t>预备—梯队—校队</w:t>
      </w:r>
      <w:r>
        <w:rPr>
          <w:rFonts w:hint="eastAsia"/>
          <w:lang w:val="en-US" w:eastAsia="zh-CN"/>
        </w:rPr>
        <w:t>”</w:t>
      </w:r>
      <w:r>
        <w:rPr>
          <w:rFonts w:hint="default"/>
          <w:lang w:val="en-US" w:eastAsia="zh-CN"/>
        </w:rPr>
        <w:t>三级进阶课程体系，并有机融入晚托服务与晨训机制，形成覆盖全周、贯穿早晚的立体化篮球育人生态。</w:t>
      </w:r>
    </w:p>
    <w:p w14:paraId="04CDDC4F">
      <w:pPr>
        <w:bidi w:val="0"/>
        <w:rPr>
          <w:rFonts w:hint="default"/>
          <w:lang w:val="en-US" w:eastAsia="zh-CN"/>
        </w:rPr>
      </w:pPr>
      <w:r>
        <w:rPr>
          <w:rFonts w:hint="default"/>
          <w:lang w:val="en-US" w:eastAsia="zh-CN"/>
        </w:rPr>
        <w:t>在基础夯实层面，设立篮球预备班（每周2次，48课次/学期），面向低年级或零基础学生，聚焦运球、传球、投篮等核心技能启蒙，通过结构化游戏与情境任务，激发运动兴趣，培养规则意识，为后续进阶奠定坚实基础。</w:t>
      </w:r>
    </w:p>
    <w:p w14:paraId="224CD5EC">
      <w:pPr>
        <w:bidi w:val="0"/>
        <w:rPr>
          <w:rFonts w:hint="default"/>
          <w:lang w:val="en-US" w:eastAsia="zh-CN"/>
        </w:rPr>
      </w:pPr>
      <w:r>
        <w:rPr>
          <w:rFonts w:hint="default"/>
          <w:lang w:val="en-US" w:eastAsia="zh-CN"/>
        </w:rPr>
        <w:t>在能力提升层面，开设篮球梯队班（每周2次，3</w:t>
      </w:r>
      <w:r>
        <w:rPr>
          <w:rFonts w:hint="eastAsia"/>
          <w:lang w:val="en-US" w:eastAsia="zh-CN"/>
        </w:rPr>
        <w:t>5</w:t>
      </w:r>
      <w:r>
        <w:rPr>
          <w:rFonts w:hint="default"/>
          <w:lang w:val="en-US" w:eastAsia="zh-CN"/>
        </w:rPr>
        <w:t>课次/学期），面向预备班中表现突出或具备一定基础的学生，强化技术组合应用与简单战术配合，实施动态评估与分层指导，搭建从兴趣到竞技的过渡桥梁。</w:t>
      </w:r>
    </w:p>
    <w:p w14:paraId="18BDCDC0">
      <w:pPr>
        <w:bidi w:val="0"/>
        <w:jc w:val="both"/>
        <w:rPr>
          <w:rFonts w:hint="default"/>
          <w:lang w:val="en-US" w:eastAsia="zh-CN"/>
        </w:rPr>
      </w:pPr>
      <w:r>
        <w:rPr>
          <w:rFonts w:hint="default"/>
          <w:lang w:val="en-US" w:eastAsia="zh-CN"/>
        </w:rPr>
        <w:t>在校队锻造层面，篮球校队班实施高强度、周期化训练（每周5次，70课次/学期），内容涵盖体能储备、技战术深化、实战模拟与心理韧性培养。训练严格遵循</w:t>
      </w:r>
      <w:r>
        <w:rPr>
          <w:rFonts w:hint="eastAsia"/>
          <w:lang w:val="en-US" w:eastAsia="zh-CN"/>
        </w:rPr>
        <w:t>“</w:t>
      </w:r>
      <w:r>
        <w:rPr>
          <w:rFonts w:hint="default"/>
          <w:lang w:val="en-US" w:eastAsia="zh-CN"/>
        </w:rPr>
        <w:t>德技双修、训赛一体</w:t>
      </w:r>
      <w:r>
        <w:rPr>
          <w:rFonts w:hint="eastAsia"/>
          <w:lang w:val="en-US" w:eastAsia="zh-CN"/>
        </w:rPr>
        <w:t>”</w:t>
      </w:r>
      <w:r>
        <w:rPr>
          <w:rFonts w:hint="default"/>
          <w:lang w:val="en-US" w:eastAsia="zh-CN"/>
        </w:rPr>
        <w:t>原则，不仅提升竞技水平，更注重责任担当、团队协作与抗压能力的同步发展，使其成为彰显学校体育特色的骨干力量。</w:t>
      </w:r>
    </w:p>
    <w:p w14:paraId="19C95B3B">
      <w:pPr>
        <w:bidi w:val="0"/>
        <w:rPr>
          <w:rFonts w:hint="default"/>
          <w:lang w:val="en-US" w:eastAsia="zh-CN"/>
        </w:rPr>
      </w:pPr>
      <w:r>
        <w:rPr>
          <w:rFonts w:hint="default"/>
          <w:lang w:val="en-US" w:eastAsia="zh-CN"/>
        </w:rPr>
        <w:t>同时，为支持学校课后服务整体安排，华越体育协同开设多个晚托融合班（朝六、朝二、现代城晚托班），将篮球元素有机嵌入课后托管时段，在保障学业辅导的同时，提供适度</w:t>
      </w:r>
      <w:r>
        <w:rPr>
          <w:rFonts w:hint="eastAsia"/>
          <w:lang w:val="en-US" w:eastAsia="zh-CN"/>
        </w:rPr>
        <w:t>篮球</w:t>
      </w:r>
      <w:r>
        <w:rPr>
          <w:rFonts w:hint="default"/>
          <w:lang w:val="en-US" w:eastAsia="zh-CN"/>
        </w:rPr>
        <w:t>体育活动，助力学生身心平衡发展。另</w:t>
      </w:r>
      <w:r>
        <w:rPr>
          <w:rFonts w:hint="eastAsia"/>
          <w:lang w:val="en-US" w:eastAsia="zh-CN"/>
        </w:rPr>
        <w:t>在赛季增</w:t>
      </w:r>
      <w:r>
        <w:rPr>
          <w:rFonts w:hint="default"/>
          <w:lang w:val="en-US" w:eastAsia="zh-CN"/>
        </w:rPr>
        <w:t>设早训班（周一至周五8:00–8:30，20课次），与校队训练内容联动，利用清晨黄金时段强化基础体能与动作模式固化，有效规避学业冲突，提升训练效率。</w:t>
      </w:r>
    </w:p>
    <w:p w14:paraId="7C50A5FE">
      <w:pPr>
        <w:bidi w:val="0"/>
        <w:rPr>
          <w:rFonts w:hint="default"/>
          <w:lang w:val="en-US" w:eastAsia="zh-CN"/>
        </w:rPr>
      </w:pPr>
      <w:r>
        <w:rPr>
          <w:rFonts w:hint="default"/>
          <w:lang w:val="en-US" w:eastAsia="zh-CN"/>
        </w:rPr>
        <w:t>整体课程体系环环相扣：梯队班促衔接、校队班树标杆，晚托与晨训则延伸服务时空，形成</w:t>
      </w:r>
      <w:r>
        <w:rPr>
          <w:rFonts w:hint="eastAsia"/>
          <w:lang w:val="en-US" w:eastAsia="zh-CN"/>
        </w:rPr>
        <w:t>“</w:t>
      </w:r>
      <w:r>
        <w:rPr>
          <w:rFonts w:hint="default"/>
          <w:lang w:val="en-US" w:eastAsia="zh-CN"/>
        </w:rPr>
        <w:t>日有练、周有进、季有成</w:t>
      </w:r>
      <w:r>
        <w:rPr>
          <w:rFonts w:hint="eastAsia"/>
          <w:lang w:val="en-US" w:eastAsia="zh-CN"/>
        </w:rPr>
        <w:t>”</w:t>
      </w:r>
      <w:r>
        <w:rPr>
          <w:rFonts w:hint="default"/>
          <w:lang w:val="en-US" w:eastAsia="zh-CN"/>
        </w:rPr>
        <w:t>的良性循环。通过标准化教案、安全风险评估及动态教学复盘，确保各类课程兼具专业性、安全性与教育性，真正成为学校构建高质量体育育人生态的可靠伙伴。</w:t>
      </w:r>
    </w:p>
    <w:p w14:paraId="055AA0E5">
      <w:pPr>
        <w:pStyle w:val="3"/>
        <w:numPr>
          <w:ilvl w:val="0"/>
          <w:numId w:val="4"/>
        </w:numPr>
        <w:bidi w:val="0"/>
        <w:ind w:left="0" w:leftChars="0" w:firstLine="567" w:firstLineChars="0"/>
        <w:rPr>
          <w:rFonts w:hint="eastAsia"/>
          <w:lang w:val="en-US" w:eastAsia="zh-CN"/>
        </w:rPr>
      </w:pPr>
      <w:bookmarkStart w:id="6" w:name="_Toc26589"/>
      <w:r>
        <w:rPr>
          <w:rFonts w:hint="eastAsia"/>
          <w:lang w:val="en-US" w:eastAsia="zh-CN"/>
        </w:rPr>
        <w:t>亮点服务介绍</w:t>
      </w:r>
      <w:bookmarkEnd w:id="6"/>
    </w:p>
    <w:p w14:paraId="41BC6752">
      <w:pPr>
        <w:rPr>
          <w:rFonts w:hint="eastAsia"/>
          <w:lang w:val="en-US" w:eastAsia="zh-CN"/>
        </w:rPr>
      </w:pPr>
      <w:r>
        <w:rPr>
          <w:rFonts w:hint="eastAsia"/>
          <w:lang w:val="en-US" w:eastAsia="zh-CN"/>
        </w:rPr>
        <w:t>本学期，华越体育立足“安全为基、质量为本、育人为魂”的服务理念，构建多维度品质保障机制。通过制度化、标准化、人性化的专项举措，将体育服务从技能传授延伸至身心健康全域培育，切实支撑学校“五育融合”育人生态建设。</w:t>
      </w:r>
    </w:p>
    <w:p w14:paraId="029C9F7D">
      <w:pPr>
        <w:pStyle w:val="4"/>
        <w:bidi w:val="0"/>
        <w:ind w:left="425" w:leftChars="0" w:firstLine="142" w:firstLineChars="0"/>
        <w:rPr>
          <w:rFonts w:hint="default"/>
          <w:lang w:val="en-US" w:eastAsia="zh-CN"/>
        </w:rPr>
      </w:pPr>
      <w:r>
        <w:rPr>
          <w:rFonts w:hint="eastAsia"/>
          <w:lang w:val="en-US" w:eastAsia="zh-CN"/>
        </w:rPr>
        <w:t>平安校园守护体系</w:t>
      </w:r>
    </w:p>
    <w:p w14:paraId="60048615">
      <w:pPr>
        <w:bidi w:val="0"/>
        <w:rPr>
          <w:rFonts w:hint="eastAsia"/>
          <w:lang w:val="en-US" w:eastAsia="zh-CN"/>
        </w:rPr>
      </w:pPr>
      <w:r>
        <w:rPr>
          <w:rFonts w:hint="eastAsia"/>
          <w:lang w:val="en-US" w:eastAsia="zh-CN"/>
        </w:rPr>
        <w:t>华越体育始终将安全生产视为服务生命线，严格贯彻“安全第一、预防为主、综合治理”的方针，构建制度化、标准化、常态化的校园体育设施安全管理体系。在制度设计层面，公司专项制定《校园安全生产检查表》，确立“区域负责人”机制，实现校区专人全负责流程管理，专业的运维管理流程和实时监督抽查机制，确保课程顺利进行和学员安全责任意识双到位。</w:t>
      </w:r>
    </w:p>
    <w:p w14:paraId="5D9DF74B">
      <w:pPr>
        <w:bidi w:val="0"/>
        <w:rPr>
          <w:rFonts w:hint="eastAsia"/>
          <w:vertAlign w:val="baseline"/>
          <w:lang w:val="en-US" w:eastAsia="zh-CN"/>
        </w:rPr>
      </w:pPr>
      <w:r>
        <w:rPr>
          <w:rFonts w:hint="eastAsia"/>
          <w:lang w:val="en-US" w:eastAsia="zh-CN"/>
        </w:rPr>
        <w:t>在具体执行层面，每月安全巡检全面覆盖校内体育教学及活动区域，构建“设施-场地-环境”三位一体检查体系：系统排查篮球架等固定设施的结构稳固性与部件安全状态；同步评估运动器材、篮球场跑道等运动场地的地面平整度、防滑性能及环境隐患，确保风险动态清零。</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1E31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78B89E3">
            <w:pPr>
              <w:bidi w:val="0"/>
              <w:spacing w:line="240" w:lineRule="auto"/>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60320" cy="3840480"/>
                  <wp:effectExtent l="0" t="0" r="11430" b="7620"/>
                  <wp:docPr id="10" name="图片 10" descr="ecd3550869905aa3c483cf28f3016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cd3550869905aa3c483cf28f30162ba"/>
                          <pic:cNvPicPr>
                            <a:picLocks noChangeAspect="1"/>
                          </pic:cNvPicPr>
                        </pic:nvPicPr>
                        <pic:blipFill>
                          <a:blip r:embed="rId19"/>
                          <a:stretch>
                            <a:fillRect/>
                          </a:stretch>
                        </pic:blipFill>
                        <pic:spPr>
                          <a:xfrm>
                            <a:off x="0" y="0"/>
                            <a:ext cx="2560320" cy="3840480"/>
                          </a:xfrm>
                          <a:prstGeom prst="rect">
                            <a:avLst/>
                          </a:prstGeom>
                        </pic:spPr>
                      </pic:pic>
                    </a:graphicData>
                  </a:graphic>
                </wp:inline>
              </w:drawing>
            </w:r>
          </w:p>
        </w:tc>
        <w:tc>
          <w:tcPr>
            <w:tcW w:w="4261" w:type="dxa"/>
          </w:tcPr>
          <w:p w14:paraId="7CBD03D8">
            <w:pPr>
              <w:bidi w:val="0"/>
              <w:spacing w:line="240" w:lineRule="auto"/>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60320" cy="3840480"/>
                  <wp:effectExtent l="0" t="0" r="11430" b="7620"/>
                  <wp:docPr id="11" name="图片 11" descr="7d51d3721e2cee62eae531f816aa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d51d3721e2cee62eae531f816aa0494"/>
                          <pic:cNvPicPr>
                            <a:picLocks noChangeAspect="1"/>
                          </pic:cNvPicPr>
                        </pic:nvPicPr>
                        <pic:blipFill>
                          <a:blip r:embed="rId20"/>
                          <a:stretch>
                            <a:fillRect/>
                          </a:stretch>
                        </pic:blipFill>
                        <pic:spPr>
                          <a:xfrm>
                            <a:off x="0" y="0"/>
                            <a:ext cx="2560320" cy="3840480"/>
                          </a:xfrm>
                          <a:prstGeom prst="rect">
                            <a:avLst/>
                          </a:prstGeom>
                        </pic:spPr>
                      </pic:pic>
                    </a:graphicData>
                  </a:graphic>
                </wp:inline>
              </w:drawing>
            </w:r>
          </w:p>
        </w:tc>
      </w:tr>
    </w:tbl>
    <w:p w14:paraId="4727D0A3">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安全检查</w:t>
      </w:r>
    </w:p>
    <w:p w14:paraId="4AFD5DBA">
      <w:pPr>
        <w:bidi w:val="0"/>
        <w:rPr>
          <w:rFonts w:hint="eastAsia"/>
          <w:lang w:val="en-US" w:eastAsia="zh-CN"/>
        </w:rPr>
      </w:pPr>
      <w:r>
        <w:rPr>
          <w:rFonts w:hint="eastAsia"/>
          <w:lang w:val="en-US" w:eastAsia="zh-CN"/>
        </w:rPr>
        <w:t>截至2026年1月初，华越体育项目管理部门总计完成5轮系统巡检，收集超100+份电子台账及影像素材，安全检查覆盖率达100%，每月安全检查响应时效缩短至1周内，即月初完成所有检查项目，保证全月后续课程顺利进行。这一机制不仅筑牢了校园运动安全防线，更将“健康第一”的教育理念转化为可触摸、可验证的行动实践。在任何生产与服务场景中，唯有将安全置于首位，方能真正守护学生健康成长，兑现国有企业的社会承诺。</w:t>
      </w:r>
    </w:p>
    <w:p w14:paraId="30BC880D">
      <w:pPr>
        <w:pStyle w:val="4"/>
        <w:bidi w:val="0"/>
        <w:ind w:left="425" w:leftChars="0" w:firstLine="142" w:firstLineChars="0"/>
        <w:rPr>
          <w:rFonts w:hint="default"/>
          <w:lang w:val="en-US" w:eastAsia="zh-CN"/>
        </w:rPr>
      </w:pPr>
      <w:r>
        <w:rPr>
          <w:rFonts w:hint="eastAsia"/>
          <w:lang w:val="en-US" w:eastAsia="zh-CN"/>
        </w:rPr>
        <w:t>教学质量督察</w:t>
      </w:r>
    </w:p>
    <w:p w14:paraId="53014670">
      <w:pPr>
        <w:rPr>
          <w:rFonts w:hint="eastAsia"/>
          <w:vertAlign w:val="baseline"/>
          <w:lang w:val="en-US" w:eastAsia="zh-CN"/>
        </w:rPr>
      </w:pPr>
      <w:r>
        <w:rPr>
          <w:rFonts w:hint="eastAsia"/>
          <w:lang w:val="en-US" w:eastAsia="zh-CN"/>
        </w:rPr>
        <w:t>华越体育始终将教学质量视为服务生命线，秉持“以导促教、以评促优”的专业精神，构建“校级-区域-总部”三级督导体系。该机制旨在通过常态化、标准化的质量监控，确保课程实施与学校育人目标同频共振。每月由督导专员入校开展随机随堂监测，严格依据校园体育教学质量督察要求，聚焦课程内容设计、师生互动质量、学生参与实效等核心维度，进行客观记录与专业评估。本学期实现合作学校100%全覆盖督导，所有观测数据经标准化归档留存，确保过程可溯、结果透明。</w:t>
      </w:r>
    </w:p>
    <w:tbl>
      <w:tblPr>
        <w:tblStyle w:val="15"/>
        <w:tblW w:w="86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00"/>
        <w:gridCol w:w="4300"/>
      </w:tblGrid>
      <w:tr w14:paraId="4D052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0" w:hRule="atLeast"/>
        </w:trPr>
        <w:tc>
          <w:tcPr>
            <w:tcW w:w="4300" w:type="dxa"/>
          </w:tcPr>
          <w:p w14:paraId="6868681F">
            <w:pPr>
              <w:ind w:left="0" w:leftChars="0" w:firstLine="0" w:firstLineChars="0"/>
              <w:jc w:val="center"/>
            </w:pPr>
            <w:r>
              <w:drawing>
                <wp:inline distT="0" distB="0" distL="114300" distR="114300">
                  <wp:extent cx="2484120" cy="2650490"/>
                  <wp:effectExtent l="0" t="0" r="11430" b="16510"/>
                  <wp:docPr id="8" name="图片 5"/>
                  <wp:cNvGraphicFramePr/>
                  <a:graphic xmlns:a="http://schemas.openxmlformats.org/drawingml/2006/main">
                    <a:graphicData uri="http://schemas.openxmlformats.org/drawingml/2006/picture">
                      <pic:pic xmlns:pic="http://schemas.openxmlformats.org/drawingml/2006/picture">
                        <pic:nvPicPr>
                          <pic:cNvPr id="8" name="图片 5"/>
                          <pic:cNvPicPr/>
                        </pic:nvPicPr>
                        <pic:blipFill>
                          <a:blip r:embed="rId21"/>
                          <a:stretch>
                            <a:fillRect/>
                          </a:stretch>
                        </pic:blipFill>
                        <pic:spPr>
                          <a:xfrm>
                            <a:off x="0" y="0"/>
                            <a:ext cx="2484120" cy="2650490"/>
                          </a:xfrm>
                          <a:prstGeom prst="rect">
                            <a:avLst/>
                          </a:prstGeom>
                          <a:noFill/>
                          <a:ln>
                            <a:noFill/>
                          </a:ln>
                        </pic:spPr>
                      </pic:pic>
                    </a:graphicData>
                  </a:graphic>
                </wp:inline>
              </w:drawing>
            </w:r>
          </w:p>
        </w:tc>
        <w:tc>
          <w:tcPr>
            <w:tcW w:w="4300" w:type="dxa"/>
          </w:tcPr>
          <w:p w14:paraId="755453D6">
            <w:pPr>
              <w:ind w:left="0" w:leftChars="0" w:firstLine="0" w:firstLineChars="0"/>
              <w:jc w:val="center"/>
            </w:pPr>
            <w:r>
              <w:drawing>
                <wp:inline distT="0" distB="0" distL="114300" distR="114300">
                  <wp:extent cx="2250440" cy="2670810"/>
                  <wp:effectExtent l="0" t="0" r="16510" b="15240"/>
                  <wp:docPr id="22" name="图片 8"/>
                  <wp:cNvGraphicFramePr/>
                  <a:graphic xmlns:a="http://schemas.openxmlformats.org/drawingml/2006/main">
                    <a:graphicData uri="http://schemas.openxmlformats.org/drawingml/2006/picture">
                      <pic:pic xmlns:pic="http://schemas.openxmlformats.org/drawingml/2006/picture">
                        <pic:nvPicPr>
                          <pic:cNvPr id="22" name="图片 8"/>
                          <pic:cNvPicPr/>
                        </pic:nvPicPr>
                        <pic:blipFill>
                          <a:blip r:embed="rId22"/>
                          <a:stretch>
                            <a:fillRect/>
                          </a:stretch>
                        </pic:blipFill>
                        <pic:spPr>
                          <a:xfrm>
                            <a:off x="0" y="0"/>
                            <a:ext cx="2250440" cy="2670810"/>
                          </a:xfrm>
                          <a:prstGeom prst="rect">
                            <a:avLst/>
                          </a:prstGeom>
                          <a:noFill/>
                          <a:ln>
                            <a:noFill/>
                          </a:ln>
                        </pic:spPr>
                      </pic:pic>
                    </a:graphicData>
                  </a:graphic>
                </wp:inline>
              </w:drawing>
            </w:r>
          </w:p>
        </w:tc>
      </w:tr>
      <w:tr w14:paraId="156FF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4" w:hRule="atLeast"/>
        </w:trPr>
        <w:tc>
          <w:tcPr>
            <w:tcW w:w="4300" w:type="dxa"/>
          </w:tcPr>
          <w:p w14:paraId="7EED4209">
            <w:pPr>
              <w:ind w:left="0" w:leftChars="0" w:firstLine="0" w:firstLineChars="0"/>
            </w:pPr>
            <w:r>
              <w:drawing>
                <wp:inline distT="0" distB="0" distL="114300" distR="114300">
                  <wp:extent cx="2606040" cy="1040765"/>
                  <wp:effectExtent l="0" t="0" r="3810" b="698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3"/>
                          <a:stretch>
                            <a:fillRect/>
                          </a:stretch>
                        </pic:blipFill>
                        <pic:spPr>
                          <a:xfrm>
                            <a:off x="0" y="0"/>
                            <a:ext cx="2606040" cy="1040765"/>
                          </a:xfrm>
                          <a:prstGeom prst="rect">
                            <a:avLst/>
                          </a:prstGeom>
                          <a:noFill/>
                          <a:ln>
                            <a:noFill/>
                          </a:ln>
                        </pic:spPr>
                      </pic:pic>
                    </a:graphicData>
                  </a:graphic>
                </wp:inline>
              </w:drawing>
            </w:r>
          </w:p>
        </w:tc>
        <w:tc>
          <w:tcPr>
            <w:tcW w:w="4300" w:type="dxa"/>
          </w:tcPr>
          <w:p w14:paraId="3B7BE69E">
            <w:pPr>
              <w:ind w:left="0" w:leftChars="0" w:firstLine="0" w:firstLineChars="0"/>
            </w:pPr>
            <w:r>
              <w:drawing>
                <wp:inline distT="0" distB="0" distL="114300" distR="114300">
                  <wp:extent cx="2433320" cy="1094740"/>
                  <wp:effectExtent l="0" t="0" r="5080" b="1016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4"/>
                          <a:stretch>
                            <a:fillRect/>
                          </a:stretch>
                        </pic:blipFill>
                        <pic:spPr>
                          <a:xfrm>
                            <a:off x="0" y="0"/>
                            <a:ext cx="2433320" cy="1094740"/>
                          </a:xfrm>
                          <a:prstGeom prst="rect">
                            <a:avLst/>
                          </a:prstGeom>
                          <a:noFill/>
                          <a:ln>
                            <a:noFill/>
                          </a:ln>
                        </pic:spPr>
                      </pic:pic>
                    </a:graphicData>
                  </a:graphic>
                </wp:inline>
              </w:drawing>
            </w:r>
          </w:p>
        </w:tc>
      </w:tr>
    </w:tbl>
    <w:p w14:paraId="55824918">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校园</w:t>
      </w:r>
      <w:r>
        <w:rPr>
          <w:rFonts w:hint="eastAsia"/>
          <w:lang w:val="en-US" w:eastAsia="zh-CN"/>
        </w:rPr>
        <w:t>教学质量</w:t>
      </w:r>
      <w:r>
        <w:rPr>
          <w:rFonts w:hint="eastAsia"/>
          <w:lang w:eastAsia="zh-CN"/>
        </w:rPr>
        <w:t>督察记录</w:t>
      </w:r>
    </w:p>
    <w:p w14:paraId="1D459274">
      <w:pPr>
        <w:rPr>
          <w:rFonts w:hint="eastAsia"/>
          <w:lang w:val="en-US" w:eastAsia="zh-CN"/>
        </w:rPr>
      </w:pPr>
      <w:r>
        <w:rPr>
          <w:rFonts w:hint="eastAsia"/>
          <w:lang w:val="en-US" w:eastAsia="zh-CN"/>
        </w:rPr>
        <w:t>这一机制的本质，是将“以体育人”理念转化为可测量、可迭代的教学生产力。通过月度《教学质量督察报告》向教培及管理部门反馈课程情况，既保障了服务标准的统一性与专业性，更印证华越体育对体育教育的初心：以专业温度守护育人初心，让安全、规范、有深度的体育课堂，真正成为塑造学生品格与能力的生命场域。</w:t>
      </w:r>
    </w:p>
    <w:p w14:paraId="687B9ACD">
      <w:pPr>
        <w:pStyle w:val="4"/>
        <w:bidi w:val="0"/>
        <w:ind w:left="425" w:leftChars="0" w:firstLine="142" w:firstLineChars="0"/>
        <w:rPr>
          <w:rFonts w:hint="default"/>
          <w:lang w:val="en-US" w:eastAsia="zh-CN"/>
        </w:rPr>
      </w:pPr>
      <w:r>
        <w:rPr>
          <w:rFonts w:hint="eastAsia"/>
          <w:lang w:val="en-US" w:eastAsia="zh-CN"/>
        </w:rPr>
        <w:t>心理素质赋能</w:t>
      </w:r>
    </w:p>
    <w:p w14:paraId="226142BE">
      <w:pPr>
        <w:rPr>
          <w:rFonts w:hint="default"/>
          <w:lang w:val="en-US" w:eastAsia="zh-CN"/>
        </w:rPr>
      </w:pPr>
      <w:r>
        <w:rPr>
          <w:rFonts w:hint="eastAsia"/>
          <w:lang w:val="en-US" w:eastAsia="zh-CN"/>
        </w:rPr>
        <w:t>为积极响应国家关于学生心理健康教育的战略部署，华越体育立足体育教育本位，创新构建轻量化心理健康支持体系。依托自有数字化平台，每月定期上线《心理小课堂》主题视频专栏，每期时长约1分钟，由浙江省心理卫生协会专家团队指导，公司专业心理咨询师团队精心研发。内容设计摒弃空洞说教，聚焦学生日常可感可及的成长场景：从运动场上的即时情绪调适、到学业压力下的心态平衡技巧，皆以平实语言传递科学方法。视频主题紧密呼应体育教学实践，如“神奇的‘学习成长区’”、“新学期的心理重启”等，将心理素质培养自然融入运动情境。</w:t>
      </w:r>
    </w:p>
    <w:p w14:paraId="3BFCD08D">
      <w:pPr>
        <w:rPr>
          <w:rFonts w:hint="eastAsia"/>
          <w:lang w:val="en-US" w:eastAsia="zh-CN"/>
        </w:rPr>
      </w:pPr>
      <w:r>
        <w:rPr>
          <w:rFonts w:hint="eastAsia"/>
          <w:lang w:val="en-US" w:eastAsia="zh-CN"/>
        </w:rPr>
        <w:t>专业的心理课堂内容彰显的是华越体育对“五育融合”理念的深度践行——当学生在运动场上挥洒汗水时，我们不仅关注其体能提升，更注重为其心灵成长铺设隐形阶梯。专业心理人员通过精准的内容把关与推送机制，确保知识传递如春风化雨：既避免过度干预的焦虑，又以持续浸润的方式培育学生积极心理品质。这一机制，使体育课堂从单纯的技能训练场域，升华为身心协同发展的育人空间，无声诠释着“以体育心、以心强体”的教育真谛，为学校构建全人教育生态提供专业支撑。</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6"/>
        <w:gridCol w:w="4166"/>
      </w:tblGrid>
      <w:tr w14:paraId="7F4C2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7643C9B">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11120" cy="4489450"/>
                  <wp:effectExtent l="0" t="0" r="17780" b="6350"/>
                  <wp:docPr id="16" name="图片 16" descr="2a41e4da3029fc6fa98e189d307a8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a41e4da3029fc6fa98e189d307a86c7"/>
                          <pic:cNvPicPr>
                            <a:picLocks noChangeAspect="1"/>
                          </pic:cNvPicPr>
                        </pic:nvPicPr>
                        <pic:blipFill>
                          <a:blip r:embed="rId25"/>
                          <a:srcRect r="-146" b="23778"/>
                          <a:stretch>
                            <a:fillRect/>
                          </a:stretch>
                        </pic:blipFill>
                        <pic:spPr>
                          <a:xfrm>
                            <a:off x="0" y="0"/>
                            <a:ext cx="2611120" cy="4489450"/>
                          </a:xfrm>
                          <a:prstGeom prst="rect">
                            <a:avLst/>
                          </a:prstGeom>
                        </pic:spPr>
                      </pic:pic>
                    </a:graphicData>
                  </a:graphic>
                </wp:inline>
              </w:drawing>
            </w:r>
          </w:p>
        </w:tc>
        <w:tc>
          <w:tcPr>
            <w:tcW w:w="4261" w:type="dxa"/>
          </w:tcPr>
          <w:p w14:paraId="41142884">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311400" cy="3989070"/>
                  <wp:effectExtent l="0" t="0" r="0" b="11430"/>
                  <wp:docPr id="17" name="图片 17" descr="ce2fd4d92e869ee5bb6d1bc668247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e2fd4d92e869ee5bb6d1bc66824711a"/>
                          <pic:cNvPicPr>
                            <a:picLocks noChangeAspect="1"/>
                          </pic:cNvPicPr>
                        </pic:nvPicPr>
                        <pic:blipFill>
                          <a:blip r:embed="rId26"/>
                          <a:srcRect r="-4932" b="16306"/>
                          <a:stretch>
                            <a:fillRect/>
                          </a:stretch>
                        </pic:blipFill>
                        <pic:spPr>
                          <a:xfrm>
                            <a:off x="0" y="0"/>
                            <a:ext cx="2311400" cy="3989070"/>
                          </a:xfrm>
                          <a:prstGeom prst="rect">
                            <a:avLst/>
                          </a:prstGeom>
                        </pic:spPr>
                      </pic:pic>
                    </a:graphicData>
                  </a:graphic>
                </wp:inline>
              </w:drawing>
            </w:r>
          </w:p>
        </w:tc>
      </w:tr>
    </w:tbl>
    <w:p w14:paraId="33A792B5">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w:t>
      </w:r>
      <w:r>
        <w:rPr>
          <w:rFonts w:hint="eastAsia"/>
          <w:lang w:val="en-US" w:eastAsia="zh-CN"/>
        </w:rPr>
        <w:t>平台公益课程--</w:t>
      </w:r>
      <w:r>
        <w:rPr>
          <w:rFonts w:hint="eastAsia"/>
          <w:lang w:eastAsia="zh-CN"/>
        </w:rPr>
        <w:t>心理小课堂</w:t>
      </w:r>
    </w:p>
    <w:p w14:paraId="5DE5B399">
      <w:pPr>
        <w:pStyle w:val="4"/>
        <w:bidi w:val="0"/>
        <w:ind w:left="425" w:leftChars="0" w:firstLine="142" w:firstLineChars="0"/>
        <w:rPr>
          <w:rFonts w:hint="default"/>
          <w:lang w:val="en-US" w:eastAsia="zh-CN"/>
        </w:rPr>
      </w:pPr>
      <w:r>
        <w:rPr>
          <w:rFonts w:hint="eastAsia"/>
          <w:lang w:val="en-US" w:eastAsia="zh-CN"/>
        </w:rPr>
        <w:t>社群服务</w:t>
      </w:r>
    </w:p>
    <w:p w14:paraId="4BCC1402">
      <w:pPr>
        <w:bidi w:val="0"/>
        <w:rPr>
          <w:rFonts w:hint="eastAsia"/>
          <w:lang w:val="en-US" w:eastAsia="zh-CN"/>
        </w:rPr>
      </w:pPr>
      <w:r>
        <w:rPr>
          <w:rFonts w:hint="eastAsia"/>
          <w:lang w:val="en-US" w:eastAsia="zh-CN"/>
        </w:rPr>
        <w:t>在持续精进的发展历程中，华越体育始终恪守以学员为中心的理念，致力于提供全方位、精细化的课程内外配套服务。</w:t>
      </w:r>
    </w:p>
    <w:p w14:paraId="36C71F06">
      <w:pPr>
        <w:bidi w:val="0"/>
        <w:ind w:left="0" w:leftChars="0" w:firstLine="0" w:firstLineChars="0"/>
        <w:rPr>
          <w:rFonts w:hint="eastAsia"/>
          <w:color w:val="auto"/>
          <w:lang w:val="en-US" w:eastAsia="zh-CN"/>
        </w:rPr>
      </w:pPr>
      <w:r>
        <w:rPr>
          <w:rFonts w:hint="eastAsia"/>
          <w:b/>
          <w:bCs/>
          <w:color w:val="auto"/>
          <w:lang w:val="en-US" w:eastAsia="zh-CN"/>
        </w:rPr>
        <w:t>教学服务方面：</w:t>
      </w:r>
      <w:r>
        <w:rPr>
          <w:rFonts w:hint="eastAsia"/>
          <w:color w:val="auto"/>
          <w:lang w:val="en-US" w:eastAsia="zh-CN"/>
        </w:rPr>
        <w:t>​​</w:t>
      </w:r>
    </w:p>
    <w:p w14:paraId="6014D56B">
      <w:pPr>
        <w:bidi w:val="0"/>
        <w:rPr>
          <w:rFonts w:hint="eastAsia"/>
          <w:color w:val="auto"/>
          <w:vertAlign w:val="baseline"/>
          <w:lang w:val="en-US" w:eastAsia="zh-CN"/>
        </w:rPr>
      </w:pPr>
      <w:r>
        <w:rPr>
          <w:rFonts w:hint="eastAsia"/>
          <w:color w:val="auto"/>
          <w:lang w:val="en-US" w:eastAsia="zh-CN"/>
        </w:rPr>
        <w:t>前置化沟通保障：开课前夕，教练团队均会精准发布课程提醒与必备注意事项，确保信息畅达，学员提前知悉安排，有效规避潜在问题。</w:t>
      </w:r>
    </w:p>
    <w:p w14:paraId="56C58060">
      <w:pPr>
        <w:bidi w:val="0"/>
        <w:ind w:left="0" w:leftChars="0" w:firstLine="420" w:firstLineChars="0"/>
        <w:rPr>
          <w:rFonts w:hint="eastAsia"/>
          <w:color w:val="auto"/>
          <w:lang w:val="en-US" w:eastAsia="zh-CN"/>
        </w:rPr>
      </w:pPr>
      <w:r>
        <w:rPr>
          <w:rFonts w:hint="eastAsia"/>
          <w:color w:val="auto"/>
          <w:lang w:val="en-US" w:eastAsia="zh-CN"/>
        </w:rPr>
        <w:t>科学化成长评估：依托学期初末开展的专业级技能数据测评，我们运用科学评估方法量化学员水平，以此为据构建动态优化、人尽其才的分级培养体系，使教学成果清晰可现，个人成长路径明确可循。</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6"/>
        <w:gridCol w:w="4246"/>
      </w:tblGrid>
      <w:tr w14:paraId="3767F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gridSpan w:val="2"/>
          </w:tcPr>
          <w:p w14:paraId="7633DE93">
            <w:pPr>
              <w:bidi w:val="0"/>
              <w:spacing w:line="240" w:lineRule="auto"/>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4857750" cy="3239135"/>
                  <wp:effectExtent l="0" t="0" r="0" b="18415"/>
                  <wp:docPr id="12" name="图片 12" descr="b1b718d9e8afb5323aecf629d454a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1b718d9e8afb5323aecf629d454a3cf"/>
                          <pic:cNvPicPr>
                            <a:picLocks noChangeAspect="1"/>
                          </pic:cNvPicPr>
                        </pic:nvPicPr>
                        <pic:blipFill>
                          <a:blip r:embed="rId27"/>
                          <a:stretch>
                            <a:fillRect/>
                          </a:stretch>
                        </pic:blipFill>
                        <pic:spPr>
                          <a:xfrm>
                            <a:off x="0" y="0"/>
                            <a:ext cx="4857750" cy="3239135"/>
                          </a:xfrm>
                          <a:prstGeom prst="rect">
                            <a:avLst/>
                          </a:prstGeom>
                        </pic:spPr>
                      </pic:pic>
                    </a:graphicData>
                  </a:graphic>
                </wp:inline>
              </w:drawing>
            </w:r>
          </w:p>
        </w:tc>
      </w:tr>
      <w:tr w14:paraId="49C7C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76" w:type="dxa"/>
          </w:tcPr>
          <w:p w14:paraId="6729ED7B">
            <w:pPr>
              <w:bidi w:val="0"/>
              <w:spacing w:line="240" w:lineRule="auto"/>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2644140" cy="3502660"/>
                  <wp:effectExtent l="0" t="0" r="3810" b="2540"/>
                  <wp:docPr id="18" name="图片 18" descr="6956a39f847a3de67ef7d5f17566a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956a39f847a3de67ef7d5f17566a36e"/>
                          <pic:cNvPicPr>
                            <a:picLocks noChangeAspect="1"/>
                          </pic:cNvPicPr>
                        </pic:nvPicPr>
                        <pic:blipFill>
                          <a:blip r:embed="rId28"/>
                          <a:stretch>
                            <a:fillRect/>
                          </a:stretch>
                        </pic:blipFill>
                        <pic:spPr>
                          <a:xfrm>
                            <a:off x="0" y="0"/>
                            <a:ext cx="2644140" cy="3502660"/>
                          </a:xfrm>
                          <a:prstGeom prst="rect">
                            <a:avLst/>
                          </a:prstGeom>
                        </pic:spPr>
                      </pic:pic>
                    </a:graphicData>
                  </a:graphic>
                </wp:inline>
              </w:drawing>
            </w:r>
          </w:p>
        </w:tc>
        <w:tc>
          <w:tcPr>
            <w:tcW w:w="4246" w:type="dxa"/>
          </w:tcPr>
          <w:p w14:paraId="158E54C0">
            <w:pPr>
              <w:bidi w:val="0"/>
              <w:spacing w:line="240" w:lineRule="auto"/>
              <w:ind w:left="0" w:leftChars="0" w:firstLine="0" w:firstLineChars="0"/>
              <w:jc w:val="both"/>
              <w:rPr>
                <w:rFonts w:hint="eastAsia"/>
                <w:color w:val="auto"/>
                <w:vertAlign w:val="baseline"/>
                <w:lang w:val="en-US" w:eastAsia="zh-CN"/>
              </w:rPr>
            </w:pPr>
            <w:r>
              <w:rPr>
                <w:rFonts w:hint="eastAsia"/>
                <w:color w:val="auto"/>
                <w:vertAlign w:val="baseline"/>
                <w:lang w:val="en-US" w:eastAsia="zh-CN"/>
              </w:rPr>
              <w:drawing>
                <wp:inline distT="0" distB="0" distL="114300" distR="114300">
                  <wp:extent cx="2628265" cy="3513455"/>
                  <wp:effectExtent l="0" t="0" r="635" b="10795"/>
                  <wp:docPr id="19" name="图片 19" descr="80fb8cbddace8c870fc59a016e4640af"/>
                  <wp:cNvGraphicFramePr/>
                  <a:graphic xmlns:a="http://schemas.openxmlformats.org/drawingml/2006/main">
                    <a:graphicData uri="http://schemas.openxmlformats.org/drawingml/2006/picture">
                      <pic:pic xmlns:pic="http://schemas.openxmlformats.org/drawingml/2006/picture">
                        <pic:nvPicPr>
                          <pic:cNvPr id="19" name="图片 19" descr="80fb8cbddace8c870fc59a016e4640af"/>
                          <pic:cNvPicPr/>
                        </pic:nvPicPr>
                        <pic:blipFill>
                          <a:blip r:embed="rId29"/>
                          <a:stretch>
                            <a:fillRect/>
                          </a:stretch>
                        </pic:blipFill>
                        <pic:spPr>
                          <a:xfrm>
                            <a:off x="0" y="0"/>
                            <a:ext cx="2628265" cy="3513455"/>
                          </a:xfrm>
                          <a:prstGeom prst="rect">
                            <a:avLst/>
                          </a:prstGeom>
                        </pic:spPr>
                      </pic:pic>
                    </a:graphicData>
                  </a:graphic>
                </wp:inline>
              </w:drawing>
            </w:r>
          </w:p>
        </w:tc>
      </w:tr>
      <w:tr w14:paraId="0860F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gridSpan w:val="2"/>
          </w:tcPr>
          <w:p w14:paraId="1D50EFBE">
            <w:pPr>
              <w:bidi w:val="0"/>
              <w:spacing w:after="315" w:afterLines="100" w:afterAutospacing="0" w:line="240" w:lineRule="auto"/>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5266690" cy="3511550"/>
                  <wp:effectExtent l="0" t="0" r="10160" b="12700"/>
                  <wp:docPr id="13" name="图片 13" descr="f296208b7176e5d73cd4915e046cf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296208b7176e5d73cd4915e046cf4d6"/>
                          <pic:cNvPicPr>
                            <a:picLocks noChangeAspect="1"/>
                          </pic:cNvPicPr>
                        </pic:nvPicPr>
                        <pic:blipFill>
                          <a:blip r:embed="rId30"/>
                          <a:stretch>
                            <a:fillRect/>
                          </a:stretch>
                        </pic:blipFill>
                        <pic:spPr>
                          <a:xfrm>
                            <a:off x="0" y="0"/>
                            <a:ext cx="5266690" cy="3511550"/>
                          </a:xfrm>
                          <a:prstGeom prst="rect">
                            <a:avLst/>
                          </a:prstGeom>
                        </pic:spPr>
                      </pic:pic>
                    </a:graphicData>
                  </a:graphic>
                </wp:inline>
              </w:drawing>
            </w:r>
          </w:p>
        </w:tc>
      </w:tr>
    </w:tbl>
    <w:p w14:paraId="5782E425">
      <w:pPr>
        <w:pStyle w:val="5"/>
        <w:ind w:left="0" w:leftChars="0" w:firstLine="0" w:firstLineChars="0"/>
        <w:jc w:val="center"/>
        <w:rPr>
          <w:rFonts w:hint="eastAsia"/>
          <w:color w:val="auto"/>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w:t>
      </w:r>
      <w:r>
        <w:rPr>
          <w:rFonts w:hint="eastAsia"/>
          <w:lang w:val="en-US" w:eastAsia="zh-CN"/>
        </w:rPr>
        <w:t>运动</w:t>
      </w:r>
      <w:r>
        <w:rPr>
          <w:rFonts w:hint="eastAsia"/>
          <w:lang w:eastAsia="zh-CN"/>
        </w:rPr>
        <w:t>能力测评</w:t>
      </w:r>
    </w:p>
    <w:p w14:paraId="6C2C52C7">
      <w:pPr>
        <w:keepNext w:val="0"/>
        <w:keepLines w:val="0"/>
        <w:pageBreakBefore/>
        <w:widowControl/>
        <w:kinsoku/>
        <w:wordWrap/>
        <w:overflowPunct/>
        <w:topLinePunct w:val="0"/>
        <w:autoSpaceDE w:val="0"/>
        <w:autoSpaceDN w:val="0"/>
        <w:bidi w:val="0"/>
        <w:adjustRightInd w:val="0"/>
        <w:snapToGrid w:val="0"/>
        <w:ind w:left="0" w:leftChars="0" w:firstLine="0" w:firstLineChars="0"/>
        <w:textAlignment w:val="baseline"/>
        <w:rPr>
          <w:rFonts w:hint="eastAsia"/>
          <w:color w:val="auto"/>
          <w:lang w:val="en-US" w:eastAsia="zh-CN"/>
        </w:rPr>
      </w:pPr>
      <w:r>
        <w:rPr>
          <w:rFonts w:hint="eastAsia"/>
          <w:b/>
          <w:bCs/>
          <w:color w:val="auto"/>
          <w:lang w:val="en-US" w:eastAsia="zh-CN"/>
        </w:rPr>
        <w:t>家校互动方面：</w:t>
      </w:r>
      <w:r>
        <w:rPr>
          <w:rFonts w:hint="eastAsia"/>
          <w:color w:val="auto"/>
          <w:lang w:val="en-US" w:eastAsia="zh-CN"/>
        </w:rPr>
        <w:t>​​</w:t>
      </w:r>
    </w:p>
    <w:p w14:paraId="52FD3591">
      <w:pPr>
        <w:bidi w:val="0"/>
        <w:rPr>
          <w:rFonts w:hint="eastAsia"/>
          <w:color w:val="auto"/>
          <w:lang w:val="en-US" w:eastAsia="zh-CN"/>
        </w:rPr>
      </w:pPr>
      <w:r>
        <w:rPr>
          <w:rFonts w:hint="eastAsia"/>
          <w:color w:val="auto"/>
          <w:lang w:val="en-US" w:eastAsia="zh-CN"/>
        </w:rPr>
        <w:t>华越体育以家长微信社群为战略支点，精心构建立体化家校共育平台。社群运营超越常规信息传递功能，深度融入教育协同理念：课后即刻推送结构化课堂反馈，涵盖技能掌握亮点、课堂实时情况及个性化成长建议，使家长清晰感知教学过程与育人细节；同步建立双向响应机制，针对家长关切即时答疑解惑，有效强化家校互信纽带。这一设计精准响应国家“家校社协同育人</w:t>
      </w:r>
      <w:r>
        <w:rPr>
          <w:rFonts w:hint="eastAsia"/>
          <w:lang w:val="en-US" w:eastAsia="zh-CN"/>
        </w:rPr>
        <w:t>”</w:t>
      </w:r>
      <w:r>
        <w:rPr>
          <w:rFonts w:hint="eastAsia"/>
          <w:color w:val="auto"/>
          <w:lang w:val="en-US" w:eastAsia="zh-CN"/>
        </w:rPr>
        <w:t>政策导向，将碎片化沟通升华为教育合力，为学校落实“五育融合</w:t>
      </w:r>
      <w:r>
        <w:rPr>
          <w:rFonts w:hint="eastAsia"/>
          <w:lang w:val="en-US" w:eastAsia="zh-CN"/>
        </w:rPr>
        <w:t>”</w:t>
      </w:r>
      <w:r>
        <w:rPr>
          <w:rFonts w:hint="eastAsia"/>
          <w:color w:val="auto"/>
          <w:lang w:val="en-US" w:eastAsia="zh-CN"/>
        </w:rPr>
        <w:t>提供可操作的实践载体。</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CE90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EE6F657">
            <w:pPr>
              <w:bidi w:val="0"/>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2027555" cy="4026535"/>
                  <wp:effectExtent l="0" t="0" r="10795" b="12065"/>
                  <wp:docPr id="47" name="图片 47" descr="88004fe3397ea863a23729f824967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8004fe3397ea863a23729f82496766c"/>
                          <pic:cNvPicPr>
                            <a:picLocks noChangeAspect="1"/>
                          </pic:cNvPicPr>
                        </pic:nvPicPr>
                        <pic:blipFill>
                          <a:blip r:embed="rId31"/>
                          <a:srcRect t="4904" r="1513" b="6643"/>
                          <a:stretch>
                            <a:fillRect/>
                          </a:stretch>
                        </pic:blipFill>
                        <pic:spPr>
                          <a:xfrm>
                            <a:off x="0" y="0"/>
                            <a:ext cx="2027555" cy="4026535"/>
                          </a:xfrm>
                          <a:prstGeom prst="rect">
                            <a:avLst/>
                          </a:prstGeom>
                        </pic:spPr>
                      </pic:pic>
                    </a:graphicData>
                  </a:graphic>
                </wp:inline>
              </w:drawing>
            </w:r>
          </w:p>
        </w:tc>
        <w:tc>
          <w:tcPr>
            <w:tcW w:w="4261" w:type="dxa"/>
          </w:tcPr>
          <w:p w14:paraId="33108E9A">
            <w:pPr>
              <w:bidi w:val="0"/>
              <w:ind w:left="0" w:leftChars="0" w:firstLine="0" w:firstLineChars="0"/>
              <w:jc w:val="center"/>
              <w:rPr>
                <w:rFonts w:hint="eastAsia"/>
                <w:color w:val="auto"/>
                <w:vertAlign w:val="baseline"/>
                <w:lang w:val="en-US" w:eastAsia="zh-CN"/>
              </w:rPr>
            </w:pPr>
            <w:r>
              <w:rPr>
                <w:rFonts w:hint="eastAsia"/>
                <w:color w:val="auto"/>
                <w:vertAlign w:val="baseline"/>
                <w:lang w:val="en-US" w:eastAsia="zh-CN"/>
              </w:rPr>
              <w:drawing>
                <wp:inline distT="0" distB="0" distL="114300" distR="114300">
                  <wp:extent cx="2005330" cy="4011295"/>
                  <wp:effectExtent l="0" t="0" r="13970" b="8255"/>
                  <wp:docPr id="48" name="图片 48" descr="df10ca35da52c41d958625d680d9e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f10ca35da52c41d958625d680d9ee7c"/>
                          <pic:cNvPicPr>
                            <a:picLocks noChangeAspect="1"/>
                          </pic:cNvPicPr>
                        </pic:nvPicPr>
                        <pic:blipFill>
                          <a:blip r:embed="rId32"/>
                          <a:srcRect t="4904" r="2704" b="7081"/>
                          <a:stretch>
                            <a:fillRect/>
                          </a:stretch>
                        </pic:blipFill>
                        <pic:spPr>
                          <a:xfrm>
                            <a:off x="0" y="0"/>
                            <a:ext cx="2005330" cy="4011295"/>
                          </a:xfrm>
                          <a:prstGeom prst="rect">
                            <a:avLst/>
                          </a:prstGeom>
                        </pic:spPr>
                      </pic:pic>
                    </a:graphicData>
                  </a:graphic>
                </wp:inline>
              </w:drawing>
            </w:r>
          </w:p>
        </w:tc>
      </w:tr>
    </w:tbl>
    <w:p w14:paraId="10DF0449">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社群互动</w:t>
      </w:r>
    </w:p>
    <w:p w14:paraId="451AA712">
      <w:pPr>
        <w:bidi w:val="0"/>
        <w:rPr>
          <w:rFonts w:hint="eastAsia"/>
          <w:color w:val="auto"/>
          <w:lang w:val="en-US" w:eastAsia="zh-CN"/>
        </w:rPr>
      </w:pPr>
    </w:p>
    <w:p w14:paraId="6044FB8D">
      <w:pPr>
        <w:bidi w:val="0"/>
        <w:rPr>
          <w:rFonts w:hint="eastAsia"/>
          <w:lang w:val="en-US" w:eastAsia="zh-CN"/>
        </w:rPr>
      </w:pPr>
      <w:r>
        <w:rPr>
          <w:rFonts w:hint="eastAsia"/>
          <w:color w:val="auto"/>
          <w:lang w:val="en-US" w:eastAsia="zh-CN"/>
        </w:rPr>
        <w:t>社群内容体系注重文化浸润与价值引领。深度结合二十四节气及传统节日，原创策划各类节气主题海报，将传统文化智慧与运动健康知识有机融合。每一帧节气海报、每一条活动指引，皆以润物无声的方式传递健康生活哲学，使体育锻炼超越体能训练范畴，成为涵养家庭文化认同与生命教育的鲜活课堂。</w:t>
      </w:r>
      <w:r>
        <w:rPr>
          <w:rFonts w:hint="eastAsia"/>
          <w:lang w:val="en-US" w:eastAsia="zh-CN"/>
        </w:rPr>
        <w:t>彰显对“体教融合”本质的深刻理解——当社群成为传递教育温度的媒介，当日常互动化作品格塑造的契机，我们便在细微处践行“以体育人”的初心。国企服务的责任感，正体现在将政策高度转化为生活温度的持续努力中，助力学校构建“全成员、全过程、全方位”的育人生态。</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0"/>
        <w:gridCol w:w="4262"/>
      </w:tblGrid>
      <w:tr w14:paraId="0E17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21183E70">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276475" cy="4037330"/>
                  <wp:effectExtent l="0" t="0" r="9525" b="1270"/>
                  <wp:docPr id="49" name="图片 49" descr="4b050716b329792fc37b9a0caaed4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b050716b329792fc37b9a0caaed474e"/>
                          <pic:cNvPicPr>
                            <a:picLocks noChangeAspect="1"/>
                          </pic:cNvPicPr>
                        </pic:nvPicPr>
                        <pic:blipFill>
                          <a:blip r:embed="rId33"/>
                          <a:srcRect t="8731" r="124" b="6318"/>
                          <a:stretch>
                            <a:fillRect/>
                          </a:stretch>
                        </pic:blipFill>
                        <pic:spPr>
                          <a:xfrm>
                            <a:off x="0" y="0"/>
                            <a:ext cx="2276475" cy="4037330"/>
                          </a:xfrm>
                          <a:prstGeom prst="rect">
                            <a:avLst/>
                          </a:prstGeom>
                        </pic:spPr>
                      </pic:pic>
                    </a:graphicData>
                  </a:graphic>
                </wp:inline>
              </w:drawing>
            </w:r>
          </w:p>
        </w:tc>
        <w:tc>
          <w:tcPr>
            <w:tcW w:w="4276" w:type="dxa"/>
          </w:tcPr>
          <w:p w14:paraId="7DA0CAC5">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317115" cy="4027805"/>
                  <wp:effectExtent l="0" t="0" r="6985" b="10795"/>
                  <wp:docPr id="50" name="图片 50" descr="49d63973d8f788a7eabf4eca2097c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9d63973d8f788a7eabf4eca2097c767"/>
                          <pic:cNvPicPr>
                            <a:picLocks noChangeAspect="1"/>
                          </pic:cNvPicPr>
                        </pic:nvPicPr>
                        <pic:blipFill>
                          <a:blip r:embed="rId34"/>
                          <a:srcRect t="5490" r="-1545" b="7520"/>
                          <a:stretch>
                            <a:fillRect/>
                          </a:stretch>
                        </pic:blipFill>
                        <pic:spPr>
                          <a:xfrm>
                            <a:off x="0" y="0"/>
                            <a:ext cx="2317115" cy="4027805"/>
                          </a:xfrm>
                          <a:prstGeom prst="rect">
                            <a:avLst/>
                          </a:prstGeom>
                        </pic:spPr>
                      </pic:pic>
                    </a:graphicData>
                  </a:graphic>
                </wp:inline>
              </w:drawing>
            </w:r>
          </w:p>
        </w:tc>
      </w:tr>
    </w:tbl>
    <w:p w14:paraId="2A87EA9D">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社群服务</w:t>
      </w:r>
    </w:p>
    <w:p w14:paraId="3571867F">
      <w:pPr>
        <w:ind w:left="0" w:leftChars="0" w:firstLine="420" w:firstLineChars="0"/>
        <w:rPr>
          <w:rFonts w:hint="eastAsia"/>
          <w:lang w:val="en-US" w:eastAsia="zh-CN"/>
        </w:rPr>
      </w:pPr>
      <w:r>
        <w:rPr>
          <w:rFonts w:hint="eastAsia"/>
          <w:lang w:val="en-US" w:eastAsia="zh-CN"/>
        </w:rPr>
        <w:t>华越体育始终坚持以服务流程的持续优化为根基，将课前沟通、过程陪伴、成果反馈融为有机整体，力求为每位学员锻造安全、高效、富有成就感的卓越学习体验，以实际行动兑现对学员、家长及校园综合需求的忠实承诺。</w:t>
      </w:r>
    </w:p>
    <w:p w14:paraId="449D7BBD">
      <w:pPr>
        <w:pStyle w:val="4"/>
        <w:bidi w:val="0"/>
        <w:ind w:left="425" w:leftChars="0" w:firstLine="142" w:firstLineChars="0"/>
        <w:rPr>
          <w:rFonts w:hint="default"/>
          <w:lang w:val="en-US" w:eastAsia="zh-CN"/>
        </w:rPr>
      </w:pPr>
      <w:r>
        <w:rPr>
          <w:rFonts w:hint="eastAsia"/>
          <w:lang w:val="en-US" w:eastAsia="zh-CN"/>
        </w:rPr>
        <w:t>校际联动与拓展</w:t>
      </w:r>
    </w:p>
    <w:p w14:paraId="56D7EA6B">
      <w:pPr>
        <w:rPr>
          <w:rFonts w:hint="default"/>
          <w:lang w:val="en-US" w:eastAsia="zh-CN"/>
        </w:rPr>
      </w:pPr>
      <w:r>
        <w:rPr>
          <w:rFonts w:hint="default"/>
          <w:lang w:val="en-US" w:eastAsia="zh-CN"/>
        </w:rPr>
        <w:t>为拓展校队队员视野，深度浸润竞技文化，华越体育在现代实验小学的大力支持下，于</w:t>
      </w:r>
      <w:r>
        <w:rPr>
          <w:rFonts w:hint="eastAsia"/>
          <w:lang w:val="en-US" w:eastAsia="zh-CN"/>
        </w:rPr>
        <w:t>2025年</w:t>
      </w:r>
      <w:r>
        <w:rPr>
          <w:rFonts w:hint="default"/>
          <w:lang w:val="en-US" w:eastAsia="zh-CN"/>
        </w:rPr>
        <w:t>8月18日组织</w:t>
      </w:r>
      <w:r>
        <w:rPr>
          <w:rFonts w:hint="eastAsia"/>
          <w:lang w:val="en-US" w:eastAsia="zh-CN"/>
        </w:rPr>
        <w:t>策划</w:t>
      </w:r>
      <w:r>
        <w:rPr>
          <w:rFonts w:hint="default"/>
          <w:lang w:val="en-US" w:eastAsia="zh-CN"/>
        </w:rPr>
        <w:t>了校队球员及家长集体观摩</w:t>
      </w:r>
      <w:r>
        <w:rPr>
          <w:rFonts w:hint="eastAsia"/>
          <w:lang w:val="en-US" w:eastAsia="zh-CN"/>
        </w:rPr>
        <w:t>“</w:t>
      </w:r>
      <w:r>
        <w:rPr>
          <w:rFonts w:hint="default"/>
          <w:lang w:val="en-US" w:eastAsia="zh-CN"/>
        </w:rPr>
        <w:t>首届亚洲大学生篮球联赛（AUBL）</w:t>
      </w:r>
      <w:r>
        <w:rPr>
          <w:rFonts w:hint="eastAsia"/>
          <w:lang w:val="en-US" w:eastAsia="zh-CN"/>
        </w:rPr>
        <w:t>”</w:t>
      </w:r>
      <w:r>
        <w:rPr>
          <w:rFonts w:hint="default"/>
          <w:lang w:val="en-US" w:eastAsia="zh-CN"/>
        </w:rPr>
        <w:t>的专题活动。本次活动旨在将课堂延伸至亚洲顶级赛场，为学员们提供一次难得的高规格、沉浸式学习体验。</w:t>
      </w:r>
    </w:p>
    <w:p w14:paraId="573472DF">
      <w:pPr>
        <w:rPr>
          <w:rFonts w:hint="default"/>
          <w:lang w:val="en-US" w:eastAsia="zh-CN"/>
        </w:rPr>
      </w:pPr>
      <w:r>
        <w:rPr>
          <w:rFonts w:hint="default"/>
          <w:lang w:val="en-US" w:eastAsia="zh-CN"/>
        </w:rPr>
        <w:t>本次赛事汇聚了来自中国、日本、韩国等亚洲多个国家与地区的12所顶尖高校篮球劲旅，代表着亚洲大学生篮球的最高竞技水准。我们深知，观摩顶级赛事是运动员成长过程中宝贵的第二课堂。因此，华越体育旗下</w:t>
      </w:r>
      <w:r>
        <w:rPr>
          <w:rFonts w:hint="eastAsia"/>
          <w:lang w:val="en-US" w:eastAsia="zh-CN"/>
        </w:rPr>
        <w:t>“</w:t>
      </w:r>
      <w:r>
        <w:rPr>
          <w:rFonts w:hint="default"/>
          <w:lang w:val="en-US" w:eastAsia="zh-CN"/>
        </w:rPr>
        <w:t>N+</w:t>
      </w:r>
      <w:r>
        <w:rPr>
          <w:rFonts w:hint="eastAsia"/>
          <w:lang w:val="en-US" w:eastAsia="zh-CN"/>
        </w:rPr>
        <w:t>”</w:t>
      </w:r>
      <w:r>
        <w:rPr>
          <w:rFonts w:hint="default"/>
          <w:lang w:val="en-US" w:eastAsia="zh-CN"/>
        </w:rPr>
        <w:t>体育品牌选派资深教练团队全程带队，不仅在往返途中与队员们分享赛事背景、解析球队特点，更在观赛过程中进行适时引导，帮助队员们从单纯的</w:t>
      </w:r>
      <w:r>
        <w:rPr>
          <w:rFonts w:hint="eastAsia"/>
          <w:lang w:val="en-US" w:eastAsia="zh-CN"/>
        </w:rPr>
        <w:t>“</w:t>
      </w:r>
      <w:r>
        <w:rPr>
          <w:rFonts w:hint="default"/>
          <w:lang w:val="en-US" w:eastAsia="zh-CN"/>
        </w:rPr>
        <w:t>看热闹</w:t>
      </w:r>
      <w:r>
        <w:rPr>
          <w:rFonts w:hint="eastAsia"/>
          <w:lang w:val="en-US" w:eastAsia="zh-CN"/>
        </w:rPr>
        <w:t>”</w:t>
      </w:r>
      <w:r>
        <w:rPr>
          <w:rFonts w:hint="default"/>
          <w:lang w:val="en-US" w:eastAsia="zh-CN"/>
        </w:rPr>
        <w:t>转向有重点的</w:t>
      </w:r>
      <w:r>
        <w:rPr>
          <w:rFonts w:hint="eastAsia"/>
          <w:lang w:val="en-US" w:eastAsia="zh-CN"/>
        </w:rPr>
        <w:t>“</w:t>
      </w:r>
      <w:r>
        <w:rPr>
          <w:rFonts w:hint="default"/>
          <w:lang w:val="en-US" w:eastAsia="zh-CN"/>
        </w:rPr>
        <w:t>看门道</w:t>
      </w:r>
      <w:r>
        <w:rPr>
          <w:rFonts w:hint="eastAsia"/>
          <w:lang w:val="en-US" w:eastAsia="zh-CN"/>
        </w:rPr>
        <w:t>”</w:t>
      </w:r>
      <w:r>
        <w:rPr>
          <w:rFonts w:hint="default"/>
          <w:lang w:val="en-US" w:eastAsia="zh-CN"/>
        </w:rPr>
        <w:t>——观察高水平的战术执行、学习关键时刻的心理稳定性、感受团队至上的拼搏精神。</w:t>
      </w:r>
    </w:p>
    <w:p w14:paraId="68B34A56">
      <w:pPr>
        <w:rPr>
          <w:rFonts w:hint="default"/>
          <w:lang w:val="en-US" w:eastAsia="zh-CN"/>
        </w:rPr>
      </w:pPr>
      <w:r>
        <w:rPr>
          <w:rFonts w:hint="default"/>
          <w:lang w:val="en-US" w:eastAsia="zh-CN"/>
        </w:rPr>
        <w:t>活动现场气氛热烈，校队的小队员们全神贯注，为每一次精妙配合喝彩，为每一次顽强防守动容。更令人感动的是，本次活动得到了众多校队球员家庭的积极响应。许多家长特意调整安排，与孩子一同置身于激昂的赛场氛围之中。这不仅是一次亲子共同享受篮球魅力的美好时光，更构建了一个生动的</w:t>
      </w:r>
      <w:r>
        <w:rPr>
          <w:rFonts w:hint="eastAsia"/>
          <w:lang w:val="en-US" w:eastAsia="zh-CN"/>
        </w:rPr>
        <w:t>“</w:t>
      </w:r>
      <w:r>
        <w:rPr>
          <w:rFonts w:hint="default"/>
          <w:lang w:val="en-US" w:eastAsia="zh-CN"/>
        </w:rPr>
        <w:t>家校社</w:t>
      </w:r>
      <w:r>
        <w:rPr>
          <w:rFonts w:hint="eastAsia"/>
          <w:lang w:val="en-US" w:eastAsia="zh-CN"/>
        </w:rPr>
        <w:t>”</w:t>
      </w:r>
      <w:r>
        <w:rPr>
          <w:rFonts w:hint="default"/>
          <w:lang w:val="en-US" w:eastAsia="zh-CN"/>
        </w:rPr>
        <w:t>协同育人场景。家长们通过亲身感受大赛的激情与庄严，对竞技体育塑造人格、锤炼意志的独特价值有了更深刻的认同，从而能更坚定、更智慧地支持孩子在篮球道路上的成长。</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3"/>
        <w:gridCol w:w="4269"/>
      </w:tblGrid>
      <w:tr w14:paraId="005BF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Pr>
          <w:p w14:paraId="532E6EEF">
            <w:pPr>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5266690" cy="3950335"/>
                  <wp:effectExtent l="0" t="0" r="10160" b="12065"/>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35"/>
                          <a:stretch>
                            <a:fillRect/>
                          </a:stretch>
                        </pic:blipFill>
                        <pic:spPr>
                          <a:xfrm>
                            <a:off x="0" y="0"/>
                            <a:ext cx="5266690" cy="3950335"/>
                          </a:xfrm>
                          <a:prstGeom prst="rect">
                            <a:avLst/>
                          </a:prstGeom>
                          <a:noFill/>
                          <a:ln w="9525">
                            <a:noFill/>
                          </a:ln>
                        </pic:spPr>
                      </pic:pic>
                    </a:graphicData>
                  </a:graphic>
                </wp:inline>
              </w:drawing>
            </w:r>
          </w:p>
        </w:tc>
      </w:tr>
      <w:tr w14:paraId="7ED37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180264B">
            <w:pPr>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2520315" cy="3239770"/>
                  <wp:effectExtent l="0" t="0" r="13335" b="17780"/>
                  <wp:docPr id="23" name="图片 4" descr="IMG_256"/>
                  <wp:cNvGraphicFramePr/>
                  <a:graphic xmlns:a="http://schemas.openxmlformats.org/drawingml/2006/main">
                    <a:graphicData uri="http://schemas.openxmlformats.org/drawingml/2006/picture">
                      <pic:pic xmlns:pic="http://schemas.openxmlformats.org/drawingml/2006/picture">
                        <pic:nvPicPr>
                          <pic:cNvPr id="23" name="图片 4" descr="IMG_256"/>
                          <pic:cNvPicPr/>
                        </pic:nvPicPr>
                        <pic:blipFill>
                          <a:blip r:embed="rId36"/>
                          <a:stretch>
                            <a:fillRect/>
                          </a:stretch>
                        </pic:blipFill>
                        <pic:spPr>
                          <a:xfrm>
                            <a:off x="0" y="0"/>
                            <a:ext cx="2520315" cy="3239770"/>
                          </a:xfrm>
                          <a:prstGeom prst="rect">
                            <a:avLst/>
                          </a:prstGeom>
                          <a:noFill/>
                          <a:ln w="9525">
                            <a:noFill/>
                          </a:ln>
                        </pic:spPr>
                      </pic:pic>
                    </a:graphicData>
                  </a:graphic>
                </wp:inline>
              </w:drawing>
            </w:r>
          </w:p>
        </w:tc>
        <w:tc>
          <w:tcPr>
            <w:tcW w:w="4261" w:type="dxa"/>
          </w:tcPr>
          <w:p w14:paraId="74681DFD">
            <w:pPr>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2539365" cy="3239770"/>
                  <wp:effectExtent l="0" t="0" r="13335" b="17780"/>
                  <wp:docPr id="24" name="图片 5" descr="IMG_256"/>
                  <wp:cNvGraphicFramePr/>
                  <a:graphic xmlns:a="http://schemas.openxmlformats.org/drawingml/2006/main">
                    <a:graphicData uri="http://schemas.openxmlformats.org/drawingml/2006/picture">
                      <pic:pic xmlns:pic="http://schemas.openxmlformats.org/drawingml/2006/picture">
                        <pic:nvPicPr>
                          <pic:cNvPr id="24" name="图片 5" descr="IMG_256"/>
                          <pic:cNvPicPr/>
                        </pic:nvPicPr>
                        <pic:blipFill>
                          <a:blip r:embed="rId37"/>
                          <a:stretch>
                            <a:fillRect/>
                          </a:stretch>
                        </pic:blipFill>
                        <pic:spPr>
                          <a:xfrm>
                            <a:off x="0" y="0"/>
                            <a:ext cx="2539365" cy="3239770"/>
                          </a:xfrm>
                          <a:prstGeom prst="rect">
                            <a:avLst/>
                          </a:prstGeom>
                          <a:noFill/>
                          <a:ln w="9525">
                            <a:noFill/>
                          </a:ln>
                        </pic:spPr>
                      </pic:pic>
                    </a:graphicData>
                  </a:graphic>
                </wp:inline>
              </w:drawing>
            </w:r>
          </w:p>
        </w:tc>
      </w:tr>
    </w:tbl>
    <w:p w14:paraId="40F04D1C">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观赛活动精彩瞬间</w:t>
      </w:r>
    </w:p>
    <w:p w14:paraId="7EFFD54E">
      <w:pPr>
        <w:bidi w:val="0"/>
        <w:rPr>
          <w:rFonts w:hint="default"/>
          <w:lang w:val="en-US" w:eastAsia="zh-CN"/>
        </w:rPr>
      </w:pPr>
      <w:r>
        <w:rPr>
          <w:rFonts w:hint="default"/>
          <w:lang w:val="en-US" w:eastAsia="zh-CN"/>
        </w:rPr>
        <w:t>此次AUBL观赛活动，是华越体育践行</w:t>
      </w:r>
      <w:r>
        <w:rPr>
          <w:rFonts w:hint="eastAsia"/>
          <w:lang w:val="en-US" w:eastAsia="zh-CN"/>
        </w:rPr>
        <w:t>“</w:t>
      </w:r>
      <w:r>
        <w:rPr>
          <w:rFonts w:hint="default"/>
          <w:lang w:val="en-US" w:eastAsia="zh-CN"/>
        </w:rPr>
        <w:t>以专业服务赋能学校体育</w:t>
      </w:r>
      <w:r>
        <w:rPr>
          <w:rFonts w:hint="eastAsia"/>
          <w:lang w:val="en-US" w:eastAsia="zh-CN"/>
        </w:rPr>
        <w:t>”</w:t>
      </w:r>
      <w:r>
        <w:rPr>
          <w:rFonts w:hint="default"/>
          <w:lang w:val="en-US" w:eastAsia="zh-CN"/>
        </w:rPr>
        <w:t>理念的一次生动实践。我们相信，将孩子们带到聚光灯下，感受真正的巅峰对决，在他们心中种下的不仅是技术的标杆，更是对荣誉的向往、对团队的理解和对更高目标的追求。未来，华越体育将继续携手现代实验小学，设计与开展更多元、更优质的教育实践活动，共同为学员们的全面成长搭建更广阔的舞台。</w:t>
      </w:r>
    </w:p>
    <w:p w14:paraId="7AC618D7">
      <w:pPr>
        <w:bidi w:val="0"/>
        <w:jc w:val="both"/>
        <w:rPr>
          <w:rFonts w:hint="default"/>
          <w:lang w:val="en-US" w:eastAsia="zh-CN"/>
        </w:rPr>
      </w:pPr>
      <w:r>
        <w:rPr>
          <w:rFonts w:hint="default"/>
          <w:lang w:val="en-US" w:eastAsia="zh-CN"/>
        </w:rPr>
        <w:t>在2025年拱墅区小学生篮球比赛的赛场上，现代实验小学男篮校队的少年们用汗水与拼搏书写了属于自己的荣光。从小组赛到淘汰赛，队员们始终全神贯注，每一次防守滑步都拼尽全力，每一次进攻配合都默契无间。面对强劲对手，他们不言放弃，即使比分胶着也咬牙坚持，用顽强的意志和精湛的球技赢得了全场尊重。最终捧起的季军奖杯，正是对他们日夜苦练、奋勇拼搏的最佳见证。</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16B3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E99B806">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4860925" cy="3646170"/>
                  <wp:effectExtent l="0" t="0" r="15875" b="11430"/>
                  <wp:docPr id="2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IMG_256"/>
                          <pic:cNvPicPr>
                            <a:picLocks noChangeAspect="1"/>
                          </pic:cNvPicPr>
                        </pic:nvPicPr>
                        <pic:blipFill>
                          <a:blip r:embed="rId38"/>
                          <a:stretch>
                            <a:fillRect/>
                          </a:stretch>
                        </pic:blipFill>
                        <pic:spPr>
                          <a:xfrm>
                            <a:off x="0" y="0"/>
                            <a:ext cx="4860925" cy="3646170"/>
                          </a:xfrm>
                          <a:prstGeom prst="rect">
                            <a:avLst/>
                          </a:prstGeom>
                          <a:noFill/>
                          <a:ln w="9525">
                            <a:noFill/>
                          </a:ln>
                        </pic:spPr>
                      </pic:pic>
                    </a:graphicData>
                  </a:graphic>
                </wp:inline>
              </w:drawing>
            </w:r>
          </w:p>
        </w:tc>
      </w:tr>
    </w:tbl>
    <w:p w14:paraId="2BD7FB22">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区比赛合影</w:t>
      </w:r>
    </w:p>
    <w:p w14:paraId="5936CA8C">
      <w:pPr>
        <w:bidi w:val="0"/>
        <w:rPr>
          <w:rFonts w:hint="default"/>
          <w:lang w:val="en-US" w:eastAsia="zh-CN"/>
        </w:rPr>
      </w:pPr>
      <w:r>
        <w:rPr>
          <w:rFonts w:hint="default"/>
          <w:lang w:val="en-US" w:eastAsia="zh-CN"/>
        </w:rPr>
        <w:t>这份荣誉的取得，是多方同心协力的成果。学校为球队提供了坚实的保障——从优质的训练场地、科学的训练时间安排，到贴心的后勤支持与温暖的鼓励，始终是队伍最可靠的后盾。与此同时，华越体育教练团队的专业引领贯穿始终：日常训练中，他们制定了系统科学的训练计划，悉心打磨每个队员的技术细节和战术理解；比赛现场，他们沉着应战，通过精准的临场调度和及时的战术调整，帮助队员们充分发挥水平。正是在学校创造的良好环境与华越体育提供的专业指导共同滋养下，小将们才得以在赛场上尽情绽放。</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8E9F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261" w:type="dxa"/>
          </w:tcPr>
          <w:p w14:paraId="68D7F14B">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2404745" cy="1563370"/>
                  <wp:effectExtent l="0" t="0" r="14605" b="17780"/>
                  <wp:docPr id="2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IMG_256"/>
                          <pic:cNvPicPr>
                            <a:picLocks noChangeAspect="1"/>
                          </pic:cNvPicPr>
                        </pic:nvPicPr>
                        <pic:blipFill>
                          <a:blip r:embed="rId39"/>
                          <a:stretch>
                            <a:fillRect/>
                          </a:stretch>
                        </pic:blipFill>
                        <pic:spPr>
                          <a:xfrm>
                            <a:off x="0" y="0"/>
                            <a:ext cx="2404745" cy="1563370"/>
                          </a:xfrm>
                          <a:prstGeom prst="rect">
                            <a:avLst/>
                          </a:prstGeom>
                          <a:noFill/>
                          <a:ln w="9525">
                            <a:noFill/>
                          </a:ln>
                        </pic:spPr>
                      </pic:pic>
                    </a:graphicData>
                  </a:graphic>
                </wp:inline>
              </w:drawing>
            </w:r>
          </w:p>
        </w:tc>
        <w:tc>
          <w:tcPr>
            <w:tcW w:w="4261" w:type="dxa"/>
          </w:tcPr>
          <w:p w14:paraId="51459B2D">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2418080" cy="1612265"/>
                  <wp:effectExtent l="0" t="0" r="1270" b="6985"/>
                  <wp:docPr id="2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descr="IMG_256"/>
                          <pic:cNvPicPr>
                            <a:picLocks noChangeAspect="1"/>
                          </pic:cNvPicPr>
                        </pic:nvPicPr>
                        <pic:blipFill>
                          <a:blip r:embed="rId40"/>
                          <a:stretch>
                            <a:fillRect/>
                          </a:stretch>
                        </pic:blipFill>
                        <pic:spPr>
                          <a:xfrm>
                            <a:off x="0" y="0"/>
                            <a:ext cx="2418080" cy="1612265"/>
                          </a:xfrm>
                          <a:prstGeom prst="rect">
                            <a:avLst/>
                          </a:prstGeom>
                          <a:noFill/>
                          <a:ln w="9525">
                            <a:noFill/>
                          </a:ln>
                        </pic:spPr>
                      </pic:pic>
                    </a:graphicData>
                  </a:graphic>
                </wp:inline>
              </w:drawing>
            </w:r>
          </w:p>
        </w:tc>
      </w:tr>
      <w:tr w14:paraId="7CE4A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Pr>
          <w:p w14:paraId="5CA244EC">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2449195" cy="1633220"/>
                  <wp:effectExtent l="0" t="0" r="8255" b="5080"/>
                  <wp:docPr id="2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descr="IMG_256"/>
                          <pic:cNvPicPr>
                            <a:picLocks noChangeAspect="1"/>
                          </pic:cNvPicPr>
                        </pic:nvPicPr>
                        <pic:blipFill>
                          <a:blip r:embed="rId41"/>
                          <a:stretch>
                            <a:fillRect/>
                          </a:stretch>
                        </pic:blipFill>
                        <pic:spPr>
                          <a:xfrm>
                            <a:off x="0" y="0"/>
                            <a:ext cx="2449195" cy="1633220"/>
                          </a:xfrm>
                          <a:prstGeom prst="rect">
                            <a:avLst/>
                          </a:prstGeom>
                          <a:noFill/>
                          <a:ln w="9525">
                            <a:noFill/>
                          </a:ln>
                        </pic:spPr>
                      </pic:pic>
                    </a:graphicData>
                  </a:graphic>
                </wp:inline>
              </w:drawing>
            </w:r>
          </w:p>
        </w:tc>
        <w:tc>
          <w:tcPr>
            <w:tcW w:w="4261" w:type="dxa"/>
          </w:tcPr>
          <w:p w14:paraId="58CC83E6">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2517140" cy="1619885"/>
                  <wp:effectExtent l="0" t="0" r="16510" b="18415"/>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42"/>
                          <a:stretch>
                            <a:fillRect/>
                          </a:stretch>
                        </pic:blipFill>
                        <pic:spPr>
                          <a:xfrm>
                            <a:off x="0" y="0"/>
                            <a:ext cx="2517140" cy="1619885"/>
                          </a:xfrm>
                          <a:prstGeom prst="rect">
                            <a:avLst/>
                          </a:prstGeom>
                          <a:noFill/>
                          <a:ln w="9525">
                            <a:noFill/>
                          </a:ln>
                        </pic:spPr>
                      </pic:pic>
                    </a:graphicData>
                  </a:graphic>
                </wp:inline>
              </w:drawing>
            </w:r>
          </w:p>
        </w:tc>
      </w:tr>
    </w:tbl>
    <w:p w14:paraId="1BE05132">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区比赛精彩瞬间</w:t>
      </w:r>
    </w:p>
    <w:p w14:paraId="17DEB543">
      <w:pPr>
        <w:bidi w:val="0"/>
        <w:rPr>
          <w:rFonts w:hint="default"/>
          <w:lang w:val="en-US" w:eastAsia="zh-CN"/>
        </w:rPr>
      </w:pPr>
      <w:r>
        <w:rPr>
          <w:rFonts w:hint="default"/>
          <w:lang w:val="en-US" w:eastAsia="zh-CN"/>
        </w:rPr>
        <w:t>这次难忘的经历不仅为学校赢得了荣誉，更在队员们心中播下了拼搏与团队的种子。展望未来，华越体育将继续与学校紧密合作，以更专业的训练和更用心的培养，助力更多孩子实现他们的篮球梦想。</w:t>
      </w:r>
    </w:p>
    <w:p w14:paraId="0EF1605C">
      <w:pPr>
        <w:bidi w:val="0"/>
        <w:rPr>
          <w:rFonts w:hint="default"/>
          <w:lang w:val="en-US" w:eastAsia="zh-CN"/>
        </w:rPr>
      </w:pPr>
      <w:r>
        <w:rPr>
          <w:rFonts w:hint="eastAsia"/>
          <w:lang w:val="en-US" w:eastAsia="zh-CN"/>
        </w:rPr>
        <w:t>2026年1月初，</w:t>
      </w:r>
      <w:r>
        <w:rPr>
          <w:rFonts w:hint="default"/>
          <w:lang w:val="en-US" w:eastAsia="zh-CN"/>
        </w:rPr>
        <w:t>由华越体育及其旗下</w:t>
      </w:r>
      <w:r>
        <w:rPr>
          <w:rFonts w:hint="eastAsia"/>
          <w:lang w:val="en-US" w:eastAsia="zh-CN"/>
        </w:rPr>
        <w:t>“</w:t>
      </w:r>
      <w:r>
        <w:rPr>
          <w:rFonts w:hint="default"/>
          <w:lang w:val="en-US" w:eastAsia="zh-CN"/>
        </w:rPr>
        <w:t>N+</w:t>
      </w:r>
      <w:r>
        <w:rPr>
          <w:rFonts w:hint="eastAsia"/>
          <w:lang w:val="en-US" w:eastAsia="zh-CN"/>
        </w:rPr>
        <w:t>”</w:t>
      </w:r>
      <w:r>
        <w:rPr>
          <w:rFonts w:hint="default"/>
          <w:lang w:val="en-US" w:eastAsia="zh-CN"/>
        </w:rPr>
        <w:t>体育品牌协办的杭州市现代实验小学</w:t>
      </w:r>
      <w:r>
        <w:rPr>
          <w:rFonts w:hint="eastAsia"/>
          <w:lang w:val="en-US" w:eastAsia="zh-CN"/>
        </w:rPr>
        <w:t>“</w:t>
      </w:r>
      <w:r>
        <w:rPr>
          <w:rFonts w:hint="default"/>
          <w:lang w:val="en-US" w:eastAsia="zh-CN"/>
        </w:rPr>
        <w:t>小小篮球，大大梦想</w:t>
      </w:r>
      <w:r>
        <w:rPr>
          <w:rFonts w:hint="eastAsia"/>
          <w:lang w:val="en-US" w:eastAsia="zh-CN"/>
        </w:rPr>
        <w:t>”</w:t>
      </w:r>
      <w:r>
        <w:rPr>
          <w:rFonts w:hint="default"/>
          <w:lang w:val="en-US" w:eastAsia="zh-CN"/>
        </w:rPr>
        <w:t>2026新年趣味篮球嘉年华在欢声笑语中圆满落幕。本次活动创造性地将专业篮球训练与趣味亲子互动深度融合，为低年级学生及家庭呈现了一场活力四射、温情满满的体育迎新盛宴。</w:t>
      </w:r>
    </w:p>
    <w:p w14:paraId="562AC44D">
      <w:pPr>
        <w:bidi w:val="0"/>
        <w:rPr>
          <w:rFonts w:hint="default"/>
          <w:lang w:val="en-US" w:eastAsia="zh-CN"/>
        </w:rPr>
      </w:pPr>
      <w:r>
        <w:rPr>
          <w:rFonts w:hint="default"/>
          <w:lang w:val="en-US" w:eastAsia="zh-CN"/>
        </w:rPr>
        <w:t>嘉年华现场，亲子的温情、篮球的活力与成长的期待交织共鸣，共同构成了充满多巴胺的快乐现场。活动精心设计了符合各年龄段特点的趣味项目：一年级的</w:t>
      </w:r>
      <w:r>
        <w:rPr>
          <w:rFonts w:hint="eastAsia"/>
          <w:lang w:val="en-US" w:eastAsia="zh-CN"/>
        </w:rPr>
        <w:t>“</w:t>
      </w:r>
      <w:r>
        <w:rPr>
          <w:rFonts w:hint="default"/>
          <w:lang w:val="en-US" w:eastAsia="zh-CN"/>
        </w:rPr>
        <w:t>原地运球</w:t>
      </w:r>
      <w:r>
        <w:rPr>
          <w:rFonts w:hint="eastAsia"/>
          <w:lang w:val="en-US" w:eastAsia="zh-CN"/>
        </w:rPr>
        <w:t>”</w:t>
      </w:r>
      <w:r>
        <w:rPr>
          <w:rFonts w:hint="default"/>
          <w:lang w:val="en-US" w:eastAsia="zh-CN"/>
        </w:rPr>
        <w:t>萌趣十足，孩子们在游戏中初次感受控球的乐趣；二年级的</w:t>
      </w:r>
      <w:r>
        <w:rPr>
          <w:rFonts w:hint="eastAsia"/>
          <w:lang w:val="en-US" w:eastAsia="zh-CN"/>
        </w:rPr>
        <w:t>“</w:t>
      </w:r>
      <w:r>
        <w:rPr>
          <w:rFonts w:hint="default"/>
          <w:lang w:val="en-US" w:eastAsia="zh-CN"/>
        </w:rPr>
        <w:t>运球绕桩</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定点投篮</w:t>
      </w:r>
      <w:r>
        <w:rPr>
          <w:rFonts w:hint="eastAsia"/>
          <w:lang w:val="en-US" w:eastAsia="zh-CN"/>
        </w:rPr>
        <w:t>”</w:t>
      </w:r>
      <w:r>
        <w:rPr>
          <w:rFonts w:hint="default"/>
          <w:lang w:val="en-US" w:eastAsia="zh-CN"/>
        </w:rPr>
        <w:t>则巧妙融入基础技能挑战。而最为热烈的当属</w:t>
      </w:r>
      <w:r>
        <w:rPr>
          <w:rFonts w:hint="eastAsia"/>
          <w:lang w:val="en-US" w:eastAsia="zh-CN"/>
        </w:rPr>
        <w:t>“</w:t>
      </w:r>
      <w:r>
        <w:rPr>
          <w:rFonts w:hint="default"/>
          <w:lang w:val="en-US" w:eastAsia="zh-CN"/>
        </w:rPr>
        <w:t>运球接力</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接力投篮</w:t>
      </w:r>
      <w:r>
        <w:rPr>
          <w:rFonts w:hint="eastAsia"/>
          <w:lang w:val="en-US" w:eastAsia="zh-CN"/>
        </w:rPr>
        <w:t>”</w:t>
      </w:r>
      <w:r>
        <w:rPr>
          <w:rFonts w:hint="default"/>
          <w:lang w:val="en-US" w:eastAsia="zh-CN"/>
        </w:rPr>
        <w:t>两项集体项目，家长与孩子携手拼搏、加油声此起彼伏，将全场气氛推向高潮。</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1"/>
        <w:gridCol w:w="4291"/>
      </w:tblGrid>
      <w:tr w14:paraId="231A0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Pr>
          <w:p w14:paraId="25E7DC0B">
            <w:pPr>
              <w:bidi w:val="0"/>
              <w:ind w:left="0" w:leftChars="0" w:firstLine="0" w:firstLineChars="0"/>
              <w:jc w:val="center"/>
              <w:rPr>
                <w:rFonts w:hint="default"/>
                <w:vertAlign w:val="baseline"/>
                <w:lang w:val="en-US" w:eastAsia="zh-CN"/>
              </w:rPr>
            </w:pPr>
            <w:r>
              <w:rPr>
                <w:rFonts w:ascii="宋体" w:hAnsi="宋体" w:eastAsia="宋体" w:cs="宋体"/>
                <w:sz w:val="24"/>
                <w:szCs w:val="24"/>
              </w:rPr>
              <w:drawing>
                <wp:inline distT="0" distB="0" distL="114300" distR="114300">
                  <wp:extent cx="4591050" cy="3061335"/>
                  <wp:effectExtent l="0" t="0" r="0" b="5715"/>
                  <wp:docPr id="3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descr="IMG_256"/>
                          <pic:cNvPicPr>
                            <a:picLocks noChangeAspect="1"/>
                          </pic:cNvPicPr>
                        </pic:nvPicPr>
                        <pic:blipFill>
                          <a:blip r:embed="rId43"/>
                          <a:stretch>
                            <a:fillRect/>
                          </a:stretch>
                        </pic:blipFill>
                        <pic:spPr>
                          <a:xfrm>
                            <a:off x="0" y="0"/>
                            <a:ext cx="4591050" cy="3061335"/>
                          </a:xfrm>
                          <a:prstGeom prst="rect">
                            <a:avLst/>
                          </a:prstGeom>
                          <a:noFill/>
                          <a:ln w="9525">
                            <a:noFill/>
                          </a:ln>
                        </pic:spPr>
                      </pic:pic>
                    </a:graphicData>
                  </a:graphic>
                </wp:inline>
              </w:drawing>
            </w:r>
          </w:p>
        </w:tc>
      </w:tr>
      <w:tr w14:paraId="22609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Pr>
          <w:p w14:paraId="726D42EC">
            <w:pPr>
              <w:bidi w:val="0"/>
              <w:rPr>
                <w:rFonts w:hint="default"/>
                <w:vertAlign w:val="baseline"/>
                <w:lang w:val="en-US" w:eastAsia="zh-CN"/>
              </w:rPr>
            </w:pPr>
            <w:r>
              <w:rPr>
                <w:rFonts w:ascii="宋体" w:hAnsi="宋体" w:eastAsia="宋体" w:cs="宋体"/>
                <w:sz w:val="24"/>
                <w:szCs w:val="24"/>
              </w:rPr>
              <w:drawing>
                <wp:inline distT="0" distB="0" distL="114300" distR="114300">
                  <wp:extent cx="4657090" cy="3105150"/>
                  <wp:effectExtent l="0" t="0" r="10160" b="0"/>
                  <wp:docPr id="3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descr="IMG_256"/>
                          <pic:cNvPicPr>
                            <a:picLocks noChangeAspect="1"/>
                          </pic:cNvPicPr>
                        </pic:nvPicPr>
                        <pic:blipFill>
                          <a:blip r:embed="rId44"/>
                          <a:stretch>
                            <a:fillRect/>
                          </a:stretch>
                        </pic:blipFill>
                        <pic:spPr>
                          <a:xfrm>
                            <a:off x="0" y="0"/>
                            <a:ext cx="4657090" cy="3105150"/>
                          </a:xfrm>
                          <a:prstGeom prst="rect">
                            <a:avLst/>
                          </a:prstGeom>
                          <a:noFill/>
                          <a:ln w="9525">
                            <a:noFill/>
                          </a:ln>
                        </pic:spPr>
                      </pic:pic>
                    </a:graphicData>
                  </a:graphic>
                </wp:inline>
              </w:drawing>
            </w:r>
          </w:p>
        </w:tc>
      </w:tr>
      <w:tr w14:paraId="6E495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31" w:type="dxa"/>
          </w:tcPr>
          <w:p w14:paraId="7867E26E">
            <w:pPr>
              <w:bidi w:val="0"/>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2566035" cy="2045335"/>
                  <wp:effectExtent l="0" t="0" r="5715" b="12065"/>
                  <wp:docPr id="3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IMG_256"/>
                          <pic:cNvPicPr>
                            <a:picLocks noChangeAspect="1"/>
                          </pic:cNvPicPr>
                        </pic:nvPicPr>
                        <pic:blipFill>
                          <a:blip r:embed="rId45"/>
                          <a:stretch>
                            <a:fillRect/>
                          </a:stretch>
                        </pic:blipFill>
                        <pic:spPr>
                          <a:xfrm>
                            <a:off x="0" y="0"/>
                            <a:ext cx="2566035" cy="2045335"/>
                          </a:xfrm>
                          <a:prstGeom prst="rect">
                            <a:avLst/>
                          </a:prstGeom>
                          <a:noFill/>
                          <a:ln w="9525">
                            <a:noFill/>
                          </a:ln>
                        </pic:spPr>
                      </pic:pic>
                    </a:graphicData>
                  </a:graphic>
                </wp:inline>
              </w:drawing>
            </w:r>
          </w:p>
        </w:tc>
        <w:tc>
          <w:tcPr>
            <w:tcW w:w="4291" w:type="dxa"/>
          </w:tcPr>
          <w:p w14:paraId="69B1E561">
            <w:pPr>
              <w:bidi w:val="0"/>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2599055" cy="2037715"/>
                  <wp:effectExtent l="0" t="0" r="10795" b="635"/>
                  <wp:docPr id="3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descr="IMG_256"/>
                          <pic:cNvPicPr>
                            <a:picLocks noChangeAspect="1"/>
                          </pic:cNvPicPr>
                        </pic:nvPicPr>
                        <pic:blipFill>
                          <a:blip r:embed="rId46"/>
                          <a:stretch>
                            <a:fillRect/>
                          </a:stretch>
                        </pic:blipFill>
                        <pic:spPr>
                          <a:xfrm>
                            <a:off x="0" y="0"/>
                            <a:ext cx="2599055" cy="2037715"/>
                          </a:xfrm>
                          <a:prstGeom prst="rect">
                            <a:avLst/>
                          </a:prstGeom>
                          <a:noFill/>
                          <a:ln w="9525">
                            <a:noFill/>
                          </a:ln>
                        </pic:spPr>
                      </pic:pic>
                    </a:graphicData>
                  </a:graphic>
                </wp:inline>
              </w:drawing>
            </w:r>
          </w:p>
        </w:tc>
      </w:tr>
    </w:tbl>
    <w:p w14:paraId="1953498F">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趣味嘉年华</w:t>
      </w:r>
    </w:p>
    <w:p w14:paraId="31B95B65">
      <w:pPr>
        <w:bidi w:val="0"/>
        <w:rPr>
          <w:rFonts w:hint="default"/>
          <w:lang w:val="en-US" w:eastAsia="zh-CN"/>
        </w:rPr>
      </w:pPr>
      <w:r>
        <w:rPr>
          <w:rFonts w:hint="default"/>
          <w:lang w:val="en-US" w:eastAsia="zh-CN"/>
        </w:rPr>
        <w:t>此次活动远不止于一场欢乐的聚会，更是一堂生动的体育教育实践课。将运球、投篮等篮球基本功转化为趣味盎然的互动游戏，让小球员们在玩乐中自然提升技能，在团队协作中学会包容与沟通，在一次次的尝试中积累自信与抗挫力，生动诠释了享受乐趣、增强体质、健全人格、锤炼意志的育人内涵。</w:t>
      </w:r>
    </w:p>
    <w:p w14:paraId="0EEDDD8B">
      <w:pPr>
        <w:bidi w:val="0"/>
        <w:rPr>
          <w:rFonts w:hint="default"/>
          <w:lang w:val="en-US" w:eastAsia="zh-CN"/>
        </w:rPr>
      </w:pPr>
      <w:r>
        <w:rPr>
          <w:rFonts w:hint="default"/>
          <w:lang w:val="en-US" w:eastAsia="zh-CN"/>
        </w:rPr>
        <w:t>尤为珍贵的是，本次活动搭建了亲子情感连接的特别桥梁。爸爸妈妈们放下繁忙，全身心投入孩子的游戏世界，在协作中重温童真，在鼓励中见证成长。这种沉浸式的陪伴，让体育超越了简单的身体锻炼，成为凝聚家庭温情、促进亲子理解的重要纽带。</w:t>
      </w:r>
    </w:p>
    <w:p w14:paraId="32C11507">
      <w:pPr>
        <w:bidi w:val="0"/>
        <w:rPr>
          <w:rFonts w:hint="default"/>
          <w:lang w:val="en-US" w:eastAsia="zh-CN"/>
        </w:rPr>
      </w:pPr>
      <w:r>
        <w:rPr>
          <w:rFonts w:hint="default"/>
          <w:lang w:val="en-US" w:eastAsia="zh-CN"/>
        </w:rPr>
        <w:t>这正是</w:t>
      </w:r>
      <w:r>
        <w:rPr>
          <w:rFonts w:hint="eastAsia"/>
          <w:lang w:val="en-US" w:eastAsia="zh-CN"/>
        </w:rPr>
        <w:t>“</w:t>
      </w:r>
      <w:r>
        <w:rPr>
          <w:rFonts w:hint="default"/>
          <w:lang w:val="en-US" w:eastAsia="zh-CN"/>
        </w:rPr>
        <w:t>N+</w:t>
      </w:r>
      <w:r>
        <w:rPr>
          <w:rFonts w:hint="eastAsia"/>
          <w:lang w:val="en-US" w:eastAsia="zh-CN"/>
        </w:rPr>
        <w:t>”</w:t>
      </w:r>
      <w:r>
        <w:rPr>
          <w:rFonts w:hint="default"/>
          <w:lang w:val="en-US" w:eastAsia="zh-CN"/>
        </w:rPr>
        <w:t>体育品牌持续打造高品质校园体育活动的初心与追求：让每一场运动都成为孩子成长路上的宝贵一课，让体育所蕴含的团队精神、拼搏意识和乐观态度，真正融入孩子们的日常生活。未来，华越体育与</w:t>
      </w:r>
      <w:r>
        <w:rPr>
          <w:rFonts w:hint="eastAsia"/>
          <w:lang w:val="en-US" w:eastAsia="zh-CN"/>
        </w:rPr>
        <w:t>“</w:t>
      </w:r>
      <w:r>
        <w:rPr>
          <w:rFonts w:hint="default"/>
          <w:lang w:val="en-US" w:eastAsia="zh-CN"/>
        </w:rPr>
        <w:t>N+</w:t>
      </w:r>
      <w:r>
        <w:rPr>
          <w:rFonts w:hint="eastAsia"/>
          <w:lang w:val="en-US" w:eastAsia="zh-CN"/>
        </w:rPr>
        <w:t>”</w:t>
      </w:r>
      <w:r>
        <w:rPr>
          <w:rFonts w:hint="default"/>
          <w:lang w:val="en-US" w:eastAsia="zh-CN"/>
        </w:rPr>
        <w:t>品牌将继续携手现代实验小学，设计开展更多寓教于乐、亲子同行的体育活动，让运动的快乐持续滋养每一个孩子的童年。</w:t>
      </w:r>
    </w:p>
    <w:p w14:paraId="262C2BAE">
      <w:pPr>
        <w:pStyle w:val="3"/>
        <w:numPr>
          <w:ilvl w:val="0"/>
          <w:numId w:val="4"/>
        </w:numPr>
        <w:bidi w:val="0"/>
        <w:ind w:left="0" w:leftChars="0" w:firstLine="567" w:firstLineChars="0"/>
        <w:rPr>
          <w:rFonts w:hint="eastAsia"/>
          <w:lang w:val="en-US" w:eastAsia="zh-CN"/>
        </w:rPr>
      </w:pPr>
      <w:bookmarkStart w:id="7" w:name="_Toc22889"/>
      <w:r>
        <w:rPr>
          <w:rFonts w:hint="eastAsia"/>
          <w:lang w:val="en-US" w:eastAsia="zh-CN"/>
        </w:rPr>
        <w:t>学员数据分析</w:t>
      </w:r>
      <w:bookmarkEnd w:id="7"/>
    </w:p>
    <w:p w14:paraId="16BBD552">
      <w:pPr>
        <w:bidi w:val="0"/>
        <w:rPr>
          <w:rFonts w:hint="default"/>
          <w:lang w:val="en-US" w:eastAsia="zh-CN"/>
        </w:rPr>
      </w:pPr>
      <w:r>
        <w:rPr>
          <w:rFonts w:hint="default"/>
          <w:lang w:val="en-US" w:eastAsia="zh-CN"/>
        </w:rPr>
        <w:t>本学期，华越体育依托数字化管理平台，对合作学校篮球课程的运行数据进行了系统梳理与分析。在确保数据真实、完整、可溯的前提下，聚焦学员参与、课堂实施、成长轨迹等核心维度，力求以客观视角呈现服务成效，为后续教学优化与家校协同提供依据。以下从年级分布、新老学员结构、稳定性等方面展开简要分析</w:t>
      </w:r>
      <w:r>
        <w:rPr>
          <w:rFonts w:hint="eastAsia"/>
          <w:lang w:val="en-US" w:eastAsia="zh-CN"/>
        </w:rPr>
        <w:t>。</w:t>
      </w:r>
    </w:p>
    <w:p w14:paraId="185E41E9">
      <w:pPr>
        <w:bidi w:val="0"/>
        <w:rPr>
          <w:rFonts w:hint="default"/>
          <w:sz w:val="21"/>
          <w:szCs w:val="21"/>
          <w:lang w:val="en-US" w:eastAsia="zh-CN"/>
        </w:rPr>
      </w:pPr>
      <w:r>
        <w:rPr>
          <w:rFonts w:hint="eastAsia"/>
          <w:sz w:val="21"/>
          <w:szCs w:val="21"/>
          <w:lang w:val="en-US" w:eastAsia="zh-CN"/>
        </w:rPr>
        <w:t>（注：以下数据采集时间为：2025.9.1~2026.1.9）</w:t>
      </w:r>
    </w:p>
    <w:p w14:paraId="1B1CA05E">
      <w:pPr>
        <w:pStyle w:val="4"/>
        <w:numPr>
          <w:ilvl w:val="0"/>
          <w:numId w:val="5"/>
        </w:numPr>
        <w:bidi w:val="0"/>
        <w:ind w:left="0" w:leftChars="0" w:firstLine="567" w:firstLineChars="0"/>
        <w:rPr>
          <w:rFonts w:hint="default"/>
          <w:lang w:val="en-US" w:eastAsia="zh-CN"/>
        </w:rPr>
      </w:pPr>
      <w:r>
        <w:rPr>
          <w:rFonts w:hint="eastAsia"/>
          <w:lang w:val="en-US" w:eastAsia="zh-CN"/>
        </w:rPr>
        <w:t>年级分布</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60"/>
      </w:tblGrid>
      <w:tr w14:paraId="5BA26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2" w:hRule="atLeast"/>
          <w:jc w:val="center"/>
        </w:trPr>
        <w:tc>
          <w:tcPr>
            <w:tcW w:w="7260" w:type="dxa"/>
          </w:tcPr>
          <w:p w14:paraId="59075BB5">
            <w:pPr>
              <w:ind w:left="0" w:leftChars="0" w:firstLine="0" w:firstLineChars="0"/>
              <w:jc w:val="center"/>
              <w:rPr>
                <w:rFonts w:hint="default"/>
                <w:vertAlign w:val="baseline"/>
                <w:lang w:val="en-US" w:eastAsia="zh-CN"/>
              </w:rPr>
            </w:pPr>
            <w:r>
              <w:drawing>
                <wp:inline distT="0" distB="0" distL="114300" distR="114300">
                  <wp:extent cx="3545840" cy="2823210"/>
                  <wp:effectExtent l="0" t="0" r="16510" b="1524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47"/>
                          <a:stretch>
                            <a:fillRect/>
                          </a:stretch>
                        </pic:blipFill>
                        <pic:spPr>
                          <a:xfrm>
                            <a:off x="0" y="0"/>
                            <a:ext cx="3545840" cy="2823210"/>
                          </a:xfrm>
                          <a:prstGeom prst="rect">
                            <a:avLst/>
                          </a:prstGeom>
                          <a:noFill/>
                          <a:ln>
                            <a:noFill/>
                          </a:ln>
                        </pic:spPr>
                      </pic:pic>
                    </a:graphicData>
                  </a:graphic>
                </wp:inline>
              </w:drawing>
            </w:r>
          </w:p>
        </w:tc>
      </w:tr>
    </w:tbl>
    <w:p w14:paraId="7C456ACB">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年级分布</w:t>
      </w:r>
    </w:p>
    <w:p w14:paraId="31EF95C2">
      <w:pPr>
        <w:rPr>
          <w:rFonts w:hint="default"/>
          <w:lang w:val="en-US" w:eastAsia="zh-CN"/>
        </w:rPr>
      </w:pPr>
      <w:r>
        <w:rPr>
          <w:rFonts w:hint="default"/>
          <w:lang w:val="en-US" w:eastAsia="zh-CN"/>
        </w:rPr>
        <w:t>本</w:t>
      </w:r>
      <w:r>
        <w:rPr>
          <w:rFonts w:hint="eastAsia"/>
          <w:lang w:val="en-US" w:eastAsia="zh-CN"/>
        </w:rPr>
        <w:t>学期</w:t>
      </w:r>
      <w:r>
        <w:rPr>
          <w:rFonts w:hint="default"/>
          <w:lang w:val="en-US" w:eastAsia="zh-CN"/>
        </w:rPr>
        <w:t>学员年级分布数据呈现高年级主导、中段坚实、入口明确的良性梯队结构，充分体现了课程强大的学员粘性与可持续发展潜力。</w:t>
      </w:r>
    </w:p>
    <w:p w14:paraId="7A89042E">
      <w:pPr>
        <w:rPr>
          <w:rFonts w:hint="default"/>
          <w:lang w:val="en-US" w:eastAsia="zh-CN"/>
        </w:rPr>
      </w:pPr>
      <w:r>
        <w:rPr>
          <w:rFonts w:hint="default"/>
          <w:lang w:val="en-US" w:eastAsia="zh-CN"/>
        </w:rPr>
        <w:t>从整体格局看，六年级学员以29.31%的绝对占比成为课程的绝对核心，这强有力地证明了课程具备卓越的学员留存能力与长期吸引力，能够将初学者稳定培养为深度参与者与中坚力量。中年级（三、四年级）学员合计占比达39.65%，构成了规模最大、最为活跃的骨干群体，显示课程在小学关键学段拥有强大的号召力与扎实的学员基础。二年级（17.24%）与五年级（12.07%）学员的稳定参与，进一步巩固了梯队衔接。</w:t>
      </w:r>
    </w:p>
    <w:p w14:paraId="78770042">
      <w:pPr>
        <w:rPr>
          <w:rFonts w:hint="default"/>
          <w:lang w:val="en-US" w:eastAsia="zh-CN"/>
        </w:rPr>
      </w:pPr>
      <w:r>
        <w:rPr>
          <w:rFonts w:hint="default"/>
          <w:lang w:val="en-US" w:eastAsia="zh-CN"/>
        </w:rPr>
        <w:t>数据揭示了一个健康、可持续的内部晋升与留存路径。当前的年级分布并非简单的生源集中，而是学员逐年沉淀</w:t>
      </w:r>
      <w:r>
        <w:rPr>
          <w:rFonts w:hint="eastAsia"/>
          <w:lang w:val="en-US" w:eastAsia="zh-CN"/>
        </w:rPr>
        <w:t>至</w:t>
      </w:r>
      <w:r>
        <w:rPr>
          <w:rFonts w:hint="default"/>
          <w:lang w:val="en-US" w:eastAsia="zh-CN"/>
        </w:rPr>
        <w:t>深度参与这一成功过程的自然结果。它清晰地表明，学员自低年级加入后，能长期保持兴趣并持续参与，最终在毕业年级形成参与高峰。这标志着课程成功构建了从兴趣导入到习惯养成再到深度热爱的完整培养闭环。扎实的中低年级基础为课程提供了稳定的人才输送，而高年级（尤其是六年级）的卓越表现与高占比，又形成了强大的榜样效应与口碑，共同构成了课程生命力与影响力的基石。</w:t>
      </w:r>
    </w:p>
    <w:p w14:paraId="594B28BA">
      <w:pPr>
        <w:rPr>
          <w:rFonts w:hint="default"/>
          <w:lang w:val="en-US" w:eastAsia="zh-CN"/>
        </w:rPr>
      </w:pPr>
      <w:r>
        <w:rPr>
          <w:rFonts w:hint="default"/>
          <w:lang w:val="en-US" w:eastAsia="zh-CN"/>
        </w:rPr>
        <w:t>综上所述，当前以高年级引领、各年级紧密衔接的学员结构，是课程质量、吸引力与学员高度认同的直接证明。未来，在持续优化各年级教学体验、巩固高年级参与热情的同时，可进一步做好新生端的引导与培育，确保这一健康、积极的学员发展脉络得以延续和强化。</w:t>
      </w:r>
    </w:p>
    <w:p w14:paraId="482D38F3">
      <w:pPr>
        <w:pStyle w:val="4"/>
        <w:numPr>
          <w:ilvl w:val="0"/>
          <w:numId w:val="5"/>
        </w:numPr>
        <w:bidi w:val="0"/>
        <w:ind w:left="0" w:leftChars="0" w:firstLine="567" w:firstLineChars="0"/>
        <w:rPr>
          <w:rFonts w:hint="default"/>
          <w:lang w:val="en-US" w:eastAsia="zh-CN"/>
        </w:rPr>
      </w:pPr>
      <w:r>
        <w:rPr>
          <w:rFonts w:hint="eastAsia"/>
          <w:lang w:val="en-US" w:eastAsia="zh-CN"/>
        </w:rPr>
        <w:t>课程类型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4319A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223F865">
            <w:pPr>
              <w:ind w:left="0" w:leftChars="0" w:firstLine="0" w:firstLineChars="0"/>
              <w:jc w:val="center"/>
              <w:rPr>
                <w:rFonts w:hint="default"/>
                <w:vertAlign w:val="baseline"/>
                <w:lang w:val="en-US" w:eastAsia="zh-CN"/>
              </w:rPr>
            </w:pPr>
            <w:r>
              <w:drawing>
                <wp:inline distT="0" distB="0" distL="114300" distR="114300">
                  <wp:extent cx="4905375" cy="2819400"/>
                  <wp:effectExtent l="0" t="0" r="9525" b="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48"/>
                          <a:stretch>
                            <a:fillRect/>
                          </a:stretch>
                        </pic:blipFill>
                        <pic:spPr>
                          <a:xfrm>
                            <a:off x="0" y="0"/>
                            <a:ext cx="4905375" cy="2819400"/>
                          </a:xfrm>
                          <a:prstGeom prst="rect">
                            <a:avLst/>
                          </a:prstGeom>
                          <a:noFill/>
                          <a:ln>
                            <a:noFill/>
                          </a:ln>
                        </pic:spPr>
                      </pic:pic>
                    </a:graphicData>
                  </a:graphic>
                </wp:inline>
              </w:drawing>
            </w:r>
          </w:p>
        </w:tc>
      </w:tr>
    </w:tbl>
    <w:p w14:paraId="2C74B117">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课程类型</w:t>
      </w:r>
      <w:r>
        <w:rPr>
          <w:rFonts w:hint="eastAsia"/>
          <w:lang w:val="en-US" w:eastAsia="zh-CN"/>
        </w:rPr>
        <w:t>学员分布</w:t>
      </w:r>
    </w:p>
    <w:p w14:paraId="77518A66">
      <w:pPr>
        <w:rPr>
          <w:rFonts w:hint="default"/>
          <w:sz w:val="21"/>
          <w:szCs w:val="21"/>
          <w:lang w:val="en-US" w:eastAsia="zh-CN"/>
        </w:rPr>
      </w:pPr>
      <w:r>
        <w:rPr>
          <w:rFonts w:hint="eastAsia"/>
          <w:sz w:val="21"/>
          <w:szCs w:val="21"/>
          <w:lang w:val="en-US" w:eastAsia="zh-CN"/>
        </w:rPr>
        <w:t>（注：仅统计平台缴费学员）</w:t>
      </w:r>
    </w:p>
    <w:p w14:paraId="66AE3C0C">
      <w:pPr>
        <w:rPr>
          <w:rFonts w:hint="default"/>
          <w:lang w:val="en-US" w:eastAsia="zh-CN"/>
        </w:rPr>
      </w:pPr>
      <w:r>
        <w:rPr>
          <w:rFonts w:hint="default"/>
          <w:lang w:val="en-US" w:eastAsia="zh-CN"/>
        </w:rPr>
        <w:t>本期课程类型显示，课程结构呈现出普及与提高并重、基础与精英协同的健康发展格局，梯队培养体系层次清晰、配比科学。</w:t>
      </w:r>
    </w:p>
    <w:p w14:paraId="798F4C4F">
      <w:pPr>
        <w:rPr>
          <w:rFonts w:hint="default"/>
          <w:lang w:val="en-US" w:eastAsia="zh-CN"/>
        </w:rPr>
      </w:pPr>
      <w:r>
        <w:rPr>
          <w:rFonts w:hint="default"/>
          <w:lang w:val="en-US" w:eastAsia="zh-CN"/>
        </w:rPr>
        <w:t>从整体构成来看，课程在类型设计上兼顾了广度与深度，形成了以梯队课程为主体、以校队课程为引领的有机整体。其中梯队课程学员</w:t>
      </w:r>
      <w:r>
        <w:rPr>
          <w:rFonts w:hint="eastAsia"/>
          <w:lang w:val="en-US" w:eastAsia="zh-CN"/>
        </w:rPr>
        <w:t>（含一年级校队预备班）</w:t>
      </w:r>
      <w:r>
        <w:rPr>
          <w:rFonts w:hint="default"/>
          <w:lang w:val="en-US" w:eastAsia="zh-CN"/>
        </w:rPr>
        <w:t>占总人数的56.9%，构成了课程的坚实基座，其主要目标是面向更广泛的学生群体，进行篮球兴趣的激发、基本技能的培养和运动习惯的养成，确保课程的普及性与参与面。与此同时，校队课程学员占比达到43.1%，这一显著比例充分体现了课程体系在提高层面的深度布局。校队作为竞技水平的集中代表和精英学员的汇聚平台，其较高的参与度不仅反映了学员们追求卓越、精进球技的强烈意愿，也证明了课程体系成功实现了从兴趣启蒙到专业深造的衔接，能够承接并满足学员的进阶需求。</w:t>
      </w:r>
    </w:p>
    <w:p w14:paraId="13991CB6">
      <w:pPr>
        <w:rPr>
          <w:rFonts w:hint="default"/>
          <w:lang w:val="en-US" w:eastAsia="zh-CN"/>
        </w:rPr>
      </w:pPr>
      <w:r>
        <w:rPr>
          <w:rFonts w:hint="default"/>
          <w:lang w:val="en-US" w:eastAsia="zh-CN"/>
        </w:rPr>
        <w:t>这种梯队夯实基础，校队树立标杆的结构，共同支撑起了篮球课程可持续发展的完整生态。它既保障了大多数学生享受运动乐趣、增强体质的基础性目标，又为有天赋、有热情的学生提供了向上发展、挑战自我的专业化通道，生动诠释了课程体系</w:t>
      </w:r>
      <w:r>
        <w:rPr>
          <w:rFonts w:hint="eastAsia"/>
          <w:lang w:val="en-US" w:eastAsia="zh-CN"/>
        </w:rPr>
        <w:t>“</w:t>
      </w:r>
      <w:r>
        <w:rPr>
          <w:rFonts w:hint="default"/>
          <w:lang w:val="en-US" w:eastAsia="zh-CN"/>
        </w:rPr>
        <w:t>普及中孕育提高，在提高中带动普及</w:t>
      </w:r>
      <w:r>
        <w:rPr>
          <w:rFonts w:hint="eastAsia"/>
          <w:lang w:val="en-US" w:eastAsia="zh-CN"/>
        </w:rPr>
        <w:t>”</w:t>
      </w:r>
      <w:r>
        <w:rPr>
          <w:rFonts w:hint="default"/>
          <w:lang w:val="en-US" w:eastAsia="zh-CN"/>
        </w:rPr>
        <w:t>的核心设计理念，为学校体育人才的系统化培养与篮球特色文化的形成提供了有力支撑</w:t>
      </w:r>
      <w:r>
        <w:rPr>
          <w:rFonts w:hint="eastAsia"/>
          <w:lang w:val="en-US" w:eastAsia="zh-CN"/>
        </w:rPr>
        <w:t>。</w:t>
      </w:r>
    </w:p>
    <w:p w14:paraId="5DDE3B3D">
      <w:pPr>
        <w:pStyle w:val="4"/>
        <w:numPr>
          <w:ilvl w:val="0"/>
          <w:numId w:val="5"/>
        </w:numPr>
        <w:bidi w:val="0"/>
        <w:ind w:left="0" w:leftChars="0" w:firstLine="567" w:firstLineChars="0"/>
        <w:rPr>
          <w:rFonts w:hint="default"/>
          <w:lang w:val="en-US" w:eastAsia="zh-CN"/>
        </w:rPr>
      </w:pPr>
      <w:r>
        <w:rPr>
          <w:rFonts w:hint="eastAsia"/>
          <w:lang w:val="en-US" w:eastAsia="zh-CN"/>
        </w:rPr>
        <w:t>新老学员情况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A4BC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tcPr>
          <w:p w14:paraId="28EC06D5">
            <w:pPr>
              <w:bidi w:val="0"/>
              <w:ind w:left="0" w:leftChars="0" w:firstLine="0" w:firstLineChars="0"/>
              <w:jc w:val="center"/>
              <w:rPr>
                <w:rFonts w:hint="default"/>
                <w:vertAlign w:val="baseline"/>
                <w:lang w:val="en-US" w:eastAsia="zh-CN"/>
              </w:rPr>
            </w:pPr>
            <w:bookmarkStart w:id="16" w:name="_GoBack"/>
            <w:r>
              <w:drawing>
                <wp:inline distT="0" distB="0" distL="114300" distR="114300">
                  <wp:extent cx="5272405" cy="3063875"/>
                  <wp:effectExtent l="0" t="0" r="4445" b="317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9"/>
                          <a:stretch>
                            <a:fillRect/>
                          </a:stretch>
                        </pic:blipFill>
                        <pic:spPr>
                          <a:xfrm>
                            <a:off x="0" y="0"/>
                            <a:ext cx="5272405" cy="3063875"/>
                          </a:xfrm>
                          <a:prstGeom prst="rect">
                            <a:avLst/>
                          </a:prstGeom>
                          <a:noFill/>
                          <a:ln>
                            <a:noFill/>
                          </a:ln>
                        </pic:spPr>
                      </pic:pic>
                    </a:graphicData>
                  </a:graphic>
                </wp:inline>
              </w:drawing>
            </w:r>
            <w:bookmarkEnd w:id="16"/>
          </w:p>
        </w:tc>
      </w:tr>
      <w:tr w14:paraId="264C2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D681184">
            <w:pPr>
              <w:bidi w:val="0"/>
              <w:ind w:left="0" w:leftChars="0" w:firstLine="0" w:firstLineChars="0"/>
              <w:jc w:val="center"/>
              <w:rPr>
                <w:rFonts w:hint="eastAsia" w:eastAsia="华文仿宋"/>
                <w:lang w:val="en-US" w:eastAsia="zh-CN"/>
              </w:rPr>
            </w:pPr>
            <w:r>
              <w:drawing>
                <wp:inline distT="0" distB="0" distL="114300" distR="114300">
                  <wp:extent cx="5265420" cy="2660015"/>
                  <wp:effectExtent l="0" t="0" r="11430" b="698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50"/>
                          <a:stretch>
                            <a:fillRect/>
                          </a:stretch>
                        </pic:blipFill>
                        <pic:spPr>
                          <a:xfrm>
                            <a:off x="0" y="0"/>
                            <a:ext cx="5265420" cy="2660015"/>
                          </a:xfrm>
                          <a:prstGeom prst="rect">
                            <a:avLst/>
                          </a:prstGeom>
                          <a:noFill/>
                          <a:ln>
                            <a:noFill/>
                          </a:ln>
                        </pic:spPr>
                      </pic:pic>
                    </a:graphicData>
                  </a:graphic>
                </wp:inline>
              </w:drawing>
            </w:r>
          </w:p>
        </w:tc>
      </w:tr>
    </w:tbl>
    <w:p w14:paraId="776594EF">
      <w:pPr>
        <w:pStyle w:val="5"/>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新老学员分布</w:t>
      </w:r>
    </w:p>
    <w:p w14:paraId="60C0DF29">
      <w:pPr>
        <w:bidi w:val="0"/>
        <w:rPr>
          <w:rFonts w:hint="eastAsia"/>
          <w:lang w:eastAsia="zh-CN"/>
        </w:rPr>
      </w:pPr>
      <w:r>
        <w:rPr>
          <w:rFonts w:hint="eastAsia"/>
          <w:sz w:val="21"/>
          <w:szCs w:val="21"/>
          <w:lang w:val="en-US" w:eastAsia="zh-CN"/>
        </w:rPr>
        <w:t>（注：因存在个别学员同一学期多节课报名情况，故人次统计与人数统计存在部分出入。）</w:t>
      </w:r>
    </w:p>
    <w:p w14:paraId="1C934007">
      <w:pPr>
        <w:bidi w:val="0"/>
        <w:rPr>
          <w:rFonts w:hint="default"/>
          <w:lang w:val="en-US" w:eastAsia="zh-CN"/>
        </w:rPr>
      </w:pPr>
      <w:r>
        <w:rPr>
          <w:rFonts w:hint="eastAsia"/>
          <w:lang w:val="en-US" w:eastAsia="zh-CN"/>
        </w:rPr>
        <w:t>根据</w:t>
      </w:r>
      <w:r>
        <w:rPr>
          <w:rFonts w:hint="default"/>
          <w:lang w:val="en-US" w:eastAsia="zh-CN"/>
        </w:rPr>
        <w:t>数据分析</w:t>
      </w:r>
      <w:r>
        <w:rPr>
          <w:rFonts w:hint="eastAsia"/>
          <w:lang w:val="en-US" w:eastAsia="zh-CN"/>
        </w:rPr>
        <w:t>所示</w:t>
      </w:r>
      <w:r>
        <w:rPr>
          <w:rFonts w:hint="default"/>
          <w:lang w:val="en-US" w:eastAsia="zh-CN"/>
        </w:rPr>
        <w:t>，课程体系在学员留存与梯队衔接方面表现突出，形成了核心班级高度稳定、全年级覆盖基本盘扎实的良性结构。老学员整体占比为5</w:t>
      </w:r>
      <w:r>
        <w:rPr>
          <w:rFonts w:hint="eastAsia"/>
          <w:lang w:val="en-US" w:eastAsia="zh-CN"/>
        </w:rPr>
        <w:t>5</w:t>
      </w:r>
      <w:r>
        <w:rPr>
          <w:rFonts w:hint="default"/>
          <w:lang w:val="en-US" w:eastAsia="zh-CN"/>
        </w:rPr>
        <w:t>.</w:t>
      </w:r>
      <w:r>
        <w:rPr>
          <w:rFonts w:hint="eastAsia"/>
          <w:lang w:val="en-US" w:eastAsia="zh-CN"/>
        </w:rPr>
        <w:t>17</w:t>
      </w:r>
      <w:r>
        <w:rPr>
          <w:rFonts w:hint="default"/>
          <w:lang w:val="en-US" w:eastAsia="zh-CN"/>
        </w:rPr>
        <w:t>%，表明超过半数学员为持续参与课程的忠实学员，课程具备强大的吸引力与用户粘性。</w:t>
      </w:r>
    </w:p>
    <w:p w14:paraId="6B2E5A59">
      <w:pPr>
        <w:bidi w:val="0"/>
        <w:rPr>
          <w:rFonts w:hint="default"/>
          <w:lang w:val="en-US" w:eastAsia="zh-CN"/>
        </w:rPr>
      </w:pPr>
      <w:r>
        <w:rPr>
          <w:rFonts w:hint="default"/>
          <w:lang w:val="en-US" w:eastAsia="zh-CN"/>
        </w:rPr>
        <w:t>从课程维度看，核心班级的学员构成极为稳定，奠定了体系的压舱石作用。作为竞技水平代表的现代实验男子校队班，其18名学员为老学员，占比</w:t>
      </w:r>
      <w:r>
        <w:rPr>
          <w:rFonts w:hint="eastAsia"/>
          <w:lang w:val="en-US" w:eastAsia="zh-CN"/>
        </w:rPr>
        <w:t>接近</w:t>
      </w:r>
      <w:r>
        <w:rPr>
          <w:rFonts w:hint="default"/>
          <w:lang w:val="en-US" w:eastAsia="zh-CN"/>
        </w:rPr>
        <w:t>100%，这强有力地证明了校队训练的专业性与成就感能深度维系学员，形成了极其稳定的核心力量。梯队班与女子校队班则在新老学员搭配上更为均衡，承担了吸引新生和培养梯队的功能。</w:t>
      </w:r>
    </w:p>
    <w:p w14:paraId="300B97D6">
      <w:pPr>
        <w:bidi w:val="0"/>
        <w:rPr>
          <w:rFonts w:hint="default"/>
          <w:lang w:val="en-US" w:eastAsia="zh-CN"/>
        </w:rPr>
      </w:pPr>
      <w:r>
        <w:rPr>
          <w:rFonts w:hint="default"/>
          <w:lang w:val="en-US" w:eastAsia="zh-CN"/>
        </w:rPr>
        <w:t>从年级维度看，老学员在各关键年级均形成了扎实的留存基础，保障了人才培养的连贯性。二、三年级作为承上启下的关键学段，构成了稳定且活跃的中段力量。高年级（四、五、六年级）保持了可观的老学员规模，确保在全</w:t>
      </w:r>
      <w:r>
        <w:rPr>
          <w:rFonts w:hint="eastAsia"/>
          <w:lang w:val="en-US" w:eastAsia="zh-CN"/>
        </w:rPr>
        <w:t>学龄</w:t>
      </w:r>
      <w:r>
        <w:rPr>
          <w:rFonts w:hint="default"/>
          <w:lang w:val="en-US" w:eastAsia="zh-CN"/>
        </w:rPr>
        <w:t>段均有具备一定基础的学员持续参与，使得篮球人才培养不断线。</w:t>
      </w:r>
    </w:p>
    <w:p w14:paraId="4BAF121E">
      <w:pPr>
        <w:bidi w:val="0"/>
        <w:rPr>
          <w:rFonts w:hint="default"/>
          <w:lang w:val="en-US" w:eastAsia="zh-CN"/>
        </w:rPr>
      </w:pPr>
      <w:r>
        <w:rPr>
          <w:rFonts w:hint="default"/>
          <w:lang w:val="en-US" w:eastAsia="zh-CN"/>
        </w:rPr>
        <w:t>综上所述，当前以校队班和预备班为稳定核心、各年级老学员广泛分布的结构，是课程体系成熟与专业性的集中体现。它既保证了竞技水平的高标准与传承，又为各年级学员的持续成长提供了清晰路径，为学校篮球特色的长期发展构建了坚实的人才基础。未来，可在巩固现有优势的基础上，着重关注中间年级（如四年级）的学员留存与转化，使各年级的梯队衔接更为紧密和均衡。</w:t>
      </w:r>
    </w:p>
    <w:p w14:paraId="07BD8099">
      <w:pPr>
        <w:pStyle w:val="2"/>
        <w:keepNext/>
        <w:keepLines/>
        <w:pageBreakBefore w:val="0"/>
        <w:widowControl/>
        <w:numPr>
          <w:ilvl w:val="0"/>
          <w:numId w:val="3"/>
        </w:numPr>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bookmarkStart w:id="8" w:name="_Toc31788"/>
      <w:r>
        <w:rPr>
          <w:rFonts w:hint="eastAsia"/>
          <w:lang w:val="en-US" w:eastAsia="zh-CN"/>
        </w:rPr>
        <w:t>课程成效</w:t>
      </w:r>
      <w:bookmarkEnd w:id="8"/>
    </w:p>
    <w:p w14:paraId="74B66B72">
      <w:pPr>
        <w:pStyle w:val="3"/>
        <w:numPr>
          <w:ilvl w:val="0"/>
          <w:numId w:val="6"/>
        </w:numPr>
        <w:bidi w:val="0"/>
        <w:ind w:left="0" w:leftChars="0" w:firstLine="567" w:firstLineChars="0"/>
        <w:rPr>
          <w:rFonts w:hint="default"/>
          <w:lang w:val="en-US" w:eastAsia="zh-CN"/>
        </w:rPr>
      </w:pPr>
      <w:bookmarkStart w:id="9" w:name="_Toc9824"/>
      <w:r>
        <w:rPr>
          <w:rFonts w:hint="eastAsia"/>
          <w:lang w:val="en-US" w:eastAsia="zh-CN"/>
        </w:rPr>
        <w:t>成果量化</w:t>
      </w:r>
      <w:bookmarkEnd w:id="9"/>
    </w:p>
    <w:p w14:paraId="3BEF9F39">
      <w:pPr>
        <w:rPr>
          <w:rFonts w:hint="eastAsia"/>
          <w:lang w:val="en-US" w:eastAsia="zh-CN"/>
        </w:rPr>
      </w:pPr>
      <w:r>
        <w:rPr>
          <w:rFonts w:hint="eastAsia"/>
          <w:lang w:val="en-US" w:eastAsia="zh-CN"/>
        </w:rPr>
        <w:t>为科学评估本学期篮球课程的教学质量与学员成长轨迹，华越体育在学期初与学期末对各年级学员开展标准化技能测评，涵盖运球、投篮、灵敏、速度、耐力、弹跳六大核心能力维度。通过雷达图对比与数据量化分析，清晰呈现各年级学员在技术掌握、动作规范性及综合运动素质方面的进步情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72AD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5CAD0FC">
            <w:pPr>
              <w:ind w:left="0" w:leftChars="0" w:firstLine="0" w:firstLineChars="0"/>
              <w:jc w:val="center"/>
              <w:rPr>
                <w:rFonts w:hint="eastAsia"/>
                <w:vertAlign w:val="baseline"/>
                <w:lang w:val="en-US" w:eastAsia="zh-CN"/>
              </w:rPr>
            </w:pPr>
            <w:r>
              <w:drawing>
                <wp:inline distT="0" distB="0" distL="114300" distR="114300">
                  <wp:extent cx="2070100" cy="2484120"/>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1"/>
                          <a:srcRect r="4174" b="1436"/>
                          <a:stretch>
                            <a:fillRect/>
                          </a:stretch>
                        </pic:blipFill>
                        <pic:spPr>
                          <a:xfrm>
                            <a:off x="0" y="0"/>
                            <a:ext cx="2070100" cy="2484120"/>
                          </a:xfrm>
                          <a:prstGeom prst="rect">
                            <a:avLst/>
                          </a:prstGeom>
                          <a:noFill/>
                          <a:ln>
                            <a:noFill/>
                          </a:ln>
                        </pic:spPr>
                      </pic:pic>
                    </a:graphicData>
                  </a:graphic>
                </wp:inline>
              </w:drawing>
            </w:r>
          </w:p>
        </w:tc>
        <w:tc>
          <w:tcPr>
            <w:tcW w:w="4261" w:type="dxa"/>
          </w:tcPr>
          <w:p w14:paraId="64E6C953">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5" name="图片 2"/>
                  <wp:cNvGraphicFramePr/>
                  <a:graphic xmlns:a="http://schemas.openxmlformats.org/drawingml/2006/main">
                    <a:graphicData uri="http://schemas.openxmlformats.org/drawingml/2006/picture">
                      <pic:pic xmlns:pic="http://schemas.openxmlformats.org/drawingml/2006/picture">
                        <pic:nvPicPr>
                          <pic:cNvPr id="5" name="图片 2"/>
                          <pic:cNvPicPr/>
                        </pic:nvPicPr>
                        <pic:blipFill>
                          <a:blip r:embed="rId52"/>
                          <a:stretch>
                            <a:fillRect/>
                          </a:stretch>
                        </pic:blipFill>
                        <pic:spPr>
                          <a:xfrm>
                            <a:off x="0" y="0"/>
                            <a:ext cx="2160270" cy="2520315"/>
                          </a:xfrm>
                          <a:prstGeom prst="rect">
                            <a:avLst/>
                          </a:prstGeom>
                          <a:noFill/>
                          <a:ln>
                            <a:noFill/>
                          </a:ln>
                        </pic:spPr>
                      </pic:pic>
                    </a:graphicData>
                  </a:graphic>
                </wp:inline>
              </w:drawing>
            </w:r>
          </w:p>
        </w:tc>
      </w:tr>
      <w:tr w14:paraId="512D4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270D61F">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6" name="图片 3"/>
                  <wp:cNvGraphicFramePr/>
                  <a:graphic xmlns:a="http://schemas.openxmlformats.org/drawingml/2006/main">
                    <a:graphicData uri="http://schemas.openxmlformats.org/drawingml/2006/picture">
                      <pic:pic xmlns:pic="http://schemas.openxmlformats.org/drawingml/2006/picture">
                        <pic:nvPicPr>
                          <pic:cNvPr id="6" name="图片 3"/>
                          <pic:cNvPicPr/>
                        </pic:nvPicPr>
                        <pic:blipFill>
                          <a:blip r:embed="rId53"/>
                          <a:stretch>
                            <a:fillRect/>
                          </a:stretch>
                        </pic:blipFill>
                        <pic:spPr>
                          <a:xfrm>
                            <a:off x="0" y="0"/>
                            <a:ext cx="2160270" cy="2520315"/>
                          </a:xfrm>
                          <a:prstGeom prst="rect">
                            <a:avLst/>
                          </a:prstGeom>
                          <a:noFill/>
                          <a:ln>
                            <a:noFill/>
                          </a:ln>
                        </pic:spPr>
                      </pic:pic>
                    </a:graphicData>
                  </a:graphic>
                </wp:inline>
              </w:drawing>
            </w:r>
          </w:p>
        </w:tc>
        <w:tc>
          <w:tcPr>
            <w:tcW w:w="4261" w:type="dxa"/>
          </w:tcPr>
          <w:p w14:paraId="06C5271D">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7" name="图片 4"/>
                  <wp:cNvGraphicFramePr/>
                  <a:graphic xmlns:a="http://schemas.openxmlformats.org/drawingml/2006/main">
                    <a:graphicData uri="http://schemas.openxmlformats.org/drawingml/2006/picture">
                      <pic:pic xmlns:pic="http://schemas.openxmlformats.org/drawingml/2006/picture">
                        <pic:nvPicPr>
                          <pic:cNvPr id="7" name="图片 4"/>
                          <pic:cNvPicPr/>
                        </pic:nvPicPr>
                        <pic:blipFill>
                          <a:blip r:embed="rId54"/>
                          <a:stretch>
                            <a:fillRect/>
                          </a:stretch>
                        </pic:blipFill>
                        <pic:spPr>
                          <a:xfrm>
                            <a:off x="0" y="0"/>
                            <a:ext cx="2160270" cy="2520315"/>
                          </a:xfrm>
                          <a:prstGeom prst="rect">
                            <a:avLst/>
                          </a:prstGeom>
                          <a:noFill/>
                          <a:ln>
                            <a:noFill/>
                          </a:ln>
                        </pic:spPr>
                      </pic:pic>
                    </a:graphicData>
                  </a:graphic>
                </wp:inline>
              </w:drawing>
            </w:r>
          </w:p>
        </w:tc>
      </w:tr>
    </w:tbl>
    <w:p w14:paraId="71E376ED">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学员</w:t>
      </w:r>
      <w:r>
        <w:rPr>
          <w:rFonts w:hint="eastAsia"/>
          <w:lang w:val="en-US" w:eastAsia="zh-CN"/>
        </w:rPr>
        <w:t>技能测评</w:t>
      </w:r>
    </w:p>
    <w:p w14:paraId="398F26ED">
      <w:pPr>
        <w:rPr>
          <w:rFonts w:hint="default"/>
          <w:sz w:val="21"/>
          <w:szCs w:val="21"/>
          <w:lang w:val="en-US" w:eastAsia="zh-CN"/>
        </w:rPr>
      </w:pPr>
      <w:r>
        <w:rPr>
          <w:rFonts w:hint="eastAsia"/>
          <w:sz w:val="21"/>
          <w:szCs w:val="21"/>
          <w:lang w:val="en-US" w:eastAsia="zh-CN"/>
        </w:rPr>
        <w:t>（注：校队学员未采用基础测评）</w:t>
      </w:r>
    </w:p>
    <w:p w14:paraId="74FEAC26">
      <w:pPr>
        <w:rPr>
          <w:rFonts w:hint="eastAsia"/>
          <w:lang w:val="en-US" w:eastAsia="zh-CN"/>
        </w:rPr>
      </w:pPr>
      <w:r>
        <w:rPr>
          <w:rFonts w:hint="eastAsia"/>
          <w:lang w:val="en-US" w:eastAsia="zh-CN"/>
        </w:rPr>
        <w:t>根据数据表现而言，本学期训练取得了全面而显著的成效，整体呈现技能与体能协同发展，各年级进步轨迹清晰的积极态势。通过对比学期前后数据及雷达图可以清晰看到，一到四年级学生在运球、投篮两项核心篮球技能上均获得突出进步，同时灵敏、速度、耐力、弹跳等基础运动素质也得到同步提升，表明训练体系有效促进了学生运动能力的均衡、全面发展。</w:t>
      </w:r>
    </w:p>
    <w:p w14:paraId="67C3DBD6">
      <w:pPr>
        <w:rPr>
          <w:rFonts w:hint="eastAsia"/>
          <w:lang w:val="en-US" w:eastAsia="zh-CN"/>
        </w:rPr>
      </w:pPr>
      <w:r>
        <w:rPr>
          <w:rFonts w:hint="eastAsia"/>
          <w:lang w:val="en-US" w:eastAsia="zh-CN"/>
        </w:rPr>
        <w:t>具体到各年级，其进步亮点符合学生的年龄特点与发展规律。一年级学生作为新加入的学员，在投篮（3.0 → 4.5）和运球（3.8 → 4.4）上展现了极高的学习效率与起点，同时其灵敏与弹跳也有扎实进步，为整个小学阶段的体育学习打下了优异基础。二年级学生在巩固已有能力的基础上实现了重点突破，投篮（3.1 → 4.3）与弹跳（3.7 → 4.1）​ 提升显著，并且成功保持了速度项目的优势，其雷达图呈现出稳健的外扩形态。三年级学生则进入了快速成长期，在投篮（2.1 → 3.7）和灵敏（2.2 → 3.5）上实现了跨越式进步，同时运球与弹跳也同步增强，运动能力结构得到明显优化。四年级学生的进步幅度最为突出，在运球（2.0 → 4.1）、投篮（2.1 → 4.3）和灵敏（2.9 → 4.5）上均实现了能力翻倍，其学期后的雷达图面积显著大于学期前，标志着该年级学生的综合运动能力经过系统训练后达到了一个新的高度。</w:t>
      </w:r>
    </w:p>
    <w:p w14:paraId="674D155A">
      <w:pPr>
        <w:rPr>
          <w:rFonts w:hint="eastAsia"/>
          <w:lang w:val="en-US" w:eastAsia="zh-CN"/>
        </w:rPr>
      </w:pPr>
      <w:r>
        <w:rPr>
          <w:rFonts w:hint="eastAsia"/>
          <w:lang w:val="en-US" w:eastAsia="zh-CN"/>
        </w:rPr>
        <w:t>整体而言，系列数据与图表是训练科学性与学生努力共同作用的结果。雷达图上每个向外扩展的多边形，都直观记录了学生们一学期以来的汗水与成长。未来，我们将在巩固现有成果的基础上，依据数据进一步优化训练计划，尤其关注如耐力等仍有提升空间的素质维度，助力每一位学生实现运动能力的最大化、最优化发展</w:t>
      </w:r>
    </w:p>
    <w:p w14:paraId="72786331">
      <w:pPr>
        <w:pStyle w:val="3"/>
        <w:numPr>
          <w:ilvl w:val="0"/>
          <w:numId w:val="6"/>
        </w:numPr>
        <w:bidi w:val="0"/>
        <w:ind w:left="0" w:leftChars="0" w:firstLine="567" w:firstLineChars="0"/>
        <w:rPr>
          <w:rFonts w:hint="default"/>
          <w:lang w:val="en-US" w:eastAsia="zh-CN"/>
        </w:rPr>
      </w:pPr>
      <w:bookmarkStart w:id="10" w:name="_Toc17980"/>
      <w:r>
        <w:rPr>
          <w:rFonts w:hint="eastAsia"/>
          <w:lang w:val="en-US" w:eastAsia="zh-CN"/>
        </w:rPr>
        <w:t>优秀学员展示</w:t>
      </w:r>
      <w:bookmarkEnd w:id="10"/>
    </w:p>
    <w:p w14:paraId="5009376D">
      <w:pPr>
        <w:rPr>
          <w:rFonts w:hint="default"/>
          <w:lang w:val="en-US" w:eastAsia="zh-CN"/>
        </w:rPr>
      </w:pPr>
      <w:r>
        <w:rPr>
          <w:rFonts w:hint="eastAsia"/>
          <w:lang w:val="en-US" w:eastAsia="zh-CN"/>
        </w:rPr>
        <w:t>华越体育旗下“N+”体育品牌师资团队</w:t>
      </w:r>
      <w:r>
        <w:rPr>
          <w:rFonts w:hint="default"/>
          <w:lang w:val="en-US" w:eastAsia="zh-CN"/>
        </w:rPr>
        <w:t>基于全学期在课堂投入、技能提升、团队贡献及体育素养等方面的综合表现，最终评选出以下学期优秀学员。他们的坚持与卓越，为全体同学树立了生动榜样</w:t>
      </w:r>
      <w:r>
        <w:rPr>
          <w:rFonts w:hint="eastAsia"/>
          <w:lang w:val="en-US" w:eastAsia="zh-CN"/>
        </w:rPr>
        <w:t>，教练们也对学员们送上评语与祝福：</w:t>
      </w:r>
    </w:p>
    <w:p w14:paraId="3A2F2824">
      <w:pPr>
        <w:rPr>
          <w:rFonts w:hint="eastAsia"/>
          <w:lang w:val="en-US" w:eastAsia="zh-CN"/>
        </w:rPr>
      </w:pPr>
      <w:r>
        <w:rPr>
          <w:rFonts w:hint="eastAsia"/>
          <w:b/>
          <w:bCs/>
          <w:lang w:val="en-US" w:eastAsia="zh-CN"/>
        </w:rPr>
        <w:t>楼亦果：</w:t>
      </w:r>
      <w:r>
        <w:rPr>
          <w:rFonts w:hint="eastAsia"/>
          <w:lang w:val="en-US" w:eastAsia="zh-CN"/>
        </w:rPr>
        <w:t>校队主力控卫兼第一得分点，具有稳定的终结能力及大局观，远超同龄人的投射能力也帮助球队多次获得胜利。</w:t>
      </w:r>
    </w:p>
    <w:p w14:paraId="1C0ECB56">
      <w:pPr>
        <w:rPr>
          <w:rFonts w:hint="eastAsia"/>
          <w:lang w:val="en-US" w:eastAsia="zh-CN"/>
        </w:rPr>
      </w:pPr>
    </w:p>
    <w:p w14:paraId="62FA5CAB">
      <w:pPr>
        <w:rPr>
          <w:rFonts w:hint="eastAsia"/>
          <w:lang w:val="en-US" w:eastAsia="zh-CN"/>
        </w:rPr>
      </w:pPr>
      <w:r>
        <w:rPr>
          <w:rFonts w:hint="eastAsia"/>
          <w:b/>
          <w:bCs/>
          <w:lang w:val="en-US" w:eastAsia="zh-CN"/>
        </w:rPr>
        <w:t>檀珉喆：</w:t>
      </w:r>
      <w:r>
        <w:rPr>
          <w:rFonts w:hint="eastAsia"/>
          <w:lang w:val="en-US" w:eastAsia="zh-CN"/>
        </w:rPr>
        <w:t>校队主力，态度积极，具有很强的感染能力，从不气馁，日常积极训练且能感染队友，赛场上积极拼抢，校队的士气高涨离不开他。</w:t>
      </w:r>
    </w:p>
    <w:p w14:paraId="731E8BCB">
      <w:pPr>
        <w:rPr>
          <w:rFonts w:hint="eastAsia"/>
          <w:lang w:val="en-US" w:eastAsia="zh-CN"/>
        </w:rPr>
      </w:pPr>
    </w:p>
    <w:p w14:paraId="10D170B6">
      <w:pPr>
        <w:rPr>
          <w:rFonts w:hint="eastAsia"/>
          <w:lang w:val="en-US" w:eastAsia="zh-CN"/>
        </w:rPr>
      </w:pPr>
      <w:r>
        <w:rPr>
          <w:rFonts w:hint="eastAsia"/>
          <w:b/>
          <w:bCs/>
          <w:lang w:val="en-US" w:eastAsia="zh-CN"/>
        </w:rPr>
        <w:t>夏伊泽：</w:t>
      </w:r>
      <w:r>
        <w:rPr>
          <w:rFonts w:hint="eastAsia"/>
          <w:lang w:val="en-US" w:eastAsia="zh-CN"/>
        </w:rPr>
        <w:t>校队主力四号位，擅长内线转身，技术掌握度较高，思维敏捷学的很快，在比赛中多次拼抢保护关键篮板，篮下也能保持稳定输出。</w:t>
      </w:r>
    </w:p>
    <w:p w14:paraId="1147A81F">
      <w:pPr>
        <w:rPr>
          <w:rFonts w:hint="eastAsia"/>
          <w:lang w:val="en-US" w:eastAsia="zh-CN"/>
        </w:rPr>
      </w:pPr>
    </w:p>
    <w:p w14:paraId="2CAC6651">
      <w:pPr>
        <w:rPr>
          <w:rFonts w:hint="eastAsia"/>
          <w:lang w:val="en-US" w:eastAsia="zh-CN"/>
        </w:rPr>
      </w:pPr>
      <w:r>
        <w:rPr>
          <w:rFonts w:hint="eastAsia"/>
          <w:b/>
          <w:bCs/>
          <w:lang w:val="en-US" w:eastAsia="zh-CN"/>
        </w:rPr>
        <w:t>张腾烨</w:t>
      </w:r>
      <w:r>
        <w:rPr>
          <w:rFonts w:hint="eastAsia"/>
          <w:lang w:val="en-US" w:eastAsia="zh-CN"/>
        </w:rPr>
        <w:t>：校队主力中锋，在比赛中多次以强硬的防守抵挡下对手进攻，也贡献多次盖帽，是队内的防守大闸。</w:t>
      </w:r>
    </w:p>
    <w:p w14:paraId="6B7EE6EA">
      <w:pPr>
        <w:rPr>
          <w:rFonts w:hint="default"/>
          <w:lang w:val="en-US" w:eastAsia="zh-CN"/>
        </w:rPr>
      </w:pPr>
    </w:p>
    <w:p w14:paraId="55A56C4C">
      <w:pPr>
        <w:rPr>
          <w:rFonts w:hint="eastAsia"/>
          <w:lang w:val="en-US" w:eastAsia="zh-CN"/>
        </w:rPr>
      </w:pPr>
      <w:r>
        <w:rPr>
          <w:rFonts w:hint="eastAsia"/>
          <w:b/>
          <w:bCs/>
          <w:lang w:val="en-US" w:eastAsia="zh-CN"/>
        </w:rPr>
        <w:t>严宇晟：</w:t>
      </w:r>
      <w:r>
        <w:rPr>
          <w:rFonts w:hint="eastAsia"/>
          <w:lang w:val="en-US" w:eastAsia="zh-CN"/>
        </w:rPr>
        <w:t>校队主力四号位，技术全面，基本功扎实，作为左手将也成为对手防守的难题，校队主力得分手之一，多次打进关键球为校队的胜利奠定基础。</w:t>
      </w:r>
    </w:p>
    <w:p w14:paraId="5CB974A6">
      <w:pPr>
        <w:rPr>
          <w:rFonts w:hint="eastAsia"/>
          <w:lang w:val="en-US" w:eastAsia="zh-CN"/>
        </w:rPr>
      </w:pPr>
      <w:r>
        <w:rPr>
          <w:rFonts w:hint="eastAsia"/>
          <w:b/>
          <w:bCs/>
          <w:lang w:val="en-US" w:eastAsia="zh-CN"/>
        </w:rPr>
        <w:t>胡宏康：</w:t>
      </w:r>
      <w:r>
        <w:rPr>
          <w:rFonts w:hint="eastAsia"/>
          <w:lang w:val="en-US" w:eastAsia="zh-CN"/>
        </w:rPr>
        <w:t>校队主力锋卫，攻防一体，身体素质过硬，擅长中投跟快攻强打，多次在比赛中用积极的防守抢断对手，用强硬的突破撕开对手防线，用稳定的中投稳定局面，日常训练认真积极，是校队的中流砥柱。</w:t>
      </w:r>
    </w:p>
    <w:p w14:paraId="61962950">
      <w:pPr>
        <w:rPr>
          <w:rFonts w:hint="eastAsia"/>
          <w:lang w:val="en-US" w:eastAsia="zh-CN"/>
        </w:rPr>
      </w:pPr>
    </w:p>
    <w:p w14:paraId="1A1C35FD">
      <w:pPr>
        <w:rPr>
          <w:rFonts w:hint="eastAsia"/>
          <w:lang w:val="en-US" w:eastAsia="zh-CN"/>
        </w:rPr>
      </w:pPr>
      <w:r>
        <w:rPr>
          <w:rFonts w:hint="eastAsia"/>
          <w:b/>
          <w:bCs/>
          <w:lang w:val="en-US" w:eastAsia="zh-CN"/>
        </w:rPr>
        <w:t>武熠鸿：</w:t>
      </w:r>
      <w:r>
        <w:rPr>
          <w:rFonts w:hint="eastAsia"/>
          <w:lang w:val="en-US" w:eastAsia="zh-CN"/>
        </w:rPr>
        <w:t>校队主力，控运娴熟，技术全面，基本功扎实，身型略显单薄，防守容易被针对，但是态度积极，在比赛中能用娴熟的技术摆脱对手用稳定的抛投打出精彩表现。</w:t>
      </w:r>
    </w:p>
    <w:p w14:paraId="3F337029">
      <w:pPr>
        <w:rPr>
          <w:rFonts w:hint="eastAsia"/>
          <w:lang w:val="en-US" w:eastAsia="zh-CN"/>
        </w:rPr>
      </w:pPr>
    </w:p>
    <w:p w14:paraId="57DCF175">
      <w:pPr>
        <w:rPr>
          <w:rFonts w:hint="default"/>
          <w:lang w:val="en-US" w:eastAsia="zh-CN"/>
        </w:rPr>
      </w:pPr>
      <w:r>
        <w:rPr>
          <w:rFonts w:hint="default"/>
          <w:b/>
          <w:bCs/>
          <w:lang w:val="en-US" w:eastAsia="zh-CN"/>
        </w:rPr>
        <w:t>边硕</w:t>
      </w:r>
      <w:r>
        <w:rPr>
          <w:rFonts w:hint="eastAsia"/>
          <w:b/>
          <w:bCs/>
          <w:lang w:val="en-US" w:eastAsia="zh-CN"/>
        </w:rPr>
        <w:t>：</w:t>
      </w:r>
      <w:r>
        <w:rPr>
          <w:rFonts w:hint="eastAsia"/>
          <w:lang w:val="en-US" w:eastAsia="zh-CN"/>
        </w:rPr>
        <w:t>热爱篮球的少年</w:t>
      </w:r>
      <w:r>
        <w:rPr>
          <w:rFonts w:hint="default"/>
          <w:lang w:val="en-US" w:eastAsia="zh-CN"/>
        </w:rPr>
        <w:t>，运球已显灵巧</w:t>
      </w:r>
      <w:r>
        <w:rPr>
          <w:rFonts w:hint="eastAsia"/>
          <w:lang w:val="en-US" w:eastAsia="zh-CN"/>
        </w:rPr>
        <w:t>技术</w:t>
      </w:r>
      <w:r>
        <w:rPr>
          <w:rFonts w:hint="default"/>
          <w:lang w:val="en-US" w:eastAsia="zh-CN"/>
        </w:rPr>
        <w:t>。训练充满热情，总是最早到场。保持这份专注，你会越来越棒！</w:t>
      </w:r>
    </w:p>
    <w:p w14:paraId="5F8F0F09">
      <w:pPr>
        <w:rPr>
          <w:rFonts w:hint="default"/>
          <w:lang w:val="en-US" w:eastAsia="zh-CN"/>
        </w:rPr>
      </w:pPr>
    </w:p>
    <w:p w14:paraId="04AAD0F3">
      <w:pPr>
        <w:rPr>
          <w:rFonts w:hint="eastAsia"/>
          <w:lang w:val="en-US" w:eastAsia="zh-CN"/>
        </w:rPr>
      </w:pPr>
      <w:r>
        <w:rPr>
          <w:rFonts w:hint="eastAsia"/>
          <w:b/>
          <w:bCs/>
          <w:lang w:val="en-US" w:eastAsia="zh-CN"/>
        </w:rPr>
        <w:t>林芮悠：</w:t>
      </w:r>
      <w:r>
        <w:rPr>
          <w:rFonts w:hint="eastAsia"/>
          <w:lang w:val="en-US" w:eastAsia="zh-CN"/>
        </w:rPr>
        <w:t>球场灵动如风，突破利落果断。训练勤勉专注，进步显著。盼你保持这份热爱与拼劲，将来更显锋芒。</w:t>
      </w:r>
    </w:p>
    <w:p w14:paraId="20BAA4A6">
      <w:pPr>
        <w:rPr>
          <w:rFonts w:hint="eastAsia"/>
          <w:lang w:val="en-US" w:eastAsia="zh-CN"/>
        </w:rPr>
      </w:pPr>
    </w:p>
    <w:p w14:paraId="2D4580FB">
      <w:pPr>
        <w:rPr>
          <w:rFonts w:hint="eastAsia"/>
          <w:lang w:val="en-US" w:eastAsia="zh-CN"/>
        </w:rPr>
      </w:pPr>
      <w:r>
        <w:rPr>
          <w:rFonts w:hint="eastAsia"/>
          <w:b/>
          <w:bCs/>
          <w:lang w:val="en-US" w:eastAsia="zh-CN"/>
        </w:rPr>
        <w:t>楼迪：</w:t>
      </w:r>
      <w:r>
        <w:rPr>
          <w:rFonts w:hint="eastAsia"/>
          <w:lang w:val="en-US" w:eastAsia="zh-CN"/>
        </w:rPr>
        <w:t>组织传球视野开阔，防守积极稳健。场上冷静可靠，团队意识突出。期待你继续打磨技术，担当更重角色。</w:t>
      </w:r>
    </w:p>
    <w:p w14:paraId="18BAB4A1">
      <w:pPr>
        <w:rPr>
          <w:rFonts w:hint="eastAsia"/>
          <w:lang w:val="en-US" w:eastAsia="zh-CN"/>
        </w:rPr>
      </w:pPr>
    </w:p>
    <w:p w14:paraId="3BD83B3B">
      <w:pPr>
        <w:rPr>
          <w:rFonts w:hint="eastAsia"/>
          <w:lang w:val="en-US" w:eastAsia="zh-CN"/>
        </w:rPr>
      </w:pPr>
      <w:r>
        <w:rPr>
          <w:rFonts w:hint="eastAsia"/>
          <w:b/>
          <w:bCs/>
          <w:lang w:val="en-US" w:eastAsia="zh-CN"/>
        </w:rPr>
        <w:t>朱嘉铭：</w:t>
      </w:r>
      <w:r>
        <w:rPr>
          <w:rFonts w:hint="eastAsia"/>
          <w:lang w:val="en-US" w:eastAsia="zh-CN"/>
        </w:rPr>
        <w:t>中远投稳定精准，跑位机敏高效。训练踏实肯练，勤勉补拙。愿你继续积累自信，成为更稳定的得分点。</w:t>
      </w:r>
    </w:p>
    <w:p w14:paraId="3C982DEA">
      <w:pPr>
        <w:pStyle w:val="2"/>
        <w:numPr>
          <w:ilvl w:val="0"/>
          <w:numId w:val="3"/>
        </w:numPr>
        <w:bidi w:val="0"/>
        <w:ind w:left="0" w:leftChars="0" w:firstLine="420" w:firstLineChars="0"/>
        <w:rPr>
          <w:rFonts w:hint="default"/>
          <w:lang w:val="en-US" w:eastAsia="zh-CN"/>
        </w:rPr>
      </w:pPr>
      <w:bookmarkStart w:id="11" w:name="_Toc18797"/>
      <w:r>
        <w:rPr>
          <w:rFonts w:hint="eastAsia"/>
          <w:lang w:val="en-US" w:eastAsia="zh-CN"/>
        </w:rPr>
        <w:t>项目计划</w:t>
      </w:r>
      <w:bookmarkEnd w:id="11"/>
    </w:p>
    <w:p w14:paraId="3E9AF0C2">
      <w:pPr>
        <w:pStyle w:val="3"/>
        <w:numPr>
          <w:ilvl w:val="0"/>
          <w:numId w:val="7"/>
        </w:numPr>
        <w:bidi w:val="0"/>
        <w:ind w:left="0" w:leftChars="0" w:firstLine="567" w:firstLineChars="0"/>
        <w:rPr>
          <w:rFonts w:hint="default"/>
          <w:lang w:val="en-US" w:eastAsia="zh-CN"/>
        </w:rPr>
      </w:pPr>
      <w:bookmarkStart w:id="12" w:name="_Toc7426"/>
      <w:r>
        <w:rPr>
          <w:rFonts w:hint="eastAsia"/>
          <w:lang w:val="en-US" w:eastAsia="zh-CN"/>
        </w:rPr>
        <w:t>教学内容优化</w:t>
      </w:r>
      <w:bookmarkEnd w:id="12"/>
    </w:p>
    <w:p w14:paraId="07DF2DEA">
      <w:pPr>
        <w:rPr>
          <w:rFonts w:hint="default"/>
          <w:lang w:val="en-US" w:eastAsia="zh-CN"/>
        </w:rPr>
      </w:pPr>
      <w:r>
        <w:rPr>
          <w:rFonts w:hint="default"/>
          <w:lang w:val="en-US" w:eastAsia="zh-CN"/>
        </w:rPr>
        <w:t>本学期，</w:t>
      </w:r>
      <w:r>
        <w:rPr>
          <w:rFonts w:hint="eastAsia"/>
          <w:lang w:val="en-US" w:eastAsia="zh-CN"/>
        </w:rPr>
        <w:t>华越体育教练团队</w:t>
      </w:r>
      <w:r>
        <w:rPr>
          <w:rFonts w:hint="default"/>
          <w:lang w:val="en-US" w:eastAsia="zh-CN"/>
        </w:rPr>
        <w:t>扎根一线教学实践，</w:t>
      </w:r>
      <w:r>
        <w:rPr>
          <w:rFonts w:hint="eastAsia"/>
          <w:lang w:val="en-US" w:eastAsia="zh-CN"/>
        </w:rPr>
        <w:t>深度推进课程</w:t>
      </w:r>
      <w:r>
        <w:rPr>
          <w:rFonts w:hint="default"/>
          <w:lang w:val="en-US" w:eastAsia="zh-CN"/>
        </w:rPr>
        <w:t>创新，推动课程质量从经验型向科学化跃升。一线教练以高度的专业自觉，在课堂中践行精讲多练、以练促学原则：将复杂技术动作拆解为30秒核心口诀（如胸前传球聚焦</w:t>
      </w:r>
      <w:r>
        <w:rPr>
          <w:rFonts w:hint="eastAsia"/>
          <w:lang w:val="en-US" w:eastAsia="zh-CN"/>
        </w:rPr>
        <w:t>“</w:t>
      </w:r>
      <w:r>
        <w:rPr>
          <w:rFonts w:hint="default"/>
          <w:lang w:val="en-US" w:eastAsia="zh-CN"/>
        </w:rPr>
        <w:t>伸臂-翻腕-拨指</w:t>
      </w:r>
      <w:r>
        <w:rPr>
          <w:rFonts w:hint="eastAsia"/>
          <w:lang w:val="en-US" w:eastAsia="zh-CN"/>
        </w:rPr>
        <w:t>”</w:t>
      </w:r>
      <w:r>
        <w:rPr>
          <w:rFonts w:hint="default"/>
          <w:lang w:val="en-US" w:eastAsia="zh-CN"/>
        </w:rPr>
        <w:t>三要素），即时转入实践环节，使技能内化效率提升40%以上。此非简单流程优化，而是对《体育与健康课程标准》中</w:t>
      </w:r>
      <w:r>
        <w:rPr>
          <w:rFonts w:hint="eastAsia"/>
          <w:lang w:val="en-US" w:eastAsia="zh-CN"/>
        </w:rPr>
        <w:t>“</w:t>
      </w:r>
      <w:r>
        <w:rPr>
          <w:rFonts w:hint="default"/>
          <w:lang w:val="en-US" w:eastAsia="zh-CN"/>
        </w:rPr>
        <w:t>学、练、赛</w:t>
      </w:r>
      <w:r>
        <w:rPr>
          <w:rFonts w:hint="eastAsia"/>
          <w:lang w:val="en-US" w:eastAsia="zh-CN"/>
        </w:rPr>
        <w:t>”</w:t>
      </w:r>
      <w:r>
        <w:rPr>
          <w:rFonts w:hint="default"/>
          <w:lang w:val="en-US" w:eastAsia="zh-CN"/>
        </w:rPr>
        <w:t>一体化理念的精准落地，彰显教练团队对青少年注意力规律的深刻把握与教育匠心。</w:t>
      </w:r>
    </w:p>
    <w:p w14:paraId="50C2EE12">
      <w:pPr>
        <w:rPr>
          <w:rFonts w:hint="default"/>
          <w:lang w:val="en-US" w:eastAsia="zh-CN"/>
        </w:rPr>
      </w:pPr>
      <w:r>
        <w:rPr>
          <w:rFonts w:hint="default"/>
          <w:lang w:val="en-US" w:eastAsia="zh-CN"/>
        </w:rPr>
        <w:t>尤为可贵的是，教练团队主动将育人目标融入教学设计。通过创设阶梯式挑战任务（如投篮连胜通关</w:t>
      </w:r>
      <w:r>
        <w:rPr>
          <w:rFonts w:hint="eastAsia"/>
          <w:lang w:val="en-US" w:eastAsia="zh-CN"/>
        </w:rPr>
        <w:t>、</w:t>
      </w:r>
      <w:r>
        <w:rPr>
          <w:rFonts w:hint="default"/>
          <w:lang w:val="en-US" w:eastAsia="zh-CN"/>
        </w:rPr>
        <w:t>距离进阶机制），将枯燥训练转化为目标驱动的成长旅程；设计结构化团队竞赛（如</w:t>
      </w:r>
      <w:r>
        <w:rPr>
          <w:rFonts w:hint="eastAsia"/>
          <w:lang w:val="en-US" w:eastAsia="zh-CN"/>
        </w:rPr>
        <w:t>三</w:t>
      </w:r>
      <w:r>
        <w:rPr>
          <w:rFonts w:hint="default"/>
          <w:lang w:val="en-US" w:eastAsia="zh-CN"/>
        </w:rPr>
        <w:t>分钟攻防对抗），在激发专注力的同时自然培育规则意识与集体荣誉感。更创新实施</w:t>
      </w:r>
      <w:r>
        <w:rPr>
          <w:rFonts w:hint="eastAsia"/>
          <w:lang w:val="en-US" w:eastAsia="zh-CN"/>
        </w:rPr>
        <w:t>“</w:t>
      </w:r>
      <w:r>
        <w:rPr>
          <w:rFonts w:hint="default"/>
          <w:lang w:val="en-US" w:eastAsia="zh-CN"/>
        </w:rPr>
        <w:t>轮值队长制</w:t>
      </w:r>
      <w:r>
        <w:rPr>
          <w:rFonts w:hint="eastAsia"/>
          <w:lang w:val="en-US" w:eastAsia="zh-CN"/>
        </w:rPr>
        <w:t>”</w:t>
      </w:r>
      <w:r>
        <w:rPr>
          <w:rFonts w:hint="default"/>
          <w:lang w:val="en-US" w:eastAsia="zh-CN"/>
        </w:rPr>
        <w:t>，每课次由不同学员担任纪律督导与小组引领者，使其在角色担当中深化责任认知。</w:t>
      </w:r>
    </w:p>
    <w:p w14:paraId="00A8DB9B">
      <w:pPr>
        <w:rPr>
          <w:rFonts w:hint="default"/>
          <w:vertAlign w:val="baseline"/>
          <w:lang w:val="en-US" w:eastAsia="zh-CN"/>
        </w:rPr>
      </w:pPr>
      <w:r>
        <w:rPr>
          <w:rFonts w:hint="default"/>
          <w:lang w:val="en-US" w:eastAsia="zh-CN"/>
        </w:rPr>
        <w:t>此系列优化，本质是华越体育</w:t>
      </w:r>
      <w:r>
        <w:rPr>
          <w:rFonts w:hint="eastAsia"/>
          <w:lang w:val="en-US" w:eastAsia="zh-CN"/>
        </w:rPr>
        <w:t>“</w:t>
      </w:r>
      <w:r>
        <w:rPr>
          <w:rFonts w:hint="default"/>
          <w:lang w:val="en-US" w:eastAsia="zh-CN"/>
        </w:rPr>
        <w:t>以学定教</w:t>
      </w:r>
      <w:r>
        <w:rPr>
          <w:rFonts w:hint="eastAsia"/>
          <w:lang w:val="en-US" w:eastAsia="zh-CN"/>
        </w:rPr>
        <w:t>”</w:t>
      </w:r>
      <w:r>
        <w:rPr>
          <w:rFonts w:hint="default"/>
          <w:lang w:val="en-US" w:eastAsia="zh-CN"/>
        </w:rPr>
        <w:t>质量观的生动诠释。这一蓬勃创新力的背后，是华越体育构建的</w:t>
      </w:r>
      <w:r>
        <w:rPr>
          <w:rFonts w:hint="eastAsia"/>
          <w:lang w:val="en-US" w:eastAsia="zh-CN"/>
        </w:rPr>
        <w:t>“</w:t>
      </w:r>
      <w:r>
        <w:rPr>
          <w:rFonts w:hint="default"/>
          <w:lang w:val="en-US" w:eastAsia="zh-CN"/>
        </w:rPr>
        <w:t>教研共生</w:t>
      </w:r>
      <w:r>
        <w:rPr>
          <w:rFonts w:hint="eastAsia"/>
          <w:lang w:val="en-US" w:eastAsia="zh-CN"/>
        </w:rPr>
        <w:t>”</w:t>
      </w:r>
      <w:r>
        <w:rPr>
          <w:rFonts w:hint="default"/>
          <w:lang w:val="en-US" w:eastAsia="zh-CN"/>
        </w:rPr>
        <w:t>专业生态。公司总部以一校一案机制为支点，搭建跨层级、跨区域的教研共同体：固定开展磨课赛课</w:t>
      </w:r>
      <w:r>
        <w:rPr>
          <w:rFonts w:hint="eastAsia"/>
          <w:lang w:val="en-US" w:eastAsia="zh-CN"/>
        </w:rPr>
        <w:t>、</w:t>
      </w:r>
      <w:r>
        <w:rPr>
          <w:rFonts w:hint="default"/>
          <w:lang w:val="en-US" w:eastAsia="zh-CN"/>
        </w:rPr>
        <w:t>深度研训，由资深导师带领教练剖析典型课例，建立经验共享平台，上城、拱墅等合作校的优秀实践（如</w:t>
      </w:r>
      <w:r>
        <w:rPr>
          <w:rFonts w:hint="eastAsia"/>
          <w:lang w:val="en-US" w:eastAsia="zh-CN"/>
        </w:rPr>
        <w:t>上城区某校</w:t>
      </w:r>
      <w:r>
        <w:rPr>
          <w:rFonts w:hint="default"/>
          <w:lang w:val="en-US" w:eastAsia="zh-CN"/>
        </w:rPr>
        <w:t>校队梯队建设</w:t>
      </w:r>
      <w:r>
        <w:rPr>
          <w:rFonts w:hint="eastAsia"/>
          <w:lang w:val="en-US" w:eastAsia="zh-CN"/>
        </w:rPr>
        <w:t>经验总结</w:t>
      </w:r>
      <w:r>
        <w:rPr>
          <w:rFonts w:hint="default"/>
          <w:lang w:val="en-US" w:eastAsia="zh-CN"/>
        </w:rPr>
        <w:t>、余杭区</w:t>
      </w:r>
      <w:r>
        <w:rPr>
          <w:rFonts w:hint="eastAsia"/>
          <w:lang w:val="en-US" w:eastAsia="zh-CN"/>
        </w:rPr>
        <w:t>足篮双育</w:t>
      </w:r>
      <w:r>
        <w:rPr>
          <w:rFonts w:hint="default"/>
          <w:lang w:val="en-US" w:eastAsia="zh-CN"/>
        </w:rPr>
        <w:t>融合方案）经教研组提炼后，推送至全员学习；更设立</w:t>
      </w:r>
      <w:r>
        <w:rPr>
          <w:rFonts w:hint="eastAsia"/>
          <w:lang w:val="en-US" w:eastAsia="zh-CN"/>
        </w:rPr>
        <w:t>“</w:t>
      </w:r>
      <w:r>
        <w:rPr>
          <w:rFonts w:hint="default"/>
          <w:lang w:val="en-US" w:eastAsia="zh-CN"/>
        </w:rPr>
        <w:t>行业标杆对标计划</w:t>
      </w:r>
      <w:r>
        <w:rPr>
          <w:rFonts w:hint="eastAsia"/>
          <w:lang w:val="en-US" w:eastAsia="zh-CN"/>
        </w:rPr>
        <w:t>”</w:t>
      </w:r>
      <w:r>
        <w:rPr>
          <w:rFonts w:hint="default"/>
          <w:lang w:val="en-US" w:eastAsia="zh-CN"/>
        </w:rPr>
        <w:t>，系统拆解全国教培机构精品课程内核，引导教练在跨校际、跨领域的思想碰撞中突破认知边界。</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643D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943BAF6">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29" name="图片 29" descr="71eb6f11ec57ffa2a8b996af379f3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1eb6f11ec57ffa2a8b996af379f33b7"/>
                          <pic:cNvPicPr>
                            <a:picLocks noChangeAspect="1"/>
                          </pic:cNvPicPr>
                        </pic:nvPicPr>
                        <pic:blipFill>
                          <a:blip r:embed="rId55"/>
                          <a:stretch>
                            <a:fillRect/>
                          </a:stretch>
                        </pic:blipFill>
                        <pic:spPr>
                          <a:xfrm>
                            <a:off x="0" y="0"/>
                            <a:ext cx="5257800" cy="3505200"/>
                          </a:xfrm>
                          <a:prstGeom prst="rect">
                            <a:avLst/>
                          </a:prstGeom>
                        </pic:spPr>
                      </pic:pic>
                    </a:graphicData>
                  </a:graphic>
                </wp:inline>
              </w:drawing>
            </w:r>
          </w:p>
        </w:tc>
      </w:tr>
      <w:tr w14:paraId="2F1C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A18DC2A">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4493895" cy="3369310"/>
                  <wp:effectExtent l="0" t="0" r="1905" b="2540"/>
                  <wp:docPr id="41" name="图片 41" descr="56481ae778f2b3a4cceae6b635e6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6481ae778f2b3a4cceae6b635e66d0f"/>
                          <pic:cNvPicPr>
                            <a:picLocks noChangeAspect="1"/>
                          </pic:cNvPicPr>
                        </pic:nvPicPr>
                        <pic:blipFill>
                          <a:blip r:embed="rId56"/>
                          <a:stretch>
                            <a:fillRect/>
                          </a:stretch>
                        </pic:blipFill>
                        <pic:spPr>
                          <a:xfrm>
                            <a:off x="0" y="0"/>
                            <a:ext cx="4493895" cy="3369310"/>
                          </a:xfrm>
                          <a:prstGeom prst="rect">
                            <a:avLst/>
                          </a:prstGeom>
                        </pic:spPr>
                      </pic:pic>
                    </a:graphicData>
                  </a:graphic>
                </wp:inline>
              </w:drawing>
            </w:r>
          </w:p>
        </w:tc>
      </w:tr>
    </w:tbl>
    <w:p w14:paraId="5BA6EA46">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教练磨课</w:t>
      </w:r>
    </w:p>
    <w:p w14:paraId="28FC978A">
      <w:pPr>
        <w:rPr>
          <w:rFonts w:hint="default"/>
          <w:lang w:val="en-US" w:eastAsia="zh-CN"/>
        </w:rPr>
      </w:pPr>
      <w:r>
        <w:rPr>
          <w:rFonts w:hint="default"/>
          <w:lang w:val="en-US" w:eastAsia="zh-CN"/>
        </w:rPr>
        <w:t>当一线教练的匠心与教研体系深度耦合，我们见证的不仅是课程设计的精进，更是国企服务教育的深层逻辑：将每所学校的独特需求转化为专业生长的土壤，让每位教练的实践智慧升华为行业共享的资产。这正是华越体育对立德树人最扎实的践行——在精雕每一堂课的专注里，在激活每一个</w:t>
      </w:r>
      <w:r>
        <w:rPr>
          <w:rFonts w:hint="eastAsia"/>
          <w:lang w:val="en-US" w:eastAsia="zh-CN"/>
        </w:rPr>
        <w:t>学院的运动热情中。</w:t>
      </w:r>
    </w:p>
    <w:p w14:paraId="6CBDA2F8">
      <w:pPr>
        <w:pStyle w:val="3"/>
        <w:numPr>
          <w:ilvl w:val="0"/>
          <w:numId w:val="7"/>
        </w:numPr>
        <w:bidi w:val="0"/>
        <w:ind w:left="0" w:leftChars="0" w:firstLine="567" w:firstLineChars="0"/>
        <w:rPr>
          <w:rFonts w:hint="default"/>
          <w:lang w:val="en-US" w:eastAsia="zh-CN"/>
        </w:rPr>
      </w:pPr>
      <w:bookmarkStart w:id="13" w:name="_Toc14970"/>
      <w:r>
        <w:rPr>
          <w:rFonts w:hint="eastAsia"/>
          <w:lang w:val="en-US" w:eastAsia="zh-CN"/>
        </w:rPr>
        <w:t>现存挑战分析</w:t>
      </w:r>
      <w:bookmarkEnd w:id="13"/>
    </w:p>
    <w:p w14:paraId="1621BAA8">
      <w:pPr>
        <w:rPr>
          <w:rFonts w:hint="default"/>
          <w:lang w:val="en-US" w:eastAsia="zh-CN"/>
        </w:rPr>
      </w:pPr>
      <w:r>
        <w:rPr>
          <w:rFonts w:hint="default"/>
          <w:lang w:val="en-US" w:eastAsia="zh-CN"/>
        </w:rPr>
        <w:t>在服务深化过程中，我们</w:t>
      </w:r>
      <w:r>
        <w:rPr>
          <w:rFonts w:hint="eastAsia"/>
          <w:lang w:val="en-US" w:eastAsia="zh-CN"/>
        </w:rPr>
        <w:t>仍需</w:t>
      </w:r>
      <w:r>
        <w:rPr>
          <w:rFonts w:hint="default"/>
          <w:lang w:val="en-US" w:eastAsia="zh-CN"/>
        </w:rPr>
        <w:t>客观面对若干需协同优化的发展性课题：</w:t>
      </w:r>
    </w:p>
    <w:p w14:paraId="239AFC15">
      <w:pPr>
        <w:rPr>
          <w:rFonts w:hint="default"/>
          <w:lang w:val="en-US" w:eastAsia="zh-CN"/>
        </w:rPr>
      </w:pPr>
      <w:r>
        <w:rPr>
          <w:rFonts w:hint="default"/>
          <w:lang w:val="en-US" w:eastAsia="zh-CN"/>
        </w:rPr>
        <w:t>其一，场地条件的适应性挑战。雨天教学易受室外场地制约，偶发地面湿滑隐患；部分场地篮筐数量与可调节性尚有提升空间。对此，</w:t>
      </w:r>
      <w:r>
        <w:rPr>
          <w:rFonts w:hint="eastAsia"/>
          <w:lang w:val="en-US" w:eastAsia="zh-CN"/>
        </w:rPr>
        <w:t>华越体育</w:t>
      </w:r>
      <w:r>
        <w:rPr>
          <w:rFonts w:hint="default"/>
          <w:lang w:val="en-US" w:eastAsia="zh-CN"/>
        </w:rPr>
        <w:t>已启动风雨无阻预案——投入研发室内训练模块</w:t>
      </w:r>
      <w:r>
        <w:rPr>
          <w:rFonts w:hint="eastAsia"/>
          <w:lang w:val="en-US" w:eastAsia="zh-CN"/>
        </w:rPr>
        <w:t>内容</w:t>
      </w:r>
      <w:r>
        <w:rPr>
          <w:rFonts w:hint="default"/>
          <w:lang w:val="en-US" w:eastAsia="zh-CN"/>
        </w:rPr>
        <w:t>，将运球协调性、战术板演练</w:t>
      </w:r>
      <w:r>
        <w:rPr>
          <w:rFonts w:hint="eastAsia"/>
          <w:lang w:val="en-US" w:eastAsia="zh-CN"/>
        </w:rPr>
        <w:t>展示</w:t>
      </w:r>
      <w:r>
        <w:rPr>
          <w:rFonts w:hint="default"/>
          <w:lang w:val="en-US" w:eastAsia="zh-CN"/>
        </w:rPr>
        <w:t>等核心内容转化为雨天课程，建立课前</w:t>
      </w:r>
      <w:r>
        <w:rPr>
          <w:rFonts w:hint="eastAsia"/>
          <w:lang w:val="en-US" w:eastAsia="zh-CN"/>
        </w:rPr>
        <w:t>社群沟通</w:t>
      </w:r>
      <w:r>
        <w:rPr>
          <w:rFonts w:hint="default"/>
          <w:lang w:val="en-US" w:eastAsia="zh-CN"/>
        </w:rPr>
        <w:t>机制，确保风险前置管控。</w:t>
      </w:r>
    </w:p>
    <w:p w14:paraId="25D485F7">
      <w:pPr>
        <w:rPr>
          <w:rFonts w:hint="default"/>
          <w:lang w:val="en-US" w:eastAsia="zh-CN"/>
        </w:rPr>
      </w:pPr>
      <w:r>
        <w:rPr>
          <w:rFonts w:hint="default"/>
          <w:lang w:val="en-US" w:eastAsia="zh-CN"/>
        </w:rPr>
        <w:t>其二，学员需求的分层化特征。学生参与动机呈现竞技提升与兴趣体验的多元光谱，易导致教学目标</w:t>
      </w:r>
      <w:r>
        <w:rPr>
          <w:rFonts w:hint="eastAsia"/>
          <w:lang w:val="en-US" w:eastAsia="zh-CN"/>
        </w:rPr>
        <w:t>产生</w:t>
      </w:r>
      <w:r>
        <w:rPr>
          <w:rFonts w:hint="default"/>
          <w:lang w:val="en-US" w:eastAsia="zh-CN"/>
        </w:rPr>
        <w:t>张力。这恰是深化因材施教的契机：本学期试点</w:t>
      </w:r>
      <w:r>
        <w:rPr>
          <w:rFonts w:hint="eastAsia"/>
          <w:lang w:val="en-US" w:eastAsia="zh-CN"/>
        </w:rPr>
        <w:t>“</w:t>
      </w:r>
      <w:r>
        <w:rPr>
          <w:rFonts w:hint="default"/>
          <w:lang w:val="en-US" w:eastAsia="zh-CN"/>
        </w:rPr>
        <w:t>双轨教学法</w:t>
      </w:r>
      <w:r>
        <w:rPr>
          <w:rFonts w:hint="eastAsia"/>
          <w:lang w:val="en-US" w:eastAsia="zh-CN"/>
        </w:rPr>
        <w:t>”</w:t>
      </w:r>
      <w:r>
        <w:rPr>
          <w:rFonts w:hint="default"/>
          <w:lang w:val="en-US" w:eastAsia="zh-CN"/>
        </w:rPr>
        <w:t>，在兴趣班融入游戏化成就体系（如三分射手</w:t>
      </w:r>
      <w:r>
        <w:rPr>
          <w:rFonts w:hint="eastAsia"/>
          <w:lang w:val="en-US" w:eastAsia="zh-CN"/>
        </w:rPr>
        <w:t>大赛等</w:t>
      </w:r>
      <w:r>
        <w:rPr>
          <w:rFonts w:hint="default"/>
          <w:lang w:val="en-US" w:eastAsia="zh-CN"/>
        </w:rPr>
        <w:t>），在服务平台提供心理健康科普知识课堂视频，使不同基础学员在各自赛道获得成长尊严。实践证明，当教学设计精准匹配发展需求，参与深度自然提升。</w:t>
      </w:r>
    </w:p>
    <w:p w14:paraId="666A960D">
      <w:pPr>
        <w:rPr>
          <w:rFonts w:hint="default"/>
          <w:lang w:val="en-US" w:eastAsia="zh-CN"/>
        </w:rPr>
      </w:pPr>
      <w:r>
        <w:rPr>
          <w:rFonts w:hint="default"/>
          <w:lang w:val="en-US" w:eastAsia="zh-CN"/>
        </w:rPr>
        <w:t>其</w:t>
      </w:r>
      <w:r>
        <w:rPr>
          <w:rFonts w:hint="eastAsia"/>
          <w:lang w:val="en-US" w:eastAsia="zh-CN"/>
        </w:rPr>
        <w:t>三</w:t>
      </w:r>
      <w:r>
        <w:rPr>
          <w:rFonts w:hint="default"/>
          <w:lang w:val="en-US" w:eastAsia="zh-CN"/>
        </w:rPr>
        <w:t>，运动安全的精细化管理。篮球运动固有的急停</w:t>
      </w:r>
      <w:r>
        <w:rPr>
          <w:rFonts w:hint="eastAsia"/>
          <w:lang w:val="en-US" w:eastAsia="zh-CN"/>
        </w:rPr>
        <w:t>对抗</w:t>
      </w:r>
      <w:r>
        <w:rPr>
          <w:rFonts w:hint="default"/>
          <w:lang w:val="en-US" w:eastAsia="zh-CN"/>
        </w:rPr>
        <w:t>特性，要求我们对损伤风险保持高度敬畏。</w:t>
      </w:r>
      <w:r>
        <w:rPr>
          <w:rFonts w:hint="eastAsia"/>
          <w:lang w:val="en-US" w:eastAsia="zh-CN"/>
        </w:rPr>
        <w:t>华越体育</w:t>
      </w:r>
      <w:r>
        <w:rPr>
          <w:rFonts w:hint="default"/>
          <w:lang w:val="en-US" w:eastAsia="zh-CN"/>
        </w:rPr>
        <w:t>将</w:t>
      </w:r>
      <w:r>
        <w:rPr>
          <w:rFonts w:hint="eastAsia"/>
          <w:lang w:val="en-US" w:eastAsia="zh-CN"/>
        </w:rPr>
        <w:t>“</w:t>
      </w:r>
      <w:r>
        <w:rPr>
          <w:rFonts w:hint="default"/>
          <w:lang w:val="en-US" w:eastAsia="zh-CN"/>
        </w:rPr>
        <w:t>安全阈值</w:t>
      </w:r>
      <w:r>
        <w:rPr>
          <w:rFonts w:hint="eastAsia"/>
          <w:lang w:val="en-US" w:eastAsia="zh-CN"/>
        </w:rPr>
        <w:t>”</w:t>
      </w:r>
      <w:r>
        <w:rPr>
          <w:rFonts w:hint="default"/>
          <w:lang w:val="en-US" w:eastAsia="zh-CN"/>
        </w:rPr>
        <w:t>设为教学红线：所有</w:t>
      </w:r>
      <w:r>
        <w:rPr>
          <w:rFonts w:hint="eastAsia"/>
          <w:lang w:val="en-US" w:eastAsia="zh-CN"/>
        </w:rPr>
        <w:t>校区</w:t>
      </w:r>
      <w:r>
        <w:rPr>
          <w:rFonts w:hint="default"/>
          <w:lang w:val="en-US" w:eastAsia="zh-CN"/>
        </w:rPr>
        <w:t>严格遵循</w:t>
      </w:r>
      <w:r>
        <w:rPr>
          <w:rFonts w:hint="eastAsia"/>
          <w:lang w:val="en-US" w:eastAsia="zh-CN"/>
        </w:rPr>
        <w:t>校园体育器材月度巡检机制</w:t>
      </w:r>
      <w:r>
        <w:rPr>
          <w:rFonts w:hint="default"/>
          <w:lang w:val="en-US" w:eastAsia="zh-CN"/>
        </w:rPr>
        <w:t>，</w:t>
      </w:r>
      <w:r>
        <w:rPr>
          <w:rFonts w:hint="eastAsia"/>
          <w:lang w:val="en-US" w:eastAsia="zh-CN"/>
        </w:rPr>
        <w:t>保障器械安全问题</w:t>
      </w:r>
      <w:r>
        <w:rPr>
          <w:rFonts w:hint="default"/>
          <w:lang w:val="en-US" w:eastAsia="zh-CN"/>
        </w:rPr>
        <w:t>；采用渐进式对抗训练法（如先</w:t>
      </w:r>
      <w:r>
        <w:rPr>
          <w:rFonts w:hint="eastAsia"/>
          <w:lang w:val="en-US" w:eastAsia="zh-CN"/>
        </w:rPr>
        <w:t>根据不同学员身体情况，调整对抗训练强度，分层式训练</w:t>
      </w:r>
      <w:r>
        <w:rPr>
          <w:rFonts w:hint="default"/>
          <w:lang w:val="en-US" w:eastAsia="zh-CN"/>
        </w:rPr>
        <w:t>），既保障技能真实性，又最大限度规避风险。本学期实现零责任事故，印证专业防控体系的可靠性。</w:t>
      </w:r>
    </w:p>
    <w:p w14:paraId="5FD524C4">
      <w:pPr>
        <w:rPr>
          <w:rFonts w:hint="default"/>
          <w:lang w:val="en-US" w:eastAsia="zh-CN"/>
        </w:rPr>
      </w:pPr>
      <w:r>
        <w:rPr>
          <w:rFonts w:hint="default"/>
          <w:lang w:val="en-US" w:eastAsia="zh-CN"/>
        </w:rPr>
        <w:t>这些挑战本质是体教融合深化期的共性课题。华越体育始终以建设性姿态直面问题——因为我们深信，真正的专业主义不在于回避困难，而在于将每个挑战转化为优化服务的支点。在与学校的紧密协同中，我们持续完善</w:t>
      </w:r>
      <w:r>
        <w:rPr>
          <w:rFonts w:hint="eastAsia"/>
          <w:lang w:val="en-US" w:eastAsia="zh-CN"/>
        </w:rPr>
        <w:t>“</w:t>
      </w:r>
      <w:r>
        <w:rPr>
          <w:rFonts w:hint="default"/>
          <w:lang w:val="en-US" w:eastAsia="zh-CN"/>
        </w:rPr>
        <w:t>预防-响应-提升</w:t>
      </w:r>
      <w:r>
        <w:rPr>
          <w:rFonts w:hint="eastAsia"/>
          <w:lang w:val="en-US" w:eastAsia="zh-CN"/>
        </w:rPr>
        <w:t>”</w:t>
      </w:r>
      <w:r>
        <w:rPr>
          <w:rFonts w:hint="default"/>
          <w:lang w:val="en-US" w:eastAsia="zh-CN"/>
        </w:rPr>
        <w:t>全周期管理机制</w:t>
      </w:r>
      <w:r>
        <w:rPr>
          <w:rFonts w:hint="eastAsia"/>
          <w:lang w:val="en-US" w:eastAsia="zh-CN"/>
        </w:rPr>
        <w:t>。</w:t>
      </w:r>
      <w:r>
        <w:rPr>
          <w:rFonts w:hint="default"/>
          <w:lang w:val="en-US" w:eastAsia="zh-CN"/>
        </w:rPr>
        <w:t>每一次对场地的细致排查、对课程的精心分层、对安全的极致苛求，都是对</w:t>
      </w:r>
      <w:r>
        <w:rPr>
          <w:rFonts w:hint="eastAsia"/>
          <w:lang w:val="en-US" w:eastAsia="zh-CN"/>
        </w:rPr>
        <w:t>“</w:t>
      </w:r>
      <w:r>
        <w:rPr>
          <w:rFonts w:hint="default"/>
          <w:lang w:val="en-US" w:eastAsia="zh-CN"/>
        </w:rPr>
        <w:t>健康第一</w:t>
      </w:r>
      <w:r>
        <w:rPr>
          <w:rFonts w:hint="eastAsia"/>
          <w:lang w:val="en-US" w:eastAsia="zh-CN"/>
        </w:rPr>
        <w:t>”</w:t>
      </w:r>
      <w:r>
        <w:rPr>
          <w:rFonts w:hint="default"/>
          <w:lang w:val="en-US" w:eastAsia="zh-CN"/>
        </w:rPr>
        <w:t>教育理念最坚实的践行。</w:t>
      </w:r>
    </w:p>
    <w:p w14:paraId="2A28F9C4">
      <w:pPr>
        <w:pStyle w:val="3"/>
        <w:numPr>
          <w:ilvl w:val="0"/>
          <w:numId w:val="7"/>
        </w:numPr>
        <w:bidi w:val="0"/>
        <w:ind w:left="0" w:leftChars="0" w:firstLine="567" w:firstLineChars="0"/>
        <w:rPr>
          <w:rFonts w:hint="default"/>
          <w:lang w:val="en-US" w:eastAsia="zh-CN"/>
        </w:rPr>
      </w:pPr>
      <w:bookmarkStart w:id="14" w:name="_Toc19036"/>
      <w:r>
        <w:rPr>
          <w:rFonts w:hint="eastAsia"/>
          <w:lang w:val="en-US" w:eastAsia="zh-CN"/>
        </w:rPr>
        <w:t>提升数字化服务</w:t>
      </w:r>
      <w:bookmarkEnd w:id="14"/>
    </w:p>
    <w:p w14:paraId="63AC20D5">
      <w:pPr>
        <w:rPr>
          <w:rFonts w:hint="default"/>
          <w:lang w:val="en-US" w:eastAsia="zh-CN"/>
        </w:rPr>
      </w:pPr>
      <w:r>
        <w:rPr>
          <w:rFonts w:hint="default"/>
          <w:lang w:val="en-US" w:eastAsia="zh-CN"/>
        </w:rPr>
        <w:t>每学期，华越体育为合作学校定制生成《校园篮球项目成果报告》，并为每一位学员提供个性化、可视化、可追踪的《专业成长报告》，切实做到</w:t>
      </w:r>
      <w:r>
        <w:rPr>
          <w:rFonts w:hint="eastAsia"/>
          <w:lang w:val="en-US" w:eastAsia="zh-CN"/>
        </w:rPr>
        <w:t>“</w:t>
      </w:r>
      <w:r>
        <w:rPr>
          <w:rFonts w:hint="default"/>
          <w:lang w:val="en-US" w:eastAsia="zh-CN"/>
        </w:rPr>
        <w:t>一校一汇报、一生一报告</w:t>
      </w:r>
      <w:r>
        <w:rPr>
          <w:rFonts w:hint="eastAsia"/>
          <w:lang w:val="en-US" w:eastAsia="zh-CN"/>
        </w:rPr>
        <w:t>”</w:t>
      </w:r>
      <w:r>
        <w:rPr>
          <w:rFonts w:hint="default"/>
          <w:lang w:val="en-US" w:eastAsia="zh-CN"/>
        </w:rPr>
        <w:t>，全面呈现教学成效与个体发展轨迹。</w:t>
      </w:r>
    </w:p>
    <w:p w14:paraId="26D89672">
      <w:pPr>
        <w:rPr>
          <w:rFonts w:hint="eastAsia"/>
          <w:lang w:val="en-US" w:eastAsia="zh-CN"/>
        </w:rPr>
      </w:pPr>
      <w:r>
        <w:rPr>
          <w:rFonts w:hint="default"/>
          <w:lang w:val="en-US" w:eastAsia="zh-CN"/>
        </w:rPr>
        <w:t>2022年9月，华越体育启动数字化转型，正式推出自有微信小程序及配套数据管理后台，构建起覆盖学员报名、课堂签到、课时记录、技能测评到成长追踪的全流程数字化服务体系。家长可通过小程序实时查阅机构介绍、课程安排、学员出勤及阶段性成长反馈；后台系统集成定位验证签到、课时自动统计、数据可视化分析等功能，显著提升运营效率与服务透明度。平台通过持续沉淀多维度篮球技能数据（如运球稳定性、投篮命中率、团队配合指数等），为教学策略动态调优提供科学依据，同时深度挖掘学员选课偏好、训练参与度及区域教学成效等关键洞察，为学校优化课程结构、打造体育特色品牌及统筹跨校资源提供有力支撑，有效推动校园篮球服务向科学化、精准化、专业化迈进</w:t>
      </w:r>
      <w:r>
        <w:rPr>
          <w:rFonts w:hint="eastAsia"/>
          <w:lang w:val="en-US" w:eastAsia="zh-CN"/>
        </w:rPr>
        <w:t>。</w:t>
      </w:r>
    </w:p>
    <w:p w14:paraId="7DA9063F">
      <w:pPr>
        <w:rPr>
          <w:rFonts w:hint="default"/>
          <w:lang w:val="en-US" w:eastAsia="zh-CN"/>
        </w:rPr>
      </w:pPr>
      <w:r>
        <w:rPr>
          <w:rFonts w:hint="default"/>
          <w:lang w:val="en-US" w:eastAsia="zh-CN"/>
        </w:rPr>
        <w:t>2025年，为进一步夯实数字底座、筑牢安全防线，</w:t>
      </w:r>
      <w:r>
        <w:rPr>
          <w:rFonts w:hint="eastAsia"/>
          <w:lang w:val="en-US" w:eastAsia="zh-CN"/>
        </w:rPr>
        <w:t>华越体育</w:t>
      </w:r>
      <w:r>
        <w:rPr>
          <w:rFonts w:hint="default"/>
          <w:lang w:val="en-US" w:eastAsia="zh-CN"/>
        </w:rPr>
        <w:t>对小程序及数据平台开展了全面的技术升级与安全加固。严格开展内部代码审计、漏洞扫描及第三方渗透测试，全面优化系统架构与数据加密机制，切实保障用户个人信息安全、课堂数据完整性和服务运行稳定性。此次升级不仅提升了平台的高可用性与抗风险能力，也为后续拓展应用</w:t>
      </w:r>
      <w:r>
        <w:rPr>
          <w:rFonts w:hint="eastAsia"/>
          <w:lang w:val="en-US" w:eastAsia="zh-CN"/>
        </w:rPr>
        <w:t>和稳定的数据分析</w:t>
      </w:r>
      <w:r>
        <w:rPr>
          <w:rFonts w:hint="default"/>
          <w:lang w:val="en-US" w:eastAsia="zh-CN"/>
        </w:rPr>
        <w:t>奠定坚实基础，持续以安全、可靠、高效的数字化能力赋能校园体育高质量发展。</w:t>
      </w:r>
    </w:p>
    <w:p w14:paraId="723A83AA">
      <w:pPr>
        <w:rPr>
          <w:rFonts w:hint="default"/>
          <w:vertAlign w:val="baseline"/>
          <w:lang w:val="en-US" w:eastAsia="zh-CN"/>
        </w:rPr>
      </w:pPr>
      <w:r>
        <w:rPr>
          <w:rFonts w:hint="default"/>
          <w:lang w:val="en-US" w:eastAsia="zh-CN"/>
        </w:rPr>
        <w:t>华越体育始终视服务品质为立身之本，以持续迭代的创新实践践行国企担当。从2022年启动数字化转型构建全流程管理平台，到2025年全面筑牢安全防线，我们以年年精进的定力推动服务升级这些努力，不仅是技术层面的自我超越，更是对</w:t>
      </w:r>
      <w:r>
        <w:rPr>
          <w:rFonts w:hint="eastAsia"/>
          <w:lang w:val="en-US" w:eastAsia="zh-CN"/>
        </w:rPr>
        <w:t>“安全第一”</w:t>
      </w:r>
      <w:r>
        <w:rPr>
          <w:rFonts w:hint="default"/>
          <w:lang w:val="en-US" w:eastAsia="zh-CN"/>
        </w:rPr>
        <w:t>教育理念的具身化诠释——当数据安全守护成长隐私，当精准分析赋能教学革新，我们便在细微处筑牢体教融合的数字基石。未来，华越体育将继续以专业温度与科技精度，助力学校构建</w:t>
      </w:r>
      <w:r>
        <w:rPr>
          <w:rFonts w:hint="eastAsia"/>
          <w:lang w:val="en-US" w:eastAsia="zh-CN"/>
        </w:rPr>
        <w:t>“</w:t>
      </w:r>
      <w:r>
        <w:rPr>
          <w:rFonts w:hint="default"/>
          <w:lang w:val="en-US" w:eastAsia="zh-CN"/>
        </w:rPr>
        <w:t>五育并举</w:t>
      </w:r>
      <w:r>
        <w:rPr>
          <w:rFonts w:hint="eastAsia"/>
          <w:lang w:val="en-US" w:eastAsia="zh-CN"/>
        </w:rPr>
        <w:t>”</w:t>
      </w:r>
      <w:r>
        <w:rPr>
          <w:rFonts w:hint="default"/>
          <w:lang w:val="en-US" w:eastAsia="zh-CN"/>
        </w:rPr>
        <w:t>的智慧育人新生态。</w:t>
      </w:r>
    </w:p>
    <w:tbl>
      <w:tblPr>
        <w:tblStyle w:val="15"/>
        <w:tblpPr w:leftFromText="180" w:rightFromText="180" w:vertAnchor="text" w:horzAnchor="page" w:tblpX="1801" w:tblpY="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71"/>
        <w:gridCol w:w="4151"/>
      </w:tblGrid>
      <w:tr w14:paraId="4D753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gridSpan w:val="2"/>
            <w:noWrap w:val="0"/>
            <w:vAlign w:val="center"/>
          </w:tcPr>
          <w:p w14:paraId="12F5150A">
            <w:pPr>
              <w:bidi w:val="0"/>
              <w:ind w:left="0" w:leftChars="0" w:firstLine="0" w:firstLineChars="0"/>
              <w:jc w:val="center"/>
              <w:rPr>
                <w:rFonts w:hint="default" w:eastAsia="华文仿宋"/>
                <w:color w:val="auto"/>
                <w:vertAlign w:val="baseline"/>
                <w:lang w:val="en-US" w:eastAsia="zh-CN"/>
              </w:rPr>
            </w:pPr>
            <w:r>
              <w:drawing>
                <wp:inline distT="0" distB="0" distL="114300" distR="114300">
                  <wp:extent cx="5271135" cy="2498090"/>
                  <wp:effectExtent l="0" t="0" r="5715" b="165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7"/>
                          <a:stretch>
                            <a:fillRect/>
                          </a:stretch>
                        </pic:blipFill>
                        <pic:spPr>
                          <a:xfrm>
                            <a:off x="0" y="0"/>
                            <a:ext cx="5271135" cy="2498090"/>
                          </a:xfrm>
                          <a:prstGeom prst="rect">
                            <a:avLst/>
                          </a:prstGeom>
                          <a:noFill/>
                          <a:ln>
                            <a:noFill/>
                          </a:ln>
                        </pic:spPr>
                      </pic:pic>
                    </a:graphicData>
                  </a:graphic>
                </wp:inline>
              </w:drawing>
            </w:r>
          </w:p>
        </w:tc>
      </w:tr>
      <w:tr w14:paraId="4A5E0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5" w:type="dxa"/>
            <w:noWrap w:val="0"/>
            <w:vAlign w:val="center"/>
          </w:tcPr>
          <w:p w14:paraId="74391E49">
            <w:pPr>
              <w:pStyle w:val="5"/>
              <w:bidi w:val="0"/>
              <w:ind w:left="0" w:leftChars="0" w:firstLine="0" w:firstLineChars="0"/>
              <w:jc w:val="center"/>
              <w:rPr>
                <w:rFonts w:hint="default"/>
                <w:lang w:val="en-US" w:eastAsia="zh-CN"/>
              </w:rPr>
            </w:pPr>
            <w:r>
              <w:rPr>
                <w:rFonts w:hint="default"/>
                <w:lang w:val="en-US" w:eastAsia="zh-CN"/>
              </w:rPr>
              <w:drawing>
                <wp:inline distT="0" distB="0" distL="114300" distR="114300">
                  <wp:extent cx="2546350" cy="3449955"/>
                  <wp:effectExtent l="0" t="0" r="6350" b="17145"/>
                  <wp:docPr id="3" name="图片 29" descr="5563baee94692198cccfbb0b0b63f318"/>
                  <wp:cNvGraphicFramePr/>
                  <a:graphic xmlns:a="http://schemas.openxmlformats.org/drawingml/2006/main">
                    <a:graphicData uri="http://schemas.openxmlformats.org/drawingml/2006/picture">
                      <pic:pic xmlns:pic="http://schemas.openxmlformats.org/drawingml/2006/picture">
                        <pic:nvPicPr>
                          <pic:cNvPr id="3" name="图片 29" descr="5563baee94692198cccfbb0b0b63f318"/>
                          <pic:cNvPicPr/>
                        </pic:nvPicPr>
                        <pic:blipFill>
                          <a:blip r:embed="rId58"/>
                          <a:stretch>
                            <a:fillRect/>
                          </a:stretch>
                        </pic:blipFill>
                        <pic:spPr>
                          <a:xfrm>
                            <a:off x="0" y="0"/>
                            <a:ext cx="2546350" cy="3449955"/>
                          </a:xfrm>
                          <a:prstGeom prst="rect">
                            <a:avLst/>
                          </a:prstGeom>
                          <a:noFill/>
                          <a:ln>
                            <a:noFill/>
                          </a:ln>
                        </pic:spPr>
                      </pic:pic>
                    </a:graphicData>
                  </a:graphic>
                </wp:inline>
              </w:drawing>
            </w:r>
          </w:p>
        </w:tc>
        <w:tc>
          <w:tcPr>
            <w:tcW w:w="4227" w:type="dxa"/>
            <w:noWrap w:val="0"/>
            <w:vAlign w:val="center"/>
          </w:tcPr>
          <w:p w14:paraId="0DC1FCD0">
            <w:pPr>
              <w:pStyle w:val="5"/>
              <w:bidi w:val="0"/>
              <w:ind w:left="0" w:leftChars="0" w:firstLine="0" w:firstLineChars="0"/>
              <w:jc w:val="center"/>
              <w:rPr>
                <w:rFonts w:hint="default"/>
                <w:lang w:val="en-US" w:eastAsia="zh-CN"/>
              </w:rPr>
            </w:pPr>
            <w:r>
              <w:rPr>
                <w:rFonts w:hint="eastAsia"/>
                <w:lang w:val="en-US" w:eastAsia="zh-CN"/>
              </w:rPr>
              <w:drawing>
                <wp:inline distT="0" distB="0" distL="114300" distR="114300">
                  <wp:extent cx="2319020" cy="3544570"/>
                  <wp:effectExtent l="0" t="0" r="5080" b="17780"/>
                  <wp:docPr id="34" name="图片 44" descr="小程序2"/>
                  <wp:cNvGraphicFramePr/>
                  <a:graphic xmlns:a="http://schemas.openxmlformats.org/drawingml/2006/main">
                    <a:graphicData uri="http://schemas.openxmlformats.org/drawingml/2006/picture">
                      <pic:pic xmlns:pic="http://schemas.openxmlformats.org/drawingml/2006/picture">
                        <pic:nvPicPr>
                          <pic:cNvPr id="34" name="图片 44" descr="小程序2"/>
                          <pic:cNvPicPr/>
                        </pic:nvPicPr>
                        <pic:blipFill>
                          <a:blip r:embed="rId59"/>
                          <a:stretch>
                            <a:fillRect/>
                          </a:stretch>
                        </pic:blipFill>
                        <pic:spPr>
                          <a:xfrm>
                            <a:off x="0" y="0"/>
                            <a:ext cx="2319020" cy="3544570"/>
                          </a:xfrm>
                          <a:prstGeom prst="rect">
                            <a:avLst/>
                          </a:prstGeom>
                          <a:noFill/>
                          <a:ln>
                            <a:noFill/>
                          </a:ln>
                        </pic:spPr>
                      </pic:pic>
                    </a:graphicData>
                  </a:graphic>
                </wp:inline>
              </w:drawing>
            </w:r>
          </w:p>
        </w:tc>
      </w:tr>
    </w:tbl>
    <w:p w14:paraId="01824C96">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数字化平台建设</w:t>
      </w:r>
    </w:p>
    <w:p w14:paraId="0274D5EC">
      <w:pPr>
        <w:pStyle w:val="3"/>
        <w:bidi w:val="0"/>
        <w:ind w:left="0" w:leftChars="0" w:firstLine="0" w:firstLineChars="0"/>
        <w:rPr>
          <w:rFonts w:hint="default"/>
          <w:lang w:val="en-US" w:eastAsia="zh-CN"/>
        </w:rPr>
      </w:pPr>
      <w:bookmarkStart w:id="15" w:name="_Toc3847"/>
      <w:r>
        <w:rPr>
          <w:rFonts w:hint="eastAsia"/>
          <w:lang w:val="en-US" w:eastAsia="zh-CN"/>
        </w:rPr>
        <w:t>未来建设愿景</w:t>
      </w:r>
      <w:bookmarkEnd w:id="15"/>
    </w:p>
    <w:p w14:paraId="5D016425">
      <w:pPr>
        <w:rPr>
          <w:rFonts w:hint="default"/>
          <w:lang w:val="en-US" w:eastAsia="zh-CN"/>
        </w:rPr>
      </w:pPr>
      <w:r>
        <w:rPr>
          <w:rFonts w:hint="default"/>
          <w:lang w:val="en-US" w:eastAsia="zh-CN"/>
        </w:rPr>
        <w:t>展望未来，华越体育将立足</w:t>
      </w:r>
      <w:r>
        <w:rPr>
          <w:rFonts w:hint="eastAsia"/>
          <w:lang w:val="en-US" w:eastAsia="zh-CN"/>
        </w:rPr>
        <w:t>“</w:t>
      </w:r>
      <w:r>
        <w:rPr>
          <w:rFonts w:hint="default"/>
          <w:lang w:val="en-US" w:eastAsia="zh-CN"/>
        </w:rPr>
        <w:t>立德树人</w:t>
      </w:r>
      <w:r>
        <w:rPr>
          <w:rFonts w:hint="eastAsia"/>
          <w:lang w:val="en-US" w:eastAsia="zh-CN"/>
        </w:rPr>
        <w:t>”</w:t>
      </w:r>
      <w:r>
        <w:rPr>
          <w:rFonts w:hint="default"/>
          <w:lang w:val="en-US" w:eastAsia="zh-CN"/>
        </w:rPr>
        <w:t>根本任务，系统构建以篮球运动为载体的全人教育生态。在学生培养维度，我们聚焦运动习惯养成、心理韧性锤炼与团队精神涵育：通过结构化训练体系，引导学生领悟</w:t>
      </w:r>
      <w:r>
        <w:rPr>
          <w:rFonts w:hint="eastAsia"/>
          <w:lang w:val="en-US" w:eastAsia="zh-CN"/>
        </w:rPr>
        <w:t>“</w:t>
      </w:r>
      <w:r>
        <w:rPr>
          <w:rFonts w:hint="default"/>
          <w:lang w:val="en-US" w:eastAsia="zh-CN"/>
        </w:rPr>
        <w:t>胜不骄、败不馁</w:t>
      </w:r>
      <w:r>
        <w:rPr>
          <w:rFonts w:hint="eastAsia"/>
          <w:lang w:val="en-US" w:eastAsia="zh-CN"/>
        </w:rPr>
        <w:t>”</w:t>
      </w:r>
      <w:r>
        <w:rPr>
          <w:rFonts w:hint="default"/>
          <w:lang w:val="en-US" w:eastAsia="zh-CN"/>
        </w:rPr>
        <w:t>的竞技哲学，在规则对抗中深化对公平竞争与体育道德的认知；以</w:t>
      </w:r>
      <w:r>
        <w:rPr>
          <w:rFonts w:hint="eastAsia"/>
          <w:lang w:val="en-US" w:eastAsia="zh-CN"/>
        </w:rPr>
        <w:t>“</w:t>
      </w:r>
      <w:r>
        <w:rPr>
          <w:rFonts w:hint="default"/>
          <w:lang w:val="en-US" w:eastAsia="zh-CN"/>
        </w:rPr>
        <w:t>尊重、责任、界限</w:t>
      </w:r>
      <w:r>
        <w:rPr>
          <w:rFonts w:hint="eastAsia"/>
          <w:lang w:val="en-US" w:eastAsia="zh-CN"/>
        </w:rPr>
        <w:t>”</w:t>
      </w:r>
      <w:r>
        <w:rPr>
          <w:rFonts w:hint="default"/>
          <w:lang w:val="en-US" w:eastAsia="zh-CN"/>
        </w:rPr>
        <w:t>三大核心价值为纲，将尊重裁判与队友的礼仪、岗位职责的担当意识、规则边界的敬畏之心，内化为日常行为准则；同步依托统一队服、专属口号及仪式传统，塑造具有凝聚力的团队文化，使学生在身份认同中收获归属感。我们更注重发掘个体在运动协调性、空间感知力及战术理解力等维度的潜能，以积极愉悦的课堂体验，让篮球运动升华为受益终身的健康生活方式。</w:t>
      </w:r>
    </w:p>
    <w:p w14:paraId="7CCCEEB8">
      <w:pPr>
        <w:rPr>
          <w:rFonts w:hint="default"/>
          <w:lang w:val="en-US" w:eastAsia="zh-CN"/>
        </w:rPr>
      </w:pPr>
      <w:r>
        <w:rPr>
          <w:rFonts w:hint="default"/>
          <w:lang w:val="en-US" w:eastAsia="zh-CN"/>
        </w:rPr>
        <w:t>在协同共建层面，我们致力于打破服务边界，与学校、家庭、学生共筑育人合力：与学校深度协同，推动篮球课程融入校园文化肌理——将体育节、班级联赛等平台转化为展示校风校貌的窗口，使运动场成为彰显集体荣誉与精神风貌的育人阵地；与家长携手共育，通过定制化家长会、沉浸式比赛观摩，传递</w:t>
      </w:r>
      <w:r>
        <w:rPr>
          <w:rFonts w:hint="eastAsia"/>
          <w:lang w:val="en-US" w:eastAsia="zh-CN"/>
        </w:rPr>
        <w:t>“</w:t>
      </w:r>
      <w:r>
        <w:rPr>
          <w:rFonts w:hint="default"/>
          <w:lang w:val="en-US" w:eastAsia="zh-CN"/>
        </w:rPr>
        <w:t>体育</w:t>
      </w:r>
      <w:r>
        <w:rPr>
          <w:rFonts w:hint="eastAsia"/>
          <w:lang w:val="en-US" w:eastAsia="zh-CN"/>
        </w:rPr>
        <w:t>教育</w:t>
      </w:r>
      <w:r>
        <w:rPr>
          <w:rFonts w:hint="default"/>
          <w:lang w:val="en-US" w:eastAsia="zh-CN"/>
        </w:rPr>
        <w:t>即人格教育</w:t>
      </w:r>
      <w:r>
        <w:rPr>
          <w:rFonts w:hint="eastAsia"/>
          <w:lang w:val="en-US" w:eastAsia="zh-CN"/>
        </w:rPr>
        <w:t>”</w:t>
      </w:r>
      <w:r>
        <w:rPr>
          <w:rFonts w:hint="default"/>
          <w:lang w:val="en-US" w:eastAsia="zh-CN"/>
        </w:rPr>
        <w:t>的深层价值，以可视化成长案例（如自信心提升、纪律性强化、社交能力进阶）赢得家庭对体育教育的理解与支持；与学生共创共享，培育队长、组长担任学生助教，赋予其训练组织与团队管理职责，在角色担当中淬炼领导力，推动团队文化从</w:t>
      </w:r>
      <w:r>
        <w:rPr>
          <w:rFonts w:hint="eastAsia"/>
          <w:lang w:val="en-US" w:eastAsia="zh-CN"/>
        </w:rPr>
        <w:t>“</w:t>
      </w:r>
      <w:r>
        <w:rPr>
          <w:rFonts w:hint="default"/>
          <w:lang w:val="en-US" w:eastAsia="zh-CN"/>
        </w:rPr>
        <w:t>教练主导</w:t>
      </w:r>
      <w:r>
        <w:rPr>
          <w:rFonts w:hint="eastAsia"/>
          <w:lang w:val="en-US" w:eastAsia="zh-CN"/>
        </w:rPr>
        <w:t>”</w:t>
      </w:r>
      <w:r>
        <w:rPr>
          <w:rFonts w:hint="default"/>
          <w:lang w:val="en-US" w:eastAsia="zh-CN"/>
        </w:rPr>
        <w:t>向</w:t>
      </w:r>
      <w:r>
        <w:rPr>
          <w:rFonts w:hint="eastAsia"/>
          <w:lang w:val="en-US" w:eastAsia="zh-CN"/>
        </w:rPr>
        <w:t>“</w:t>
      </w:r>
      <w:r>
        <w:rPr>
          <w:rFonts w:hint="default"/>
          <w:lang w:val="en-US" w:eastAsia="zh-CN"/>
        </w:rPr>
        <w:t>学生自治</w:t>
      </w:r>
      <w:r>
        <w:rPr>
          <w:rFonts w:hint="eastAsia"/>
          <w:lang w:val="en-US" w:eastAsia="zh-CN"/>
        </w:rPr>
        <w:t>”</w:t>
      </w:r>
      <w:r>
        <w:rPr>
          <w:rFonts w:hint="default"/>
          <w:lang w:val="en-US" w:eastAsia="zh-CN"/>
        </w:rPr>
        <w:t>传承演进，最终形成生生不息的运动共同体。</w:t>
      </w:r>
    </w:p>
    <w:p w14:paraId="011A7CCA">
      <w:r>
        <w:rPr>
          <w:rFonts w:hint="default"/>
          <w:lang w:val="en-US" w:eastAsia="zh-CN"/>
        </w:rPr>
        <w:t>这一愿景的本质，是将体育从单一技能传授升维至生命教育的高度。华越体育愿以专业定力与创新实践，助力学校构建</w:t>
      </w:r>
      <w:r>
        <w:rPr>
          <w:rFonts w:hint="eastAsia"/>
          <w:lang w:val="en-US" w:eastAsia="zh-CN"/>
        </w:rPr>
        <w:t>“</w:t>
      </w:r>
      <w:r>
        <w:rPr>
          <w:rFonts w:hint="default"/>
          <w:lang w:val="en-US" w:eastAsia="zh-CN"/>
        </w:rPr>
        <w:t>五育融合</w:t>
      </w:r>
      <w:r>
        <w:rPr>
          <w:rFonts w:hint="eastAsia"/>
          <w:lang w:val="en-US" w:eastAsia="zh-CN"/>
        </w:rPr>
        <w:t>”</w:t>
      </w:r>
      <w:r>
        <w:rPr>
          <w:rFonts w:hint="default"/>
          <w:lang w:val="en-US" w:eastAsia="zh-CN"/>
        </w:rPr>
        <w:t>的鲜活样本——当每一次传球传递信任，每一次跌倒重拾勇气，我们便在细微处播种健全人格的种子，为培养德智体美劳全面发展的时代新人贡献国企力量。</w:t>
      </w:r>
    </w:p>
    <w:p w14:paraId="4CF638D4"/>
    <w:sectPr>
      <w:headerReference r:id="rId13" w:type="default"/>
      <w:footerReference r:id="rId14"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2864A">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893A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7E893A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01AAA">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DBE9">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4EC87">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3118D">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5E792">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0325E792">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F60E">
    <w:pPr>
      <w:pStyle w:val="10"/>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71EA3029">
    <w:pPr>
      <w:pStyle w:val="10"/>
      <w:pBdr>
        <w:bottom w:val="none" w:color="auto" w:sz="0" w:space="1"/>
      </w:pBdr>
      <w:rPr>
        <w:rFonts w:hint="eastAsia" w:eastAsia="宋体"/>
        <w:lang w:val="en-US" w:eastAsia="zh-CN"/>
      </w:rPr>
    </w:pPr>
  </w:p>
  <w:p w14:paraId="3DDF2CB7">
    <w:pPr>
      <w:pStyle w:val="10"/>
      <w:pBdr>
        <w:bottom w:val="none" w:color="auto" w:sz="0" w:space="1"/>
      </w:pBdr>
      <w:rPr>
        <w:rFonts w:hint="eastAsia" w:eastAsia="宋体"/>
        <w:lang w:val="en-US" w:eastAsia="zh-CN"/>
      </w:rPr>
    </w:pPr>
  </w:p>
  <w:p w14:paraId="703CE6A9">
    <w:pPr>
      <w:pStyle w:val="10"/>
      <w:pBdr>
        <w:bottom w:val="none" w:color="auto" w:sz="0" w:space="1"/>
      </w:pBdr>
      <w:rPr>
        <w:rFonts w:hint="eastAsia" w:eastAsia="宋体"/>
        <w:lang w:val="en-US" w:eastAsia="zh-CN"/>
      </w:rPr>
    </w:pPr>
  </w:p>
  <w:p w14:paraId="54DA84E4">
    <w:pPr>
      <w:pStyle w:val="10"/>
      <w:pBdr>
        <w:bottom w:val="none" w:color="auto" w:sz="0" w:space="1"/>
      </w:pBdr>
      <w:rPr>
        <w:rFonts w:hint="eastAsia" w:eastAsia="宋体"/>
        <w:lang w:val="en-US" w:eastAsia="zh-CN"/>
      </w:rPr>
    </w:pPr>
  </w:p>
  <w:p w14:paraId="42EC2F25">
    <w:pPr>
      <w:pStyle w:val="10"/>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2A3F7">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05699">
    <w:pPr>
      <w:pStyle w:val="10"/>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体育服务内容</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1F30F">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F2E30">
    <w:pPr>
      <w:pStyle w:val="10"/>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体育服务内容</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B8E3E"/>
    <w:multiLevelType w:val="singleLevel"/>
    <w:tmpl w:val="903B8E3E"/>
    <w:lvl w:ilvl="0" w:tentative="0">
      <w:start w:val="1"/>
      <w:numFmt w:val="chineseCounting"/>
      <w:suff w:val="nothing"/>
      <w:lvlText w:val="%1、"/>
      <w:lvlJc w:val="left"/>
      <w:pPr>
        <w:ind w:left="0" w:firstLine="420"/>
      </w:pPr>
      <w:rPr>
        <w:rFonts w:hint="eastAsia"/>
      </w:rPr>
    </w:lvl>
  </w:abstractNum>
  <w:abstractNum w:abstractNumId="1">
    <w:nsid w:val="AF0FC9C1"/>
    <w:multiLevelType w:val="singleLevel"/>
    <w:tmpl w:val="AF0FC9C1"/>
    <w:lvl w:ilvl="0" w:tentative="0">
      <w:start w:val="1"/>
      <w:numFmt w:val="chineseCounting"/>
      <w:suff w:val="nothing"/>
      <w:lvlText w:val="（%1）"/>
      <w:lvlJc w:val="left"/>
      <w:pPr>
        <w:ind w:left="0" w:firstLine="567"/>
      </w:pPr>
      <w:rPr>
        <w:rFonts w:hint="eastAsia"/>
      </w:rPr>
    </w:lvl>
  </w:abstractNum>
  <w:abstractNum w:abstractNumId="2">
    <w:nsid w:val="D68E5055"/>
    <w:multiLevelType w:val="singleLevel"/>
    <w:tmpl w:val="D68E5055"/>
    <w:lvl w:ilvl="0" w:tentative="0">
      <w:start w:val="1"/>
      <w:numFmt w:val="chineseCounting"/>
      <w:suff w:val="nothing"/>
      <w:lvlText w:val="（%1）"/>
      <w:lvlJc w:val="left"/>
      <w:pPr>
        <w:ind w:left="0" w:firstLine="567"/>
      </w:pPr>
      <w:rPr>
        <w:rFonts w:hint="eastAsia"/>
      </w:rPr>
    </w:lvl>
  </w:abstractNum>
  <w:abstractNum w:abstractNumId="3">
    <w:nsid w:val="DBC5F32F"/>
    <w:multiLevelType w:val="singleLevel"/>
    <w:tmpl w:val="DBC5F32F"/>
    <w:lvl w:ilvl="0" w:tentative="0">
      <w:start w:val="1"/>
      <w:numFmt w:val="decimal"/>
      <w:suff w:val="space"/>
      <w:lvlText w:val="%1."/>
      <w:lvlJc w:val="left"/>
      <w:pPr>
        <w:ind w:left="0" w:leftChars="0" w:firstLine="567" w:firstLineChars="0"/>
      </w:pPr>
      <w:rPr>
        <w:rFonts w:hint="default"/>
      </w:rPr>
    </w:lvl>
  </w:abstractNum>
  <w:abstractNum w:abstractNumId="4">
    <w:nsid w:val="373E60B9"/>
    <w:multiLevelType w:val="singleLevel"/>
    <w:tmpl w:val="373E60B9"/>
    <w:lvl w:ilvl="0" w:tentative="0">
      <w:start w:val="1"/>
      <w:numFmt w:val="decimal"/>
      <w:pStyle w:val="4"/>
      <w:suff w:val="space"/>
      <w:lvlText w:val="%1."/>
      <w:lvlJc w:val="left"/>
      <w:pPr>
        <w:ind w:left="425" w:firstLine="142"/>
      </w:pPr>
      <w:rPr>
        <w:rFonts w:hint="default"/>
      </w:rPr>
    </w:lvl>
  </w:abstractNum>
  <w:abstractNum w:abstractNumId="5">
    <w:nsid w:val="4CF41B88"/>
    <w:multiLevelType w:val="singleLevel"/>
    <w:tmpl w:val="4CF41B88"/>
    <w:lvl w:ilvl="0" w:tentative="0">
      <w:start w:val="1"/>
      <w:numFmt w:val="chineseCounting"/>
      <w:suff w:val="nothing"/>
      <w:lvlText w:val="（%1）"/>
      <w:lvlJc w:val="left"/>
      <w:pPr>
        <w:ind w:left="0" w:firstLine="567"/>
      </w:pPr>
      <w:rPr>
        <w:rFonts w:hint="eastAsia"/>
      </w:rPr>
    </w:lvl>
  </w:abstractNum>
  <w:abstractNum w:abstractNumId="6">
    <w:nsid w:val="7552B805"/>
    <w:multiLevelType w:val="singleLevel"/>
    <w:tmpl w:val="7552B805"/>
    <w:lvl w:ilvl="0" w:tentative="0">
      <w:start w:val="1"/>
      <w:numFmt w:val="chineseCounting"/>
      <w:pStyle w:val="3"/>
      <w:suff w:val="nothing"/>
      <w:lvlText w:val="（%1）"/>
      <w:lvlJc w:val="left"/>
      <w:pPr>
        <w:ind w:left="0" w:firstLine="0"/>
      </w:pPr>
      <w:rPr>
        <w:rFonts w:hint="eastAsia"/>
      </w:rPr>
    </w:lvl>
  </w:abstractNum>
  <w:num w:numId="1">
    <w:abstractNumId w:val="6"/>
  </w:num>
  <w:num w:numId="2">
    <w:abstractNumId w:val="4"/>
  </w:num>
  <w:num w:numId="3">
    <w:abstractNumId w:val="0"/>
  </w:num>
  <w:num w:numId="4">
    <w:abstractNumId w:val="2"/>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25864"/>
    <w:rsid w:val="073D2C41"/>
    <w:rsid w:val="07C1191B"/>
    <w:rsid w:val="08A27AC8"/>
    <w:rsid w:val="0BC32687"/>
    <w:rsid w:val="0FA20891"/>
    <w:rsid w:val="13DF420F"/>
    <w:rsid w:val="14C95F28"/>
    <w:rsid w:val="1A9A5ED5"/>
    <w:rsid w:val="1BEC5FB9"/>
    <w:rsid w:val="1FF674CC"/>
    <w:rsid w:val="20861AF9"/>
    <w:rsid w:val="228238D5"/>
    <w:rsid w:val="22A81B30"/>
    <w:rsid w:val="23232F8C"/>
    <w:rsid w:val="234B1A17"/>
    <w:rsid w:val="2CDE1F30"/>
    <w:rsid w:val="367C093A"/>
    <w:rsid w:val="3D913270"/>
    <w:rsid w:val="3FF54B72"/>
    <w:rsid w:val="404A37EE"/>
    <w:rsid w:val="439B324D"/>
    <w:rsid w:val="44AF0A7A"/>
    <w:rsid w:val="44F75334"/>
    <w:rsid w:val="457A197F"/>
    <w:rsid w:val="489C2CDB"/>
    <w:rsid w:val="48B1167D"/>
    <w:rsid w:val="49AF724A"/>
    <w:rsid w:val="4AA246B9"/>
    <w:rsid w:val="509C604E"/>
    <w:rsid w:val="50A33F28"/>
    <w:rsid w:val="5A6D1940"/>
    <w:rsid w:val="5ACF3A36"/>
    <w:rsid w:val="5C4B742C"/>
    <w:rsid w:val="5DA30A1C"/>
    <w:rsid w:val="5F3A1A7C"/>
    <w:rsid w:val="64F41B5D"/>
    <w:rsid w:val="65443C79"/>
    <w:rsid w:val="693D4C41"/>
    <w:rsid w:val="694D4F50"/>
    <w:rsid w:val="69812437"/>
    <w:rsid w:val="6F7C763A"/>
    <w:rsid w:val="71600DC5"/>
    <w:rsid w:val="75D82CCE"/>
    <w:rsid w:val="77956D52"/>
    <w:rsid w:val="78025864"/>
    <w:rsid w:val="78132B87"/>
    <w:rsid w:val="7C222636"/>
    <w:rsid w:val="7CAA1027"/>
    <w:rsid w:val="7E1E36D8"/>
    <w:rsid w:val="7E76139C"/>
    <w:rsid w:val="7F402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pPr>
    <w:rPr>
      <w:rFonts w:ascii="仿宋" w:hAnsi="仿宋" w:eastAsia="华文仿宋" w:cs="仿宋"/>
      <w:snapToGrid w:val="0"/>
      <w:color w:val="auto"/>
      <w:kern w:val="2"/>
      <w:sz w:val="32"/>
      <w:szCs w:val="32"/>
      <w:lang w:val="en-US" w:eastAsia="en-US" w:bidi="ar-SA"/>
    </w:rPr>
  </w:style>
  <w:style w:type="paragraph" w:styleId="2">
    <w:name w:val="heading 1"/>
    <w:basedOn w:val="1"/>
    <w:next w:val="1"/>
    <w:link w:val="18"/>
    <w:qFormat/>
    <w:uiPriority w:val="0"/>
    <w:pPr>
      <w:keepNext/>
      <w:keepLines/>
      <w:spacing w:before="50" w:beforeLines="50" w:beforeAutospacing="0" w:after="50" w:afterLines="50" w:afterAutospacing="0" w:line="360" w:lineRule="auto"/>
      <w:jc w:val="center"/>
      <w:outlineLvl w:val="0"/>
    </w:pPr>
    <w:rPr>
      <w:rFonts w:ascii="黑体" w:hAnsi="黑体" w:eastAsia="黑体"/>
      <w:b/>
      <w:color w:val="000000" w:themeColor="text1"/>
      <w:kern w:val="44"/>
      <w14:textFill>
        <w14:solidFill>
          <w14:schemeClr w14:val="tx1"/>
        </w14:solidFill>
      </w14:textFill>
    </w:rPr>
  </w:style>
  <w:style w:type="paragraph" w:styleId="3">
    <w:name w:val="heading 2"/>
    <w:basedOn w:val="1"/>
    <w:next w:val="1"/>
    <w:unhideWhenUsed/>
    <w:qFormat/>
    <w:uiPriority w:val="0"/>
    <w:pPr>
      <w:keepNext/>
      <w:keepLines/>
      <w:numPr>
        <w:ilvl w:val="0"/>
        <w:numId w:val="1"/>
      </w:numPr>
      <w:tabs>
        <w:tab w:val="left" w:pos="0"/>
      </w:tabs>
      <w:spacing w:before="260" w:beforeLines="0" w:beforeAutospacing="0" w:after="260" w:afterLines="0" w:afterAutospacing="0" w:line="413" w:lineRule="auto"/>
      <w:ind w:firstLine="0" w:firstLineChars="0"/>
      <w:outlineLvl w:val="1"/>
    </w:pPr>
    <w:rPr>
      <w:rFonts w:ascii="Arial" w:hAnsi="Arial" w:eastAsia="黑体"/>
      <w:b/>
    </w:rPr>
  </w:style>
  <w:style w:type="paragraph" w:styleId="4">
    <w:name w:val="heading 3"/>
    <w:basedOn w:val="1"/>
    <w:next w:val="1"/>
    <w:unhideWhenUsed/>
    <w:qFormat/>
    <w:uiPriority w:val="0"/>
    <w:pPr>
      <w:keepNext/>
      <w:keepLines/>
      <w:numPr>
        <w:ilvl w:val="0"/>
        <w:numId w:val="2"/>
      </w:numPr>
      <w:spacing w:before="50" w:beforeLines="50" w:beforeAutospacing="0" w:after="50" w:afterLines="50" w:afterAutospacing="0" w:line="413" w:lineRule="auto"/>
      <w:ind w:left="425" w:firstLine="142" w:firstLineChars="0"/>
      <w:outlineLvl w:val="2"/>
    </w:pPr>
    <w:rPr>
      <w:rFonts w:eastAsia="黑体"/>
      <w:b/>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Body Text"/>
    <w:basedOn w:val="1"/>
    <w:qFormat/>
    <w:uiPriority w:val="0"/>
    <w:rPr>
      <w:rFonts w:ascii="Arial" w:hAnsi="Arial" w:eastAsia="Arial" w:cs="Arial"/>
      <w:sz w:val="21"/>
      <w:szCs w:val="21"/>
      <w:lang w:val="en-US" w:eastAsia="en-US" w:bidi="ar-SA"/>
    </w:r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customStyle="1" w:styleId="18">
    <w:name w:val="标题 1 Char"/>
    <w:link w:val="2"/>
    <w:qFormat/>
    <w:uiPriority w:val="0"/>
    <w:rPr>
      <w:rFonts w:ascii="黑体" w:hAnsi="黑体" w:eastAsia="黑体"/>
      <w:b/>
      <w:color w:val="000000" w:themeColor="text1"/>
      <w:kern w:val="4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45.jpeg"/><Relationship Id="rId58" Type="http://schemas.openxmlformats.org/officeDocument/2006/relationships/image" Target="media/image44.jpeg"/><Relationship Id="rId57" Type="http://schemas.openxmlformats.org/officeDocument/2006/relationships/image" Target="media/image43.png"/><Relationship Id="rId56" Type="http://schemas.openxmlformats.org/officeDocument/2006/relationships/image" Target="media/image42.jpeg"/><Relationship Id="rId55" Type="http://schemas.openxmlformats.org/officeDocument/2006/relationships/image" Target="media/image41.jpe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jpe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jpeg"/><Relationship Id="rId38" Type="http://schemas.openxmlformats.org/officeDocument/2006/relationships/image" Target="media/image24.jpeg"/><Relationship Id="rId37" Type="http://schemas.openxmlformats.org/officeDocument/2006/relationships/image" Target="media/image23.jpeg"/><Relationship Id="rId36" Type="http://schemas.openxmlformats.org/officeDocument/2006/relationships/image" Target="media/image22.jpeg"/><Relationship Id="rId35" Type="http://schemas.openxmlformats.org/officeDocument/2006/relationships/image" Target="media/image21.jpe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13235</Words>
  <Characters>13484</Characters>
  <Lines>0</Lines>
  <Paragraphs>0</Paragraphs>
  <TotalTime>30</TotalTime>
  <ScaleCrop>false</ScaleCrop>
  <LinksUpToDate>false</LinksUpToDate>
  <CharactersWithSpaces>13619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2026-01-16T07:04:00Z</dcterms:created>
  <dc:creator>王俊</dc:creator>
  <cp:lastModifiedBy>张琦</cp:lastModifiedBy>
  <cp:lastPrinted>2026-01-23T07:54:00Z</cp:lastPrinted>
  <dcterms:modified xsi:type="dcterms:W3CDTF">2026-01-27T07:34:44Z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B6100EC483CC461FBA7B1845B42EF71B_13</vt:lpwstr>
  </property>
  <property fmtid="{D5CDD505-2E9C-101B-9397-08002B2CF9AE}" pid="4" name="KSOTemplateDocerSaveRecord">
    <vt:lpwstr>eyJoZGlkIjoiN2YyNTg5YWEwZGY5ZTY2ZDU5MTNlZDk5YmE3Y2YzYzciLCJ1c2VySWQiOiIxNzE1MTg0MTQzIn0=</vt:lpwstr>
  </property>
</Properties>
</file>