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hint="eastAsia" w:asciiTheme="minorEastAsia" w:hAnsiTheme="minorEastAsia"/>
          <w:color w:val="000000"/>
          <w:sz w:val="56"/>
          <w:szCs w:val="72"/>
        </w:rPr>
        <w:t>内部股票行情数据分析系统</w:t>
      </w:r>
    </w:p>
    <w:p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hint="eastAsia" w:asciiTheme="minorEastAsia" w:hAnsiTheme="minorEastAsia"/>
          <w:color w:val="000000"/>
          <w:sz w:val="56"/>
          <w:szCs w:val="72"/>
        </w:rPr>
        <w:t>软件</w:t>
      </w:r>
      <w:r>
        <w:rPr>
          <w:rFonts w:asciiTheme="minorEastAsia" w:hAnsiTheme="minorEastAsia"/>
          <w:color w:val="000000"/>
          <w:sz w:val="56"/>
          <w:szCs w:val="72"/>
        </w:rPr>
        <w:t>需求规格说明书(SRS)</w:t>
      </w:r>
    </w:p>
    <w:p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2025年05月19日</w:t>
      </w:r>
    </w:p>
    <w:p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>
      <w:pPr>
        <w:pStyle w:val="51"/>
        <w:ind w:left="840" w:leftChars="400" w:firstLine="0"/>
        <w:rPr>
          <w:rFonts w:ascii="宋体"/>
          <w:sz w:val="22"/>
        </w:rPr>
      </w:pPr>
      <w:r>
        <w:rPr>
          <w:rFonts w:hint="eastAsia" w:ascii="宋体" w:hAnsi="宋体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hint="eastAsia" w:ascii="宋体" w:hAnsi="宋体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hint="eastAsia" w:ascii="宋体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hint="eastAsia" w:ascii="宋体" w:hAnsi="宋体"/>
          <w:sz w:val="22"/>
        </w:rPr>
        <w:t>年0</w:t>
      </w:r>
      <w:r>
        <w:rPr>
          <w:rFonts w:ascii="宋体" w:hAnsi="宋体"/>
          <w:sz w:val="22"/>
        </w:rPr>
        <w:t>5</w:t>
      </w:r>
      <w:r>
        <w:rPr>
          <w:rFonts w:hint="eastAsia" w:ascii="宋体" w:hAnsi="宋体"/>
          <w:sz w:val="22"/>
        </w:rPr>
        <w:t>月</w:t>
      </w:r>
    </w:p>
    <w:p>
      <w:pPr>
        <w:pStyle w:val="51"/>
        <w:ind w:left="840" w:leftChars="400" w:firstLine="0"/>
        <w:rPr>
          <w:rFonts w:ascii="宋体"/>
          <w:sz w:val="22"/>
        </w:rPr>
      </w:pPr>
      <w:r>
        <w:rPr>
          <w:rFonts w:hint="eastAsia" w:ascii="宋体" w:hAnsi="宋体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hint="eastAsia" w:ascii="宋体" w:hAnsi="宋体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hint="eastAsia" w:ascii="宋体" w:hAnsi="Wingdings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hint="eastAsia" w:ascii="宋体" w:hAnsi="Wingdings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hint="eastAsia" w:ascii="宋体" w:hAnsi="Wingdings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hint="eastAsia" w:ascii="宋体" w:hAnsi="Wingdings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机密资料</w:t>
      </w:r>
    </w:p>
    <w:p>
      <w:pPr>
        <w:ind w:left="840" w:leftChars="400"/>
        <w:rPr>
          <w:rFonts w:ascii="宋体"/>
          <w:sz w:val="22"/>
        </w:rPr>
      </w:pPr>
      <w:r>
        <w:rPr>
          <w:rFonts w:hint="eastAsia" w:ascii="宋体" w:hAnsi="宋体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hint="eastAsia" w:ascii="宋体" w:hAnsi="宋体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hint="eastAsia" w:ascii="宋体" w:hAnsi="Wingdings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hint="eastAsia" w:ascii="宋体" w:hAnsi="Wingdings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hint="eastAsia" w:ascii="宋体" w:hAnsi="Wingdings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发布</w:t>
      </w: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ind w:left="840" w:leftChars="400"/>
        <w:rPr>
          <w:b/>
          <w:sz w:val="28"/>
        </w:rPr>
      </w:pPr>
      <w:r>
        <w:rPr>
          <w:rFonts w:hint="eastAsia"/>
          <w:b/>
          <w:sz w:val="28"/>
        </w:rPr>
        <w:t>修改记录</w:t>
      </w:r>
    </w:p>
    <w:tbl>
      <w:tblPr>
        <w:tblStyle w:val="27"/>
        <w:tblW w:w="7836" w:type="dxa"/>
        <w:tblInd w:w="150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96" w:type="dxa"/>
          <w:bottom w:w="0" w:type="dxa"/>
          <w:right w:w="96" w:type="dxa"/>
        </w:tblCellMar>
      </w:tblPr>
      <w:tblGrid>
        <w:gridCol w:w="2029"/>
        <w:gridCol w:w="1071"/>
        <w:gridCol w:w="709"/>
        <w:gridCol w:w="402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538" w:hRule="atLeast"/>
        </w:trPr>
        <w:tc>
          <w:tcPr>
            <w:tcW w:w="2029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2029" w:type="dxa"/>
          </w:tcPr>
          <w:p>
            <w:pPr>
              <w:pStyle w:val="50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5-19</w:t>
            </w:r>
          </w:p>
        </w:tc>
        <w:tc>
          <w:tcPr>
            <w:tcW w:w="1071" w:type="dxa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>
            <w:pPr>
              <w:pStyle w:val="50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2029" w:type="dxa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26</w:t>
            </w:r>
          </w:p>
        </w:tc>
        <w:tc>
          <w:tcPr>
            <w:tcW w:w="1071" w:type="dxa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4027" w:type="dxa"/>
          </w:tcPr>
          <w:p>
            <w:pPr>
              <w:pStyle w:val="50"/>
              <w:rPr>
                <w:sz w:val="20"/>
              </w:rPr>
            </w:pPr>
            <w:r>
              <w:rPr>
                <w:rFonts w:hint="eastAsia"/>
                <w:sz w:val="20"/>
              </w:rPr>
              <w:t>完善一期相关需求规格内容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2029" w:type="dxa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06</w:t>
            </w:r>
            <w:r>
              <w:rPr>
                <w:sz w:val="20"/>
              </w:rPr>
              <w:t>-</w:t>
            </w: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071" w:type="dxa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4027" w:type="dxa"/>
          </w:tcPr>
          <w:p>
            <w:pPr>
              <w:pStyle w:val="50"/>
              <w:rPr>
                <w:sz w:val="20"/>
              </w:rPr>
            </w:pPr>
            <w:r>
              <w:rPr>
                <w:rFonts w:hint="eastAsia"/>
                <w:sz w:val="20"/>
              </w:rPr>
              <w:t>继续完善一期相关需求规格内容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586" w:hRule="atLeast"/>
        </w:trPr>
        <w:tc>
          <w:tcPr>
            <w:tcW w:w="2029" w:type="dxa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1071" w:type="dxa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709" w:type="dxa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4027" w:type="dxa"/>
          </w:tcPr>
          <w:p>
            <w:pPr>
              <w:pStyle w:val="50"/>
              <w:rPr>
                <w:sz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2029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</w:tr>
    </w:tbl>
    <w:p>
      <w:pPr>
        <w:ind w:left="840" w:leftChars="400"/>
        <w:rPr>
          <w:sz w:val="28"/>
        </w:rPr>
      </w:pPr>
    </w:p>
    <w:p>
      <w:pPr>
        <w:ind w:left="840" w:leftChars="40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>
      <w:pPr>
        <w:ind w:left="840" w:leftChars="400"/>
        <w:rPr>
          <w:b/>
          <w:sz w:val="28"/>
        </w:rPr>
      </w:pPr>
    </w:p>
    <w:tbl>
      <w:tblPr>
        <w:tblStyle w:val="27"/>
        <w:tblW w:w="7860" w:type="dxa"/>
        <w:tblInd w:w="150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9"/>
        <w:gridCol w:w="2758"/>
        <w:gridCol w:w="372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0" w:hRule="atLeast"/>
        </w:trPr>
        <w:tc>
          <w:tcPr>
            <w:tcW w:w="1379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" w:hRule="exact"/>
        </w:trPr>
        <w:tc>
          <w:tcPr>
            <w:tcW w:w="1379" w:type="dxa"/>
            <w:shd w:val="pct50" w:color="auto" w:fill="auto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>
            <w:pPr>
              <w:pStyle w:val="50"/>
              <w:rPr>
                <w:sz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5" w:hRule="atLeast"/>
        </w:trPr>
        <w:tc>
          <w:tcPr>
            <w:tcW w:w="1379" w:type="dxa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2758" w:type="dxa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3723" w:type="dxa"/>
          </w:tcPr>
          <w:p>
            <w:pPr>
              <w:pStyle w:val="50"/>
              <w:rPr>
                <w:sz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90" w:hRule="atLeast"/>
        </w:trPr>
        <w:tc>
          <w:tcPr>
            <w:tcW w:w="1379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</w:tr>
    </w:tbl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/>
    <w:p>
      <w:pPr>
        <w:pStyle w:val="20"/>
        <w:tabs>
          <w:tab w:val="right" w:leader="dot" w:pos="9746"/>
          <w:tab w:val="clear" w:pos="480"/>
          <w:tab w:val="clear" w:pos="9964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r>
        <w:fldChar w:fldCharType="begin"/>
      </w:r>
      <w:r>
        <w:instrText xml:space="preserve"> HYPERLINK \l "_Toc23394" </w:instrText>
      </w:r>
      <w:r>
        <w:fldChar w:fldCharType="separate"/>
      </w:r>
      <w:r>
        <w:rPr>
          <w:rFonts w:asciiTheme="minorEastAsia" w:hAnsiTheme="minorEastAsia" w:eastAsiaTheme="minorEastAsia"/>
          <w:bCs w:val="0"/>
          <w:iCs/>
          <w:szCs w:val="24"/>
        </w:rPr>
        <w:t xml:space="preserve">1. </w:t>
      </w:r>
      <w:r>
        <w:t>需求简介</w:t>
      </w:r>
      <w:r>
        <w:tab/>
      </w:r>
      <w:r>
        <w:fldChar w:fldCharType="begin"/>
      </w:r>
      <w:r>
        <w:instrText xml:space="preserve"> PAGEREF _Toc23394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"_Toc2966"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1.1. </w:t>
      </w:r>
      <w:r>
        <w:rPr>
          <w:rFonts w:asciiTheme="minorEastAsia" w:hAnsiTheme="minorEastAsia"/>
          <w:szCs w:val="28"/>
        </w:rPr>
        <w:t>目的</w:t>
      </w:r>
      <w:r>
        <w:tab/>
      </w:r>
      <w:r>
        <w:fldChar w:fldCharType="begin"/>
      </w:r>
      <w:r>
        <w:instrText xml:space="preserve"> PAGEREF _Toc2966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"_Toc15502"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1.2. </w:t>
      </w:r>
      <w:r>
        <w:rPr>
          <w:rFonts w:hint="eastAsia" w:asciiTheme="minorEastAsia" w:hAnsiTheme="minorEastAsia"/>
          <w:szCs w:val="28"/>
        </w:rPr>
        <w:t>范围</w:t>
      </w:r>
      <w:r>
        <w:tab/>
      </w:r>
      <w:r>
        <w:fldChar w:fldCharType="begin"/>
      </w:r>
      <w:r>
        <w:instrText xml:space="preserve"> PAGEREF _Toc15502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"_Toc26909"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1.3. </w:t>
      </w:r>
      <w:r>
        <w:rPr>
          <w:rFonts w:asciiTheme="minorEastAsia" w:hAnsiTheme="minorEastAsia"/>
          <w:szCs w:val="28"/>
        </w:rPr>
        <w:t>名词解释</w:t>
      </w:r>
      <w:r>
        <w:tab/>
      </w:r>
      <w:r>
        <w:fldChar w:fldCharType="begin"/>
      </w:r>
      <w:r>
        <w:instrText xml:space="preserve"> PAGEREF _Toc26909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"_Toc22654"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1.4. </w:t>
      </w:r>
      <w:r>
        <w:rPr>
          <w:rFonts w:asciiTheme="minorEastAsia" w:hAnsiTheme="minorEastAsia"/>
          <w:szCs w:val="28"/>
        </w:rPr>
        <w:t>运行环境</w:t>
      </w:r>
      <w:r>
        <w:tab/>
      </w:r>
      <w:r>
        <w:fldChar w:fldCharType="begin"/>
      </w:r>
      <w:r>
        <w:instrText xml:space="preserve"> PAGEREF _Toc22654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"_Toc20704"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1.4.1. </w:t>
      </w:r>
      <w:r>
        <w:rPr>
          <w:rFonts w:asciiTheme="minorEastAsia" w:hAnsiTheme="minorEastAsia"/>
          <w:szCs w:val="24"/>
        </w:rPr>
        <w:t>硬件环境</w:t>
      </w:r>
      <w:r>
        <w:tab/>
      </w:r>
      <w:r>
        <w:fldChar w:fldCharType="begin"/>
      </w:r>
      <w:r>
        <w:instrText xml:space="preserve"> PAGEREF _Toc20704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"_Toc25365"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1.4.2. </w:t>
      </w:r>
      <w:r>
        <w:rPr>
          <w:rFonts w:asciiTheme="minorEastAsia" w:hAnsiTheme="minorEastAsia"/>
          <w:szCs w:val="24"/>
        </w:rPr>
        <w:t>软件环境</w:t>
      </w:r>
      <w:r>
        <w:tab/>
      </w:r>
      <w:r>
        <w:fldChar w:fldCharType="begin"/>
      </w:r>
      <w:r>
        <w:instrText xml:space="preserve"> PAGEREF _Toc25365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9746"/>
          <w:tab w:val="clear" w:pos="480"/>
          <w:tab w:val="clear" w:pos="9964"/>
        </w:tabs>
      </w:pPr>
      <w:r>
        <w:fldChar w:fldCharType="begin"/>
      </w:r>
      <w:r>
        <w:instrText xml:space="preserve"> HYPERLINK \l "_Toc3478" </w:instrText>
      </w:r>
      <w:r>
        <w:fldChar w:fldCharType="separate"/>
      </w:r>
      <w:r>
        <w:rPr>
          <w:rFonts w:asciiTheme="minorEastAsia" w:hAnsiTheme="minorEastAsia" w:eastAsiaTheme="minorEastAsia"/>
          <w:bCs w:val="0"/>
          <w:iCs/>
          <w:szCs w:val="24"/>
        </w:rPr>
        <w:t xml:space="preserve">2. </w:t>
      </w:r>
      <w:r>
        <w:t>功能需求分析</w:t>
      </w:r>
      <w:r>
        <w:tab/>
      </w:r>
      <w:r>
        <w:fldChar w:fldCharType="begin"/>
      </w:r>
      <w:r>
        <w:instrText xml:space="preserve"> PAGEREF _Toc3478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"_Toc12583"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2.1. </w:t>
      </w:r>
      <w:r>
        <w:rPr>
          <w:rFonts w:asciiTheme="minorEastAsia" w:hAnsiTheme="minorEastAsia"/>
          <w:szCs w:val="28"/>
        </w:rPr>
        <w:t>总体架构</w:t>
      </w:r>
      <w:r>
        <w:tab/>
      </w:r>
      <w:r>
        <w:fldChar w:fldCharType="begin"/>
      </w:r>
      <w:r>
        <w:instrText xml:space="preserve"> PAGEREF _Toc12583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"_Toc18923"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2.2. </w:t>
      </w:r>
      <w:r>
        <w:rPr>
          <w:rFonts w:asciiTheme="minorEastAsia" w:hAnsiTheme="minorEastAsia"/>
          <w:szCs w:val="28"/>
        </w:rPr>
        <w:t>总体流程</w:t>
      </w:r>
      <w:r>
        <w:tab/>
      </w:r>
      <w:r>
        <w:fldChar w:fldCharType="begin"/>
      </w:r>
      <w:r>
        <w:instrText xml:space="preserve"> PAGEREF _Toc18923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"_Toc28461"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 </w:t>
      </w:r>
      <w:r>
        <w:rPr>
          <w:rFonts w:hint="eastAsia" w:asciiTheme="minorEastAsia" w:hAnsiTheme="minorEastAsia"/>
          <w:szCs w:val="28"/>
        </w:rPr>
        <w:t>前端(</w:t>
      </w:r>
      <w:r>
        <w:rPr>
          <w:rFonts w:asciiTheme="minorEastAsia" w:hAnsiTheme="minorEastAsia"/>
          <w:szCs w:val="28"/>
        </w:rPr>
        <w:t>FE)</w:t>
      </w:r>
      <w:r>
        <w:tab/>
      </w:r>
      <w:r>
        <w:fldChar w:fldCharType="begin"/>
      </w:r>
      <w:r>
        <w:instrText xml:space="preserve"> PAGEREF _Toc28461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"_Toc745"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2.3.1. </w:t>
      </w:r>
      <w:r>
        <w:rPr>
          <w:rFonts w:ascii="Google Sans Text" w:hAnsi="Google Sans Text" w:eastAsia="Google Sans Text" w:cs="Google Sans Text"/>
          <w:szCs w:val="24"/>
        </w:rPr>
        <w:t>首页概览</w:t>
      </w:r>
      <w:r>
        <w:tab/>
      </w:r>
      <w:r>
        <w:fldChar w:fldCharType="begin"/>
      </w:r>
      <w:r>
        <w:instrText xml:space="preserve"> PAGEREF _Toc745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"_Toc1690"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2.3.1.1. </w:t>
      </w:r>
      <w:r>
        <w:rPr>
          <w:rFonts w:hint="eastAsia" w:asciiTheme="minorEastAsia" w:hAnsiTheme="minorEastAsia"/>
          <w:bCs/>
          <w:szCs w:val="21"/>
        </w:rPr>
        <w:t>功能需求</w:t>
      </w:r>
      <w:r>
        <w:tab/>
      </w:r>
      <w:r>
        <w:fldChar w:fldCharType="begin"/>
      </w:r>
      <w:r>
        <w:instrText xml:space="preserve"> PAGEREF _Toc1690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"_Toc8841"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2.3.1.2. </w:t>
      </w:r>
      <w:r>
        <w:rPr>
          <w:rFonts w:hint="eastAsia" w:asciiTheme="minorEastAsia" w:hAnsiTheme="minorEastAsia"/>
          <w:bCs/>
          <w:szCs w:val="21"/>
        </w:rPr>
        <w:t>业务流程</w:t>
      </w:r>
      <w:r>
        <w:tab/>
      </w:r>
      <w:r>
        <w:fldChar w:fldCharType="begin"/>
      </w:r>
      <w:r>
        <w:instrText xml:space="preserve"> PAGEREF _Toc8841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"_Toc28330"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2.3.1.3. </w:t>
      </w:r>
      <w:r>
        <w:rPr>
          <w:rFonts w:hint="eastAsia" w:asciiTheme="minorEastAsia" w:hAnsiTheme="minorEastAsia"/>
          <w:bCs/>
          <w:szCs w:val="21"/>
        </w:rPr>
        <w:t>页面原型</w:t>
      </w:r>
      <w:r>
        <w:tab/>
      </w:r>
      <w:r>
        <w:fldChar w:fldCharType="begin"/>
      </w:r>
      <w:r>
        <w:instrText xml:space="preserve"> PAGEREF _Toc28330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"_Toc11179"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2.3.1.4. </w:t>
      </w:r>
      <w:r>
        <w:rPr>
          <w:rFonts w:hint="eastAsia" w:asciiTheme="minorEastAsia" w:hAnsiTheme="minorEastAsia"/>
          <w:bCs/>
          <w:szCs w:val="21"/>
        </w:rPr>
        <w:t>数据元素</w:t>
      </w:r>
      <w:r>
        <w:tab/>
      </w:r>
      <w:r>
        <w:fldChar w:fldCharType="begin"/>
      </w:r>
      <w:r>
        <w:instrText xml:space="preserve"> PAGEREF _Toc11179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"_Toc19690"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2.3.1.5. </w:t>
      </w:r>
      <w:r>
        <w:rPr>
          <w:rFonts w:hint="eastAsia" w:asciiTheme="minorEastAsia" w:hAnsiTheme="minorEastAsia"/>
          <w:bCs/>
          <w:szCs w:val="21"/>
        </w:rPr>
        <w:t>业务规则</w:t>
      </w:r>
      <w:r>
        <w:tab/>
      </w:r>
      <w:r>
        <w:fldChar w:fldCharType="begin"/>
      </w:r>
      <w:r>
        <w:instrText xml:space="preserve"> PAGEREF _Toc19690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"_Toc27414"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2.3.2. </w:t>
      </w:r>
      <w:r>
        <w:rPr>
          <w:rFonts w:hint="eastAsia" w:asciiTheme="minorEastAsia" w:hAnsiTheme="minorEastAsia"/>
          <w:szCs w:val="24"/>
        </w:rPr>
        <w:t>行情中心</w:t>
      </w:r>
      <w:r>
        <w:tab/>
      </w:r>
      <w:r>
        <w:fldChar w:fldCharType="begin"/>
      </w:r>
      <w:r>
        <w:instrText xml:space="preserve"> PAGEREF _Toc27414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"_Toc10957"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2.3.2.2. </w:t>
      </w:r>
      <w:r>
        <w:rPr>
          <w:rFonts w:ascii="Google Sans Text" w:hAnsi="Google Sans Text" w:eastAsia="Google Sans Text" w:cs="Google Sans Text"/>
          <w:szCs w:val="24"/>
        </w:rPr>
        <w:t>涨跌幅榜</w:t>
      </w:r>
      <w:r>
        <w:tab/>
      </w:r>
      <w:r>
        <w:fldChar w:fldCharType="begin"/>
      </w:r>
      <w:r>
        <w:instrText xml:space="preserve"> PAGEREF _Toc10957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"_Toc32041"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2.3.2.3. </w:t>
      </w:r>
      <w:r>
        <w:rPr>
          <w:rFonts w:ascii="Google Sans Text" w:hAnsi="Google Sans Text" w:eastAsia="Google Sans Text" w:cs="Google Sans Text"/>
          <w:szCs w:val="24"/>
        </w:rPr>
        <w:t>全球指数</w:t>
      </w:r>
      <w:r>
        <w:rPr>
          <w:rFonts w:hint="eastAsia" w:cs="Google Sans Text" w:asciiTheme="minorEastAsia" w:hAnsiTheme="minorEastAsia"/>
          <w:szCs w:val="24"/>
        </w:rPr>
        <w:t>（可选）</w:t>
      </w:r>
      <w:r>
        <w:tab/>
      </w:r>
      <w:r>
        <w:fldChar w:fldCharType="begin"/>
      </w:r>
      <w:r>
        <w:instrText xml:space="preserve"> PAGEREF _Toc32041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"_Toc28928"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2.3.2.4. </w:t>
      </w:r>
      <w:r>
        <w:rPr>
          <w:rFonts w:ascii="Google Sans Text" w:hAnsi="Google Sans Text" w:eastAsia="Google Sans Text" w:cs="Google Sans Text"/>
          <w:szCs w:val="24"/>
        </w:rPr>
        <w:t>期货/基金行情</w:t>
      </w:r>
      <w:r>
        <w:rPr>
          <w:rFonts w:hint="eastAsia" w:ascii="Google Sans Text" w:hAnsi="Google Sans Text" w:cs="Google Sans Text"/>
          <w:szCs w:val="24"/>
        </w:rPr>
        <w:t>(可选</w:t>
      </w:r>
      <w:r>
        <w:rPr>
          <w:rFonts w:ascii="Google Sans Text" w:hAnsi="Google Sans Text" w:cs="Google Sans Text"/>
          <w:szCs w:val="24"/>
        </w:rPr>
        <w:t>)</w:t>
      </w:r>
      <w:r>
        <w:tab/>
      </w:r>
      <w:r>
        <w:fldChar w:fldCharType="begin"/>
      </w:r>
      <w:r>
        <w:instrText xml:space="preserve"> PAGEREF _Toc28928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"_Toc13925"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2.3.3. </w:t>
      </w:r>
      <w:r>
        <w:rPr>
          <w:rFonts w:hint="eastAsia" w:asciiTheme="minorEastAsia" w:hAnsiTheme="minorEastAsia"/>
          <w:szCs w:val="24"/>
        </w:rPr>
        <w:t>自选股模块</w:t>
      </w:r>
      <w:r>
        <w:tab/>
      </w:r>
      <w:r>
        <w:fldChar w:fldCharType="begin"/>
      </w:r>
      <w:r>
        <w:instrText xml:space="preserve"> PAGEREF _Toc13925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"_Toc7783"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2.3.3.1. </w:t>
      </w:r>
      <w:r>
        <w:rPr>
          <w:rFonts w:ascii="Google Sans Text" w:hAnsi="Google Sans Text" w:eastAsia="Google Sans Text" w:cs="Google Sans Text"/>
          <w:szCs w:val="24"/>
        </w:rPr>
        <w:t>自选列表展示</w:t>
      </w:r>
      <w:r>
        <w:tab/>
      </w:r>
      <w:r>
        <w:fldChar w:fldCharType="begin"/>
      </w:r>
      <w:r>
        <w:instrText xml:space="preserve"> PAGEREF _Toc7783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"_Toc11516"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2.3.3.2. </w:t>
      </w:r>
      <w:r>
        <w:rPr>
          <w:rFonts w:ascii="Google Sans Text" w:hAnsi="Google Sans Text" w:eastAsia="Google Sans Text" w:cs="Google Sans Text"/>
          <w:szCs w:val="24"/>
        </w:rPr>
        <w:t>自选股添加/删除</w:t>
      </w:r>
      <w:r>
        <w:tab/>
      </w:r>
      <w:r>
        <w:fldChar w:fldCharType="begin"/>
      </w:r>
      <w:r>
        <w:instrText xml:space="preserve"> PAGEREF _Toc11516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"_Toc8160"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2.3.3.3. </w:t>
      </w:r>
      <w:r>
        <w:rPr>
          <w:rFonts w:ascii="Google Sans Text" w:hAnsi="Google Sans Text" w:eastAsia="Google Sans Text" w:cs="Google Sans Text"/>
          <w:szCs w:val="24"/>
        </w:rPr>
        <w:t>自选列表排序</w:t>
      </w:r>
      <w:r>
        <w:tab/>
      </w:r>
      <w:r>
        <w:fldChar w:fldCharType="begin"/>
      </w:r>
      <w:r>
        <w:instrText xml:space="preserve"> PAGEREF _Toc8160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"_Toc21499"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2.3.3.4. </w:t>
      </w:r>
      <w:r>
        <w:rPr>
          <w:rFonts w:ascii="Google Sans Text" w:hAnsi="Google Sans Text" w:eastAsia="Google Sans Text" w:cs="Google Sans Text"/>
          <w:szCs w:val="24"/>
        </w:rPr>
        <w:t>自选股分组</w:t>
      </w:r>
      <w:r>
        <w:rPr>
          <w:rFonts w:hint="eastAsia" w:cs="Google Sans Text" w:asciiTheme="minorEastAsia" w:hAnsiTheme="minorEastAsia"/>
          <w:szCs w:val="24"/>
        </w:rPr>
        <w:t>（可选）</w:t>
      </w:r>
      <w:r>
        <w:tab/>
      </w:r>
      <w:r>
        <w:fldChar w:fldCharType="begin"/>
      </w:r>
      <w:r>
        <w:instrText xml:space="preserve"> PAGEREF _Toc21499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"_Toc5953"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2.3.4. </w:t>
      </w:r>
      <w:r>
        <w:rPr>
          <w:rFonts w:hint="eastAsia" w:asciiTheme="minorEastAsia" w:hAnsiTheme="minorEastAsia"/>
          <w:szCs w:val="24"/>
        </w:rPr>
        <w:t>个股模块</w:t>
      </w:r>
      <w:r>
        <w:tab/>
      </w:r>
      <w:r>
        <w:fldChar w:fldCharType="begin"/>
      </w:r>
      <w:r>
        <w:instrText xml:space="preserve"> PAGEREF _Toc5953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"_Toc23773"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2.3.4.1. </w:t>
      </w:r>
      <w:r>
        <w:rPr>
          <w:rFonts w:ascii="Google Sans Text" w:hAnsi="Google Sans Text" w:eastAsia="Google Sans Text" w:cs="Google Sans Text"/>
          <w:szCs w:val="24"/>
        </w:rPr>
        <w:t>实时/延时行情</w:t>
      </w:r>
      <w:r>
        <w:tab/>
      </w:r>
      <w:r>
        <w:fldChar w:fldCharType="begin"/>
      </w:r>
      <w:r>
        <w:instrText xml:space="preserve"> PAGEREF _Toc23773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"_Toc4911"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2.3.4.2. </w:t>
      </w:r>
      <w:r>
        <w:rPr>
          <w:rFonts w:ascii="Google Sans Text" w:hAnsi="Google Sans Text" w:eastAsia="Google Sans Text" w:cs="Google Sans Text"/>
          <w:szCs w:val="24"/>
        </w:rPr>
        <w:t>分时图</w:t>
      </w:r>
      <w:r>
        <w:tab/>
      </w:r>
      <w:r>
        <w:fldChar w:fldCharType="begin"/>
      </w:r>
      <w:r>
        <w:instrText xml:space="preserve"> PAGEREF _Toc4911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"_Toc31355"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2.3.4.3. </w:t>
      </w:r>
      <w:r>
        <w:rPr>
          <w:rFonts w:ascii="Google Sans Text" w:hAnsi="Google Sans Text" w:eastAsia="Google Sans Text" w:cs="Google Sans Text"/>
          <w:szCs w:val="24"/>
        </w:rPr>
        <w:t>K线图</w:t>
      </w:r>
      <w:r>
        <w:tab/>
      </w:r>
      <w:r>
        <w:fldChar w:fldCharType="begin"/>
      </w:r>
      <w:r>
        <w:instrText xml:space="preserve"> PAGEREF _Toc31355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"_Toc1724"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2.3.4.4. </w:t>
      </w:r>
      <w:r>
        <w:rPr>
          <w:rFonts w:ascii="Google Sans Text" w:hAnsi="Google Sans Text" w:eastAsia="Google Sans Text" w:cs="Google Sans Text"/>
          <w:szCs w:val="24"/>
        </w:rPr>
        <w:t>技术指标叠加</w:t>
      </w:r>
      <w:r>
        <w:tab/>
      </w:r>
      <w:r>
        <w:fldChar w:fldCharType="begin"/>
      </w:r>
      <w:r>
        <w:instrText xml:space="preserve"> PAGEREF _Toc1724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"_Toc14522"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2.3.4.5. </w:t>
      </w:r>
      <w:r>
        <w:rPr>
          <w:rFonts w:ascii="Google Sans Text" w:hAnsi="Google Sans Text" w:eastAsia="Google Sans Text" w:cs="Google Sans Text"/>
          <w:szCs w:val="24"/>
        </w:rPr>
        <w:t>财务数据</w:t>
      </w:r>
      <w:r>
        <w:tab/>
      </w:r>
      <w:r>
        <w:fldChar w:fldCharType="begin"/>
      </w:r>
      <w:r>
        <w:instrText xml:space="preserve"> PAGEREF _Toc14522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"_Toc1778"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2.3.4.6. </w:t>
      </w:r>
      <w:r>
        <w:rPr>
          <w:rFonts w:ascii="Google Sans Text" w:hAnsi="Google Sans Text" w:eastAsia="Google Sans Text" w:cs="Google Sans Text"/>
          <w:szCs w:val="24"/>
        </w:rPr>
        <w:t>新闻公告</w:t>
      </w:r>
      <w:r>
        <w:tab/>
      </w:r>
      <w:r>
        <w:fldChar w:fldCharType="begin"/>
      </w:r>
      <w:r>
        <w:instrText xml:space="preserve"> PAGEREF _Toc1778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"_Toc30306"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2.3.4.7. </w:t>
      </w:r>
      <w:r>
        <w:rPr>
          <w:rFonts w:ascii="Google Sans Text" w:hAnsi="Google Sans Text" w:eastAsia="Google Sans Text" w:cs="Google Sans Text"/>
          <w:szCs w:val="24"/>
        </w:rPr>
        <w:t>研报</w:t>
      </w:r>
      <w:r>
        <w:tab/>
      </w:r>
      <w:r>
        <w:fldChar w:fldCharType="begin"/>
      </w:r>
      <w:r>
        <w:instrText xml:space="preserve"> PAGEREF _Toc30306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"_Toc17845"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2.3.4.8. </w:t>
      </w:r>
      <w:r>
        <w:rPr>
          <w:rFonts w:ascii="Google Sans Text" w:hAnsi="Google Sans Text" w:eastAsia="Google Sans Text" w:cs="Google Sans Text"/>
          <w:szCs w:val="24"/>
        </w:rPr>
        <w:t>资金流向</w:t>
      </w:r>
      <w:r>
        <w:tab/>
      </w:r>
      <w:r>
        <w:fldChar w:fldCharType="begin"/>
      </w:r>
      <w:r>
        <w:instrText xml:space="preserve"> PAGEREF _Toc17845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"_Toc15113"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2.3.4.9. </w:t>
      </w:r>
      <w:r>
        <w:rPr>
          <w:rFonts w:ascii="Google Sans Text" w:hAnsi="Google Sans Text" w:eastAsia="Google Sans Text" w:cs="Google Sans Text"/>
          <w:szCs w:val="24"/>
        </w:rPr>
        <w:t>关联股票</w:t>
      </w:r>
      <w:r>
        <w:tab/>
      </w:r>
      <w:r>
        <w:fldChar w:fldCharType="begin"/>
      </w:r>
      <w:r>
        <w:instrText xml:space="preserve"> PAGEREF _Toc15113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"_Toc15513"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2.3.4.10. </w:t>
      </w:r>
      <w:r>
        <w:rPr>
          <w:rFonts w:ascii="Google Sans Text" w:hAnsi="Google Sans Text" w:eastAsia="Google Sans Text" w:cs="Google Sans Text"/>
          <w:szCs w:val="24"/>
        </w:rPr>
        <w:t>智能分析结果</w:t>
      </w:r>
      <w:r>
        <w:tab/>
      </w:r>
      <w:r>
        <w:fldChar w:fldCharType="begin"/>
      </w:r>
      <w:r>
        <w:instrText xml:space="preserve"> PAGEREF _Toc15513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"_Toc12532"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2.3.5. </w:t>
      </w:r>
      <w:r>
        <w:rPr>
          <w:rFonts w:hint="eastAsia" w:asciiTheme="minorEastAsia" w:hAnsiTheme="minorEastAsia"/>
          <w:szCs w:val="24"/>
        </w:rPr>
        <w:t>智能分析模块</w:t>
      </w:r>
      <w:r>
        <w:tab/>
      </w:r>
      <w:r>
        <w:fldChar w:fldCharType="begin"/>
      </w:r>
      <w:r>
        <w:instrText xml:space="preserve"> PAGEREF _Toc12532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"_Toc20395"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2.3.5.1. </w:t>
      </w:r>
      <w:r>
        <w:rPr>
          <w:rFonts w:ascii="Google Sans Text" w:hAnsi="Google Sans Text" w:eastAsia="Google Sans Text" w:cs="Google Sans Text"/>
          <w:szCs w:val="24"/>
        </w:rPr>
        <w:t>预测结果展示</w:t>
      </w:r>
      <w:r>
        <w:tab/>
      </w:r>
      <w:r>
        <w:fldChar w:fldCharType="begin"/>
      </w:r>
      <w:r>
        <w:instrText xml:space="preserve"> PAGEREF _Toc20395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"_Toc2908"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2.3.5.2. </w:t>
      </w:r>
      <w:r>
        <w:rPr>
          <w:rFonts w:ascii="Google Sans Text" w:hAnsi="Google Sans Text" w:eastAsia="Google Sans Text" w:cs="Google Sans Text"/>
          <w:szCs w:val="24"/>
        </w:rPr>
        <w:t>交易建议展示</w:t>
      </w:r>
      <w:r>
        <w:tab/>
      </w:r>
      <w:r>
        <w:fldChar w:fldCharType="begin"/>
      </w:r>
      <w:r>
        <w:instrText xml:space="preserve"> PAGEREF _Toc2908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"_Toc12092"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2.3.5.3. </w:t>
      </w:r>
      <w:r>
        <w:rPr>
          <w:rFonts w:ascii="Google Sans Text" w:hAnsi="Google Sans Text" w:eastAsia="Google Sans Text" w:cs="Google Sans Text"/>
          <w:szCs w:val="24"/>
        </w:rPr>
        <w:t>历史预测回顾</w:t>
      </w:r>
      <w:r>
        <w:tab/>
      </w:r>
      <w:r>
        <w:fldChar w:fldCharType="begin"/>
      </w:r>
      <w:r>
        <w:instrText xml:space="preserve"> PAGEREF _Toc12092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"_Toc9079"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2.3.5.4. </w:t>
      </w:r>
      <w:r>
        <w:rPr>
          <w:rFonts w:ascii="Google Sans Text" w:hAnsi="Google Sans Text" w:eastAsia="Google Sans Text" w:cs="Google Sans Text"/>
          <w:szCs w:val="24"/>
        </w:rPr>
        <w:t>选股策略</w:t>
      </w:r>
      <w:r>
        <w:tab/>
      </w:r>
      <w:r>
        <w:fldChar w:fldCharType="begin"/>
      </w:r>
      <w:r>
        <w:instrText xml:space="preserve"> PAGEREF _Toc9079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"_Toc14628"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2.3.6. </w:t>
      </w:r>
      <w:r>
        <w:rPr>
          <w:rFonts w:hint="eastAsia" w:asciiTheme="minorEastAsia" w:hAnsiTheme="minorEastAsia"/>
          <w:szCs w:val="24"/>
        </w:rPr>
        <w:t>资讯模块</w:t>
      </w:r>
      <w:r>
        <w:tab/>
      </w:r>
      <w:r>
        <w:fldChar w:fldCharType="begin"/>
      </w:r>
      <w:r>
        <w:instrText xml:space="preserve"> PAGEREF _Toc14628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"_Toc11061"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2.3.6.1. </w:t>
      </w:r>
      <w:r>
        <w:rPr>
          <w:rFonts w:ascii="Google Sans Text" w:hAnsi="Google Sans Text" w:eastAsia="Google Sans Text" w:cs="Google Sans Text"/>
          <w:szCs w:val="24"/>
        </w:rPr>
        <w:t>财经新闻列表</w:t>
      </w:r>
      <w:r>
        <w:tab/>
      </w:r>
      <w:r>
        <w:fldChar w:fldCharType="begin"/>
      </w:r>
      <w:r>
        <w:instrText xml:space="preserve"> PAGEREF _Toc11061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"_Toc23844"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2.3.6.2. </w:t>
      </w:r>
      <w:r>
        <w:rPr>
          <w:rFonts w:ascii="Google Sans Text" w:hAnsi="Google Sans Text" w:eastAsia="Google Sans Text" w:cs="Google Sans Text"/>
          <w:szCs w:val="24"/>
        </w:rPr>
        <w:t>新闻详情</w:t>
      </w:r>
      <w:r>
        <w:tab/>
      </w:r>
      <w:r>
        <w:fldChar w:fldCharType="begin"/>
      </w:r>
      <w:r>
        <w:instrText xml:space="preserve"> PAGEREF _Toc23844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"_Toc2718"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2.3.6.3. </w:t>
      </w:r>
      <w:r>
        <w:rPr>
          <w:rFonts w:ascii="Google Sans Text" w:hAnsi="Google Sans Text" w:eastAsia="Google Sans Text" w:cs="Google Sans Text"/>
          <w:szCs w:val="24"/>
        </w:rPr>
        <w:t>研报中心</w:t>
      </w:r>
      <w:r>
        <w:tab/>
      </w:r>
      <w:r>
        <w:fldChar w:fldCharType="begin"/>
      </w:r>
      <w:r>
        <w:instrText xml:space="preserve"> PAGEREF _Toc2718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"_Toc25932"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2.3.6.4. </w:t>
      </w:r>
      <w:r>
        <w:rPr>
          <w:rFonts w:ascii="Google Sans Text" w:hAnsi="Google Sans Text" w:eastAsia="Google Sans Text" w:cs="Google Sans Text"/>
          <w:szCs w:val="24"/>
        </w:rPr>
        <w:t>7x24快讯</w:t>
      </w:r>
      <w:r>
        <w:tab/>
      </w:r>
      <w:r>
        <w:fldChar w:fldCharType="begin"/>
      </w:r>
      <w:r>
        <w:instrText xml:space="preserve"> PAGEREF _Toc25932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"_Toc25884"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2.3.7. </w:t>
      </w:r>
      <w:r>
        <w:rPr>
          <w:rFonts w:hint="eastAsia" w:asciiTheme="minorEastAsia" w:hAnsiTheme="minorEastAsia"/>
          <w:szCs w:val="24"/>
        </w:rPr>
        <w:t>我的模块</w:t>
      </w:r>
      <w:r>
        <w:tab/>
      </w:r>
      <w:r>
        <w:fldChar w:fldCharType="begin"/>
      </w:r>
      <w:r>
        <w:instrText xml:space="preserve"> PAGEREF _Toc25884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"_Toc19085" </w:instrText>
      </w:r>
      <w:r>
        <w:fldChar w:fldCharType="separate"/>
      </w:r>
      <w:r>
        <w:rPr>
          <w:rFonts w:ascii="黑体" w:hAnsi="黑体" w:eastAsia="黑体" w:cs="Google Sans Text"/>
          <w:bCs/>
          <w:i/>
          <w:szCs w:val="28"/>
        </w:rPr>
        <w:t xml:space="preserve">2.3.7.1. </w:t>
      </w:r>
      <w:r>
        <w:rPr>
          <w:rFonts w:ascii="Google Sans Text" w:hAnsi="Google Sans Text" w:eastAsia="Google Sans Text" w:cs="Google Sans Text"/>
          <w:szCs w:val="24"/>
        </w:rPr>
        <w:t>用户信息展示</w:t>
      </w:r>
      <w:r>
        <w:tab/>
      </w:r>
      <w:r>
        <w:fldChar w:fldCharType="begin"/>
      </w:r>
      <w:r>
        <w:instrText xml:space="preserve"> PAGEREF _Toc19085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"_Toc28232"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2.3.7.2. </w:t>
      </w:r>
      <w:r>
        <w:rPr>
          <w:rFonts w:ascii="Google Sans Text" w:hAnsi="Google Sans Text" w:eastAsia="Google Sans Text" w:cs="Google Sans Text"/>
          <w:szCs w:val="24"/>
        </w:rPr>
        <w:t>个人信息修改</w:t>
      </w:r>
      <w:r>
        <w:tab/>
      </w:r>
      <w:r>
        <w:fldChar w:fldCharType="begin"/>
      </w:r>
      <w:r>
        <w:instrText xml:space="preserve"> PAGEREF _Toc28232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"_Toc16096"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2.3.7.3. </w:t>
      </w:r>
      <w:r>
        <w:rPr>
          <w:rFonts w:ascii="Google Sans Text" w:hAnsi="Google Sans Text" w:eastAsia="Google Sans Text" w:cs="Google Sans Text"/>
          <w:szCs w:val="24"/>
        </w:rPr>
        <w:t>密码修改</w:t>
      </w:r>
      <w:r>
        <w:tab/>
      </w:r>
      <w:r>
        <w:fldChar w:fldCharType="begin"/>
      </w:r>
      <w:r>
        <w:instrText xml:space="preserve"> PAGEREF _Toc16096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"_Toc12784"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2.3.7.4. </w:t>
      </w:r>
      <w:r>
        <w:rPr>
          <w:rFonts w:ascii="Google Sans Text" w:hAnsi="Google Sans Text" w:eastAsia="Google Sans Text" w:cs="Google Sans Text"/>
          <w:szCs w:val="24"/>
        </w:rPr>
        <w:t>消息中心</w:t>
      </w:r>
      <w:r>
        <w:tab/>
      </w:r>
      <w:r>
        <w:fldChar w:fldCharType="begin"/>
      </w:r>
      <w:r>
        <w:instrText xml:space="preserve"> PAGEREF _Toc12784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"_Toc8618"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2.3.7.5. </w:t>
      </w:r>
      <w:r>
        <w:rPr>
          <w:rFonts w:ascii="Google Sans Text" w:hAnsi="Google Sans Text" w:eastAsia="Google Sans Text" w:cs="Google Sans Text"/>
          <w:szCs w:val="24"/>
        </w:rPr>
        <w:t>设置</w:t>
      </w:r>
      <w:r>
        <w:tab/>
      </w:r>
      <w:r>
        <w:fldChar w:fldCharType="begin"/>
      </w:r>
      <w:r>
        <w:instrText xml:space="preserve"> PAGEREF _Toc8618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"_Toc20843"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2.3.7.6. </w:t>
      </w:r>
      <w:r>
        <w:rPr>
          <w:rFonts w:ascii="Google Sans Text" w:hAnsi="Google Sans Text" w:eastAsia="Google Sans Text" w:cs="Google Sans Text"/>
          <w:szCs w:val="24"/>
        </w:rPr>
        <w:t>帮助与反馈</w:t>
      </w:r>
      <w:r>
        <w:tab/>
      </w:r>
      <w:r>
        <w:fldChar w:fldCharType="begin"/>
      </w:r>
      <w:r>
        <w:instrText xml:space="preserve"> PAGEREF _Toc20843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"_Toc30794"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2.3.7.7. </w:t>
      </w:r>
      <w:r>
        <w:rPr>
          <w:rFonts w:hint="eastAsia" w:cs="Google Sans Text" w:asciiTheme="minorEastAsia" w:hAnsiTheme="minorEastAsia"/>
          <w:szCs w:val="24"/>
        </w:rPr>
        <w:t>关于我们</w:t>
      </w:r>
      <w:r>
        <w:tab/>
      </w:r>
      <w:r>
        <w:fldChar w:fldCharType="begin"/>
      </w:r>
      <w:r>
        <w:instrText xml:space="preserve"> PAGEREF _Toc30794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"_Toc2171"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2.3.8. </w:t>
      </w:r>
      <w:r>
        <w:rPr>
          <w:rFonts w:hint="eastAsia" w:asciiTheme="minorEastAsia" w:hAnsiTheme="minorEastAsia"/>
          <w:szCs w:val="24"/>
        </w:rPr>
        <w:t>全局功能</w:t>
      </w:r>
      <w:r>
        <w:tab/>
      </w:r>
      <w:r>
        <w:fldChar w:fldCharType="begin"/>
      </w:r>
      <w:r>
        <w:instrText xml:space="preserve"> PAGEREF _Toc2171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"_Toc5098"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2.3.8.1. </w:t>
      </w:r>
      <w:r>
        <w:rPr>
          <w:rFonts w:hint="eastAsia" w:asciiTheme="minorEastAsia" w:hAnsiTheme="minorEastAsia"/>
          <w:szCs w:val="21"/>
        </w:rPr>
        <w:t>用户登录</w:t>
      </w:r>
      <w:r>
        <w:tab/>
      </w:r>
      <w:r>
        <w:fldChar w:fldCharType="begin"/>
      </w:r>
      <w:r>
        <w:instrText xml:space="preserve"> PAGEREF _Toc5098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"_Toc7754"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2.3.8.2. </w:t>
      </w:r>
      <w:r>
        <w:rPr>
          <w:rFonts w:hint="eastAsia" w:asciiTheme="minorEastAsia" w:hAnsiTheme="minorEastAsia"/>
          <w:szCs w:val="21"/>
        </w:rPr>
        <w:t>用户注册</w:t>
      </w:r>
      <w:r>
        <w:tab/>
      </w:r>
      <w:r>
        <w:fldChar w:fldCharType="begin"/>
      </w:r>
      <w:r>
        <w:instrText xml:space="preserve"> PAGEREF _Toc7754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"_Toc5902"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2.3.8.3. </w:t>
      </w:r>
      <w:r>
        <w:rPr>
          <w:rFonts w:hint="eastAsia" w:asciiTheme="minorEastAsia" w:hAnsiTheme="minorEastAsia"/>
          <w:szCs w:val="21"/>
        </w:rPr>
        <w:t>退出登录</w:t>
      </w:r>
      <w:r>
        <w:tab/>
      </w:r>
      <w:r>
        <w:fldChar w:fldCharType="begin"/>
      </w:r>
      <w:r>
        <w:instrText xml:space="preserve"> PAGEREF _Toc5902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"_Toc19272"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2.4. </w:t>
      </w:r>
      <w:r>
        <w:rPr>
          <w:rFonts w:hint="eastAsia" w:asciiTheme="minorEastAsia" w:hAnsiTheme="minorEastAsia"/>
          <w:szCs w:val="28"/>
        </w:rPr>
        <w:t>后端（A</w:t>
      </w:r>
      <w:r>
        <w:rPr>
          <w:rFonts w:asciiTheme="minorEastAsia" w:hAnsiTheme="minorEastAsia"/>
          <w:szCs w:val="28"/>
        </w:rPr>
        <w:t>DMIN</w:t>
      </w:r>
      <w:r>
        <w:rPr>
          <w:rFonts w:hint="eastAsia" w:asciiTheme="minorEastAsia" w:hAnsiTheme="minorEastAsia"/>
          <w:szCs w:val="28"/>
        </w:rPr>
        <w:t>）</w:t>
      </w:r>
      <w:r>
        <w:rPr>
          <w:rFonts w:asciiTheme="minorEastAsia" w:hAnsiTheme="minorEastAsia"/>
          <w:szCs w:val="28"/>
        </w:rPr>
        <w:t>管理</w:t>
      </w:r>
      <w:r>
        <w:tab/>
      </w:r>
      <w:r>
        <w:fldChar w:fldCharType="begin"/>
      </w:r>
      <w:r>
        <w:instrText xml:space="preserve"> PAGEREF _Toc19272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"_Toc24698" </w:instrText>
      </w:r>
      <w:r>
        <w:fldChar w:fldCharType="separate"/>
      </w:r>
      <w:r>
        <w:rPr>
          <w:rFonts w:ascii="黑体" w:hAnsi="黑体" w:eastAsia="黑体"/>
          <w:bCs/>
          <w:szCs w:val="28"/>
        </w:rPr>
        <w:t xml:space="preserve">2.4.1. </w:t>
      </w:r>
      <w:r>
        <w:rPr>
          <w:rFonts w:ascii="Google Sans Text" w:hAnsi="Google Sans Text" w:eastAsia="Google Sans Text" w:cs="Google Sans Text"/>
          <w:szCs w:val="24"/>
        </w:rPr>
        <w:t>管理员认证</w:t>
      </w:r>
      <w:r>
        <w:tab/>
      </w:r>
      <w:r>
        <w:fldChar w:fldCharType="begin"/>
      </w:r>
      <w:r>
        <w:instrText xml:space="preserve"> PAGEREF _Toc24698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"_Toc8943"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2.4.2. </w:t>
      </w:r>
      <w:r>
        <w:rPr>
          <w:rFonts w:ascii="Google Sans Text" w:hAnsi="Google Sans Text" w:eastAsia="Google Sans Text" w:cs="Google Sans Text"/>
          <w:szCs w:val="24"/>
        </w:rPr>
        <w:t>用户管理</w:t>
      </w:r>
      <w:r>
        <w:tab/>
      </w:r>
      <w:r>
        <w:fldChar w:fldCharType="begin"/>
      </w:r>
      <w:r>
        <w:instrText xml:space="preserve"> PAGEREF _Toc8943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"_Toc20068"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2.4.2.1. </w:t>
      </w:r>
      <w:r>
        <w:rPr>
          <w:rFonts w:hint="eastAsia" w:asciiTheme="minorEastAsia" w:hAnsiTheme="minorEastAsia"/>
          <w:szCs w:val="21"/>
        </w:rPr>
        <w:t>功能需求</w:t>
      </w:r>
      <w:r>
        <w:tab/>
      </w:r>
      <w:r>
        <w:fldChar w:fldCharType="begin"/>
      </w:r>
      <w:r>
        <w:instrText xml:space="preserve"> PAGEREF _Toc20068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"_Toc18617"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2.4.2.2. </w:t>
      </w:r>
      <w:r>
        <w:rPr>
          <w:rFonts w:hint="eastAsia" w:asciiTheme="minorEastAsia" w:hAnsiTheme="minorEastAsia"/>
          <w:szCs w:val="21"/>
        </w:rPr>
        <w:t>业务流程</w:t>
      </w:r>
      <w:r>
        <w:tab/>
      </w:r>
      <w:r>
        <w:fldChar w:fldCharType="begin"/>
      </w:r>
      <w:r>
        <w:instrText xml:space="preserve"> PAGEREF _Toc18617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"_Toc9227"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2.4.2.3. </w:t>
      </w:r>
      <w:r>
        <w:rPr>
          <w:rFonts w:hint="eastAsia" w:asciiTheme="minorEastAsia" w:hAnsiTheme="minorEastAsia"/>
          <w:szCs w:val="21"/>
        </w:rPr>
        <w:t>页面原型</w:t>
      </w:r>
      <w:r>
        <w:tab/>
      </w:r>
      <w:r>
        <w:fldChar w:fldCharType="begin"/>
      </w:r>
      <w:r>
        <w:instrText xml:space="preserve"> PAGEREF _Toc9227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"_Toc12757"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2.4.2.4. </w:t>
      </w:r>
      <w:r>
        <w:rPr>
          <w:rFonts w:hint="eastAsia" w:asciiTheme="minorEastAsia" w:hAnsiTheme="minorEastAsia"/>
          <w:szCs w:val="21"/>
        </w:rPr>
        <w:t>数据元素</w:t>
      </w:r>
      <w:r>
        <w:tab/>
      </w:r>
      <w:r>
        <w:fldChar w:fldCharType="begin"/>
      </w:r>
      <w:r>
        <w:instrText xml:space="preserve"> PAGEREF _Toc12757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"_Toc27942"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2.4.2.5. </w:t>
      </w:r>
      <w:r>
        <w:rPr>
          <w:rFonts w:hint="eastAsia" w:asciiTheme="minorEastAsia" w:hAnsiTheme="minorEastAsia"/>
          <w:szCs w:val="21"/>
        </w:rPr>
        <w:t>业务规则</w:t>
      </w:r>
      <w:r>
        <w:tab/>
      </w:r>
      <w:r>
        <w:fldChar w:fldCharType="begin"/>
      </w:r>
      <w:r>
        <w:instrText xml:space="preserve"> PAGEREF _Toc27942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"_Toc340"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2.4.3. </w:t>
      </w:r>
      <w:r>
        <w:rPr>
          <w:rFonts w:hint="eastAsia" w:ascii="宋体" w:hAnsi="宋体" w:eastAsia="宋体" w:cs="宋体"/>
          <w:szCs w:val="24"/>
        </w:rPr>
        <w:t>数据源配置</w:t>
      </w:r>
      <w:r>
        <w:tab/>
      </w:r>
      <w:r>
        <w:fldChar w:fldCharType="begin"/>
      </w:r>
      <w:r>
        <w:instrText xml:space="preserve"> PAGEREF _Toc340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"_Toc21973"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2.4.4. </w:t>
      </w:r>
      <w:r>
        <w:rPr>
          <w:rFonts w:ascii="Google Sans Text" w:hAnsi="Google Sans Text" w:eastAsia="Google Sans Text" w:cs="Google Sans Text"/>
          <w:szCs w:val="24"/>
        </w:rPr>
        <w:t>数据采集任务管理</w:t>
      </w:r>
      <w:r>
        <w:tab/>
      </w:r>
      <w:r>
        <w:fldChar w:fldCharType="begin"/>
      </w:r>
      <w:r>
        <w:instrText xml:space="preserve"> PAGEREF _Toc21973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"_Toc15077"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2.4.5. </w:t>
      </w:r>
      <w:r>
        <w:rPr>
          <w:rFonts w:ascii="Google Sans Text" w:hAnsi="Google Sans Text" w:eastAsia="Google Sans Text" w:cs="Google Sans Text"/>
          <w:szCs w:val="24"/>
        </w:rPr>
        <w:t>数据监控与告警</w:t>
      </w:r>
      <w:r>
        <w:tab/>
      </w:r>
      <w:r>
        <w:fldChar w:fldCharType="begin"/>
      </w:r>
      <w:r>
        <w:instrText xml:space="preserve"> PAGEREF _Toc15077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"_Toc25325"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2.4.6. </w:t>
      </w:r>
      <w:r>
        <w:rPr>
          <w:rFonts w:ascii="Google Sans Text" w:hAnsi="Google Sans Text" w:eastAsia="Google Sans Text" w:cs="Google Sans Text"/>
          <w:szCs w:val="24"/>
        </w:rPr>
        <w:t>预测模型管理</w:t>
      </w:r>
      <w:r>
        <w:tab/>
      </w:r>
      <w:r>
        <w:fldChar w:fldCharType="begin"/>
      </w:r>
      <w:r>
        <w:instrText xml:space="preserve"> PAGEREF _Toc25325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"_Toc10334"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2.4.7. </w:t>
      </w:r>
      <w:r>
        <w:rPr>
          <w:rFonts w:ascii="Google Sans Text" w:hAnsi="Google Sans Text" w:eastAsia="Google Sans Text" w:cs="Google Sans Text"/>
          <w:szCs w:val="24"/>
        </w:rPr>
        <w:t>系统日志</w:t>
      </w:r>
      <w:r>
        <w:tab/>
      </w:r>
      <w:r>
        <w:fldChar w:fldCharType="begin"/>
      </w:r>
      <w:r>
        <w:instrText xml:space="preserve"> PAGEREF _Toc10334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"_Toc5596"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2.4.8. </w:t>
      </w:r>
      <w:r>
        <w:rPr>
          <w:rFonts w:ascii="Google Sans Text" w:hAnsi="Google Sans Text" w:eastAsia="Google Sans Text" w:cs="Google Sans Text"/>
          <w:szCs w:val="24"/>
        </w:rPr>
        <w:t>内容管理</w:t>
      </w:r>
      <w:r>
        <w:tab/>
      </w:r>
      <w:r>
        <w:fldChar w:fldCharType="begin"/>
      </w:r>
      <w:r>
        <w:instrText xml:space="preserve"> PAGEREF _Toc5596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"_Toc28835"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2.4.9. </w:t>
      </w:r>
      <w:r>
        <w:rPr>
          <w:rFonts w:ascii="Google Sans Text" w:hAnsi="Google Sans Text" w:eastAsia="Google Sans Text" w:cs="Google Sans Text"/>
          <w:szCs w:val="24"/>
        </w:rPr>
        <w:t>系统公告发布</w:t>
      </w:r>
      <w:r>
        <w:tab/>
      </w:r>
      <w:r>
        <w:fldChar w:fldCharType="begin"/>
      </w:r>
      <w:r>
        <w:instrText xml:space="preserve"> PAGEREF _Toc28835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"_Toc8312"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2.5. </w:t>
      </w:r>
      <w:r>
        <w:rPr>
          <w:rFonts w:hint="eastAsia" w:asciiTheme="minorEastAsia" w:hAnsiTheme="minorEastAsia"/>
          <w:szCs w:val="28"/>
        </w:rPr>
        <w:t>后端A</w:t>
      </w:r>
      <w:r>
        <w:rPr>
          <w:rFonts w:asciiTheme="minorEastAsia" w:hAnsiTheme="minorEastAsia"/>
          <w:szCs w:val="28"/>
        </w:rPr>
        <w:t>PI</w:t>
      </w:r>
      <w:r>
        <w:tab/>
      </w:r>
      <w:r>
        <w:fldChar w:fldCharType="begin"/>
      </w:r>
      <w:r>
        <w:instrText xml:space="preserve"> PAGEREF _Toc8312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"_Toc4779"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2.5.1. </w:t>
      </w:r>
      <w:r>
        <w:rPr>
          <w:rFonts w:ascii="Google Sans Text" w:hAnsi="Google Sans Text" w:eastAsia="Google Sans Text" w:cs="Google Sans Text"/>
          <w:szCs w:val="24"/>
        </w:rPr>
        <w:t>用户认证相关API</w:t>
      </w:r>
      <w:r>
        <w:tab/>
      </w:r>
      <w:r>
        <w:fldChar w:fldCharType="begin"/>
      </w:r>
      <w:r>
        <w:instrText xml:space="preserve"> PAGEREF _Toc4779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"_Toc12402"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2.5.2. </w:t>
      </w:r>
      <w:r>
        <w:rPr>
          <w:rFonts w:ascii="Google Sans Text" w:hAnsi="Google Sans Text" w:eastAsia="Google Sans Text" w:cs="Google Sans Text"/>
          <w:szCs w:val="24"/>
        </w:rPr>
        <w:t>用户信息管理API</w:t>
      </w:r>
      <w:r>
        <w:tab/>
      </w:r>
      <w:r>
        <w:fldChar w:fldCharType="begin"/>
      </w:r>
      <w:r>
        <w:instrText xml:space="preserve"> PAGEREF _Toc12402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"_Toc19882"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2.5.3. </w:t>
      </w:r>
      <w:r>
        <w:rPr>
          <w:rFonts w:ascii="Google Sans Text" w:hAnsi="Google Sans Text" w:eastAsia="Google Sans Text" w:cs="Google Sans Text"/>
          <w:szCs w:val="24"/>
        </w:rPr>
        <w:t>自选股管理API</w:t>
      </w:r>
      <w:r>
        <w:tab/>
      </w:r>
      <w:r>
        <w:fldChar w:fldCharType="begin"/>
      </w:r>
      <w:r>
        <w:instrText xml:space="preserve"> PAGEREF _Toc19882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"_Toc22349"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2.5.4. </w:t>
      </w:r>
      <w:r>
        <w:rPr>
          <w:rFonts w:ascii="Google Sans Text" w:hAnsi="Google Sans Text" w:eastAsia="Google Sans Text" w:cs="Google Sans Text"/>
          <w:szCs w:val="24"/>
        </w:rPr>
        <w:t>股票搜索API</w:t>
      </w:r>
      <w:r>
        <w:tab/>
      </w:r>
      <w:r>
        <w:fldChar w:fldCharType="begin"/>
      </w:r>
      <w:r>
        <w:instrText xml:space="preserve"> PAGEREF _Toc22349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"_Toc1972"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2.5.5. </w:t>
      </w:r>
      <w:r>
        <w:rPr>
          <w:rFonts w:ascii="Google Sans Text" w:hAnsi="Google Sans Text" w:eastAsia="Google Sans Text" w:cs="Google Sans Text"/>
          <w:szCs w:val="24"/>
        </w:rPr>
        <w:t>行情数据API</w:t>
      </w:r>
      <w:r>
        <w:tab/>
      </w:r>
      <w:r>
        <w:fldChar w:fldCharType="begin"/>
      </w:r>
      <w:r>
        <w:instrText xml:space="preserve"> PAGEREF _Toc1972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"_Toc31485"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2.5.6. </w:t>
      </w:r>
      <w:r>
        <w:rPr>
          <w:rFonts w:ascii="Google Sans Text" w:hAnsi="Google Sans Text" w:eastAsia="Google Sans Text" w:cs="Google Sans Text"/>
          <w:szCs w:val="24"/>
        </w:rPr>
        <w:t>历史行情API</w:t>
      </w:r>
      <w:r>
        <w:tab/>
      </w:r>
      <w:r>
        <w:fldChar w:fldCharType="begin"/>
      </w:r>
      <w:r>
        <w:instrText xml:space="preserve"> PAGEREF _Toc31485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"_Toc3670"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2.5.7. </w:t>
      </w:r>
      <w:r>
        <w:rPr>
          <w:rFonts w:ascii="Google Sans Text" w:hAnsi="Google Sans Text" w:eastAsia="Google Sans Text" w:cs="Google Sans Text"/>
          <w:szCs w:val="24"/>
        </w:rPr>
        <w:t>个股信息API</w:t>
      </w:r>
      <w:r>
        <w:tab/>
      </w:r>
      <w:r>
        <w:fldChar w:fldCharType="begin"/>
      </w:r>
      <w:r>
        <w:instrText xml:space="preserve"> PAGEREF _Toc3670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"_Toc23714"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2.5.8. </w:t>
      </w:r>
      <w:r>
        <w:rPr>
          <w:rFonts w:ascii="Google Sans Text" w:hAnsi="Google Sans Text" w:eastAsia="Google Sans Text" w:cs="Google Sans Text"/>
          <w:szCs w:val="24"/>
        </w:rPr>
        <w:t>新闻公告API</w:t>
      </w:r>
      <w:r>
        <w:tab/>
      </w:r>
      <w:r>
        <w:fldChar w:fldCharType="begin"/>
      </w:r>
      <w:r>
        <w:instrText xml:space="preserve"> PAGEREF _Toc23714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"_Toc10474"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2.5.9. </w:t>
      </w:r>
      <w:r>
        <w:rPr>
          <w:rFonts w:ascii="Google Sans Text" w:hAnsi="Google Sans Text" w:eastAsia="Google Sans Text" w:cs="Google Sans Text"/>
          <w:szCs w:val="24"/>
        </w:rPr>
        <w:t>研报API</w:t>
      </w:r>
      <w:r>
        <w:tab/>
      </w:r>
      <w:r>
        <w:fldChar w:fldCharType="begin"/>
      </w:r>
      <w:r>
        <w:instrText xml:space="preserve"> PAGEREF _Toc10474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"_Toc28154"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2.5.10. </w:t>
      </w:r>
      <w:r>
        <w:rPr>
          <w:rFonts w:ascii="Google Sans Text" w:hAnsi="Google Sans Text" w:eastAsia="Google Sans Text" w:cs="Google Sans Text"/>
          <w:szCs w:val="24"/>
        </w:rPr>
        <w:t>板块/行业API</w:t>
      </w:r>
      <w:r>
        <w:tab/>
      </w:r>
      <w:r>
        <w:fldChar w:fldCharType="begin"/>
      </w:r>
      <w:r>
        <w:instrText xml:space="preserve"> PAGEREF _Toc28154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"_Toc29376"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2.5.11. </w:t>
      </w:r>
      <w:r>
        <w:rPr>
          <w:rFonts w:ascii="Google Sans Text" w:hAnsi="Google Sans Text" w:eastAsia="Google Sans Text" w:cs="Google Sans Text"/>
          <w:szCs w:val="24"/>
        </w:rPr>
        <w:t>技术指标计算API</w:t>
      </w:r>
      <w:r>
        <w:tab/>
      </w:r>
      <w:r>
        <w:fldChar w:fldCharType="begin"/>
      </w:r>
      <w:r>
        <w:instrText xml:space="preserve"> PAGEREF _Toc29376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"_Toc13181"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2.5.12. </w:t>
      </w:r>
      <w:r>
        <w:rPr>
          <w:rFonts w:ascii="Google Sans Text" w:hAnsi="Google Sans Text" w:eastAsia="Google Sans Text" w:cs="Google Sans Text"/>
          <w:szCs w:val="24"/>
        </w:rPr>
        <w:t>预测结果获取API</w:t>
      </w:r>
      <w:r>
        <w:tab/>
      </w:r>
      <w:r>
        <w:fldChar w:fldCharType="begin"/>
      </w:r>
      <w:r>
        <w:instrText xml:space="preserve"> PAGEREF _Toc13181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"_Toc25418"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2.5.13. </w:t>
      </w:r>
      <w:r>
        <w:rPr>
          <w:rFonts w:ascii="Google Sans Text" w:hAnsi="Google Sans Text" w:eastAsia="Google Sans Text" w:cs="Google Sans Text"/>
          <w:szCs w:val="24"/>
        </w:rPr>
        <w:t>交易建议获取API</w:t>
      </w:r>
      <w:r>
        <w:tab/>
      </w:r>
      <w:r>
        <w:fldChar w:fldCharType="begin"/>
      </w:r>
      <w:r>
        <w:instrText xml:space="preserve"> PAGEREF _Toc25418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"_Toc8258"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2.5.14. </w:t>
      </w:r>
      <w:r>
        <w:rPr>
          <w:rFonts w:ascii="Google Sans Text" w:hAnsi="Google Sans Text" w:eastAsia="Google Sans Text" w:cs="Google Sans Text"/>
          <w:szCs w:val="24"/>
        </w:rPr>
        <w:t>财经新闻API</w:t>
      </w:r>
      <w:r>
        <w:tab/>
      </w:r>
      <w:r>
        <w:fldChar w:fldCharType="begin"/>
      </w:r>
      <w:r>
        <w:instrText xml:space="preserve"> PAGEREF _Toc8258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"_Toc23791"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2.5.15. </w:t>
      </w:r>
      <w:r>
        <w:rPr>
          <w:rFonts w:ascii="Google Sans Text" w:hAnsi="Google Sans Text" w:eastAsia="Google Sans Text" w:cs="Google Sans Text"/>
          <w:szCs w:val="24"/>
        </w:rPr>
        <w:t>系统公告/消息API</w:t>
      </w:r>
      <w:r>
        <w:tab/>
      </w:r>
      <w:r>
        <w:fldChar w:fldCharType="begin"/>
      </w:r>
      <w:r>
        <w:instrText xml:space="preserve"> PAGEREF _Toc23791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"_Toc539"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2.6. </w:t>
      </w:r>
      <w:r>
        <w:rPr>
          <w:rFonts w:hint="eastAsia" w:asciiTheme="minorEastAsia" w:hAnsiTheme="minorEastAsia"/>
          <w:szCs w:val="28"/>
        </w:rPr>
        <w:t>后端数据采集与存储</w:t>
      </w:r>
      <w:r>
        <w:tab/>
      </w:r>
      <w:r>
        <w:fldChar w:fldCharType="begin"/>
      </w:r>
      <w:r>
        <w:instrText xml:space="preserve"> PAGEREF _Toc539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"_Toc7986"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2.6.1. </w:t>
      </w:r>
      <w:r>
        <w:rPr>
          <w:rFonts w:ascii="Google Sans Text" w:hAnsi="Google Sans Text" w:eastAsia="Google Sans Text" w:cs="Google Sans Text"/>
          <w:szCs w:val="24"/>
        </w:rPr>
        <w:t>数据源适配</w:t>
      </w:r>
      <w:r>
        <w:tab/>
      </w:r>
      <w:r>
        <w:fldChar w:fldCharType="begin"/>
      </w:r>
      <w:r>
        <w:instrText xml:space="preserve"> PAGEREF _Toc7986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"_Toc1932"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2.6.2. </w:t>
      </w:r>
      <w:r>
        <w:rPr>
          <w:rFonts w:ascii="Google Sans Text" w:hAnsi="Google Sans Text" w:eastAsia="Google Sans Text" w:cs="Google Sans Text"/>
          <w:szCs w:val="24"/>
        </w:rPr>
        <w:t>数据采集调度</w:t>
      </w:r>
      <w:r>
        <w:tab/>
      </w:r>
      <w:r>
        <w:fldChar w:fldCharType="begin"/>
      </w:r>
      <w:r>
        <w:instrText xml:space="preserve"> PAGEREF _Toc1932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"_Toc8012"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2.6.3. </w:t>
      </w:r>
      <w:r>
        <w:rPr>
          <w:rFonts w:ascii="Google Sans Text" w:hAnsi="Google Sans Text" w:eastAsia="Google Sans Text" w:cs="Google Sans Text"/>
          <w:szCs w:val="24"/>
        </w:rPr>
        <w:t>增量采集与更新</w:t>
      </w:r>
      <w:r>
        <w:tab/>
      </w:r>
      <w:r>
        <w:fldChar w:fldCharType="begin"/>
      </w:r>
      <w:r>
        <w:instrText xml:space="preserve"> PAGEREF _Toc8012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"_Toc30351"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2.6.4. </w:t>
      </w:r>
      <w:r>
        <w:rPr>
          <w:rFonts w:ascii="Google Sans Text" w:hAnsi="Google Sans Text" w:eastAsia="Google Sans Text" w:cs="Google Sans Text"/>
          <w:szCs w:val="24"/>
        </w:rPr>
        <w:t>数据清洗与校验</w:t>
      </w:r>
      <w:r>
        <w:tab/>
      </w:r>
      <w:r>
        <w:fldChar w:fldCharType="begin"/>
      </w:r>
      <w:r>
        <w:instrText xml:space="preserve"> PAGEREF _Toc30351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"_Toc8819"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2.6.5. </w:t>
      </w:r>
      <w:r>
        <w:rPr>
          <w:rFonts w:ascii="Google Sans Text" w:hAnsi="Google Sans Text" w:eastAsia="Google Sans Text" w:cs="Google Sans Text"/>
          <w:szCs w:val="24"/>
        </w:rPr>
        <w:t>错误重试与告警</w:t>
      </w:r>
      <w:r>
        <w:tab/>
      </w:r>
      <w:r>
        <w:fldChar w:fldCharType="begin"/>
      </w:r>
      <w:r>
        <w:instrText xml:space="preserve"> PAGEREF _Toc8819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"_Toc8756"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2.6.6. </w:t>
      </w:r>
      <w:r>
        <w:rPr>
          <w:rFonts w:ascii="Google Sans Text" w:hAnsi="Google Sans Text" w:eastAsia="Google Sans Text" w:cs="Google Sans Text"/>
          <w:szCs w:val="24"/>
        </w:rPr>
        <w:t>历史数据归档与管理</w:t>
      </w:r>
      <w:r>
        <w:tab/>
      </w:r>
      <w:r>
        <w:fldChar w:fldCharType="begin"/>
      </w:r>
      <w:r>
        <w:instrText xml:space="preserve"> PAGEREF _Toc8756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"_Toc3927"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2.6.7. </w:t>
      </w:r>
      <w:r>
        <w:rPr>
          <w:rFonts w:ascii="Google Sans Text" w:hAnsi="Google Sans Text" w:eastAsia="Google Sans Text" w:cs="Google Sans Text"/>
          <w:szCs w:val="24"/>
        </w:rPr>
        <w:t>数据备份与恢复</w:t>
      </w:r>
      <w:r>
        <w:tab/>
      </w:r>
      <w:r>
        <w:fldChar w:fldCharType="begin"/>
      </w:r>
      <w:r>
        <w:instrText xml:space="preserve"> PAGEREF _Toc3927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"_Toc24235"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2.7. </w:t>
      </w:r>
      <w:r>
        <w:rPr>
          <w:rFonts w:hint="eastAsia" w:asciiTheme="minorEastAsia" w:hAnsiTheme="minorEastAsia"/>
          <w:szCs w:val="28"/>
        </w:rPr>
        <w:t>后端分析与预测</w:t>
      </w:r>
      <w:r>
        <w:tab/>
      </w:r>
      <w:r>
        <w:fldChar w:fldCharType="begin"/>
      </w:r>
      <w:r>
        <w:instrText xml:space="preserve"> PAGEREF _Toc24235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"_Toc22695"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2.7.1. </w:t>
      </w:r>
      <w:r>
        <w:rPr>
          <w:rFonts w:ascii="Google Sans Text" w:hAnsi="Google Sans Text" w:eastAsia="Google Sans Text" w:cs="Google Sans Text"/>
          <w:szCs w:val="24"/>
        </w:rPr>
        <w:t>技术指标计算服务</w:t>
      </w:r>
      <w:r>
        <w:tab/>
      </w:r>
      <w:r>
        <w:fldChar w:fldCharType="begin"/>
      </w:r>
      <w:r>
        <w:instrText xml:space="preserve"> PAGEREF _Toc22695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"_Toc28219"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2.7.2. </w:t>
      </w:r>
      <w:r>
        <w:rPr>
          <w:rFonts w:ascii="Google Sans Text" w:hAnsi="Google Sans Text" w:eastAsia="Google Sans Text" w:cs="Google Sans Text"/>
          <w:szCs w:val="24"/>
        </w:rPr>
        <w:t>预测模型实现</w:t>
      </w:r>
      <w:r>
        <w:rPr>
          <w:rFonts w:hint="eastAsia" w:cs="Google Sans Text" w:asciiTheme="minorEastAsia" w:hAnsiTheme="minorEastAsia"/>
          <w:szCs w:val="24"/>
        </w:rPr>
        <w:t>（可选）</w:t>
      </w:r>
      <w:r>
        <w:tab/>
      </w:r>
      <w:r>
        <w:fldChar w:fldCharType="begin"/>
      </w:r>
      <w:r>
        <w:instrText xml:space="preserve"> PAGEREF _Toc28219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"_Toc12441"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2.7.3. </w:t>
      </w:r>
      <w:r>
        <w:rPr>
          <w:rFonts w:ascii="Google Sans Text" w:hAnsi="Google Sans Text" w:eastAsia="Google Sans Text" w:cs="Google Sans Text"/>
          <w:szCs w:val="24"/>
        </w:rPr>
        <w:t>模型训练与评估</w:t>
      </w:r>
      <w:r>
        <w:rPr>
          <w:rFonts w:hint="eastAsia" w:cs="Google Sans Text" w:asciiTheme="minorEastAsia" w:hAnsiTheme="minorEastAsia"/>
          <w:szCs w:val="24"/>
        </w:rPr>
        <w:t>（可选）</w:t>
      </w:r>
      <w:r>
        <w:tab/>
      </w:r>
      <w:r>
        <w:fldChar w:fldCharType="begin"/>
      </w:r>
      <w:r>
        <w:instrText xml:space="preserve"> PAGEREF _Toc12441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"_Toc30499" </w:instrText>
      </w:r>
      <w:r>
        <w:fldChar w:fldCharType="separate"/>
      </w:r>
      <w:r>
        <w:rPr>
          <w:rFonts w:ascii="黑体" w:hAnsi="黑体" w:eastAsia="黑体" w:cs="Google Sans Text"/>
          <w:bCs/>
          <w:szCs w:val="28"/>
        </w:rPr>
        <w:t xml:space="preserve">2.7.4. </w:t>
      </w:r>
      <w:r>
        <w:rPr>
          <w:rFonts w:hint="eastAsia" w:ascii="宋体" w:hAnsi="宋体" w:eastAsia="宋体" w:cs="宋体"/>
          <w:szCs w:val="24"/>
        </w:rPr>
        <w:t>预测</w:t>
      </w:r>
      <w:r>
        <w:rPr>
          <w:rFonts w:ascii="Google Sans Text" w:hAnsi="Google Sans Text" w:eastAsia="Google Sans Text" w:cs="Google Sans Text"/>
          <w:szCs w:val="24"/>
        </w:rPr>
        <w:t>/</w:t>
      </w:r>
      <w:r>
        <w:rPr>
          <w:rFonts w:hint="eastAsia" w:ascii="宋体" w:hAnsi="宋体" w:eastAsia="宋体" w:cs="宋体"/>
          <w:szCs w:val="24"/>
        </w:rPr>
        <w:t>建议服务</w:t>
      </w:r>
      <w:r>
        <w:rPr>
          <w:rFonts w:hint="eastAsia" w:cs="Google Sans Text" w:asciiTheme="minorEastAsia" w:hAnsiTheme="minorEastAsia"/>
          <w:szCs w:val="24"/>
        </w:rPr>
        <w:t>（可选）</w:t>
      </w:r>
      <w:r>
        <w:tab/>
      </w:r>
      <w:r>
        <w:fldChar w:fldCharType="begin"/>
      </w:r>
      <w:r>
        <w:instrText xml:space="preserve"> PAGEREF _Toc30499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9746"/>
          <w:tab w:val="clear" w:pos="480"/>
          <w:tab w:val="clear" w:pos="9964"/>
        </w:tabs>
      </w:pPr>
      <w:r>
        <w:fldChar w:fldCharType="begin"/>
      </w:r>
      <w:r>
        <w:instrText xml:space="preserve"> HYPERLINK \l "_Toc30149" </w:instrText>
      </w:r>
      <w:r>
        <w:fldChar w:fldCharType="separate"/>
      </w:r>
      <w:r>
        <w:rPr>
          <w:rFonts w:asciiTheme="minorEastAsia" w:hAnsiTheme="minorEastAsia" w:eastAsiaTheme="minorEastAsia"/>
          <w:bCs w:val="0"/>
          <w:iCs/>
          <w:szCs w:val="24"/>
        </w:rPr>
        <w:t xml:space="preserve">3. </w:t>
      </w:r>
      <w:r>
        <w:t>接口需求分析</w:t>
      </w:r>
      <w:r>
        <w:tab/>
      </w:r>
      <w:r>
        <w:fldChar w:fldCharType="begin"/>
      </w:r>
      <w:r>
        <w:instrText xml:space="preserve"> PAGEREF _Toc30149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"_Toc20878"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3.1. </w:t>
      </w:r>
      <w:r>
        <w:rPr>
          <w:rFonts w:asciiTheme="minorEastAsia" w:hAnsiTheme="minorEastAsia"/>
          <w:szCs w:val="28"/>
        </w:rPr>
        <w:t>总体接口说明</w:t>
      </w:r>
      <w:r>
        <w:tab/>
      </w:r>
      <w:r>
        <w:fldChar w:fldCharType="begin"/>
      </w:r>
      <w:r>
        <w:instrText xml:space="preserve"> PAGEREF _Toc20878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"_Toc3033"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3.2. </w:t>
      </w:r>
      <w:r>
        <w:rPr>
          <w:rFonts w:asciiTheme="minorEastAsia" w:hAnsiTheme="minorEastAsia"/>
          <w:szCs w:val="28"/>
        </w:rPr>
        <w:t>接口清单</w:t>
      </w:r>
      <w:r>
        <w:tab/>
      </w:r>
      <w:r>
        <w:fldChar w:fldCharType="begin"/>
      </w:r>
      <w:r>
        <w:instrText xml:space="preserve"> PAGEREF _Toc3033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9746"/>
          <w:tab w:val="clear" w:pos="480"/>
          <w:tab w:val="clear" w:pos="9964"/>
        </w:tabs>
      </w:pPr>
      <w:r>
        <w:fldChar w:fldCharType="begin"/>
      </w:r>
      <w:r>
        <w:instrText xml:space="preserve"> HYPERLINK \l "_Toc13808" </w:instrText>
      </w:r>
      <w:r>
        <w:fldChar w:fldCharType="separate"/>
      </w:r>
      <w:r>
        <w:rPr>
          <w:rFonts w:asciiTheme="minorEastAsia" w:hAnsiTheme="minorEastAsia" w:eastAsiaTheme="minorEastAsia"/>
          <w:bCs w:val="0"/>
          <w:iCs/>
          <w:szCs w:val="24"/>
        </w:rPr>
        <w:t xml:space="preserve">4. </w:t>
      </w:r>
      <w:r>
        <w:t>其他非功能需求</w:t>
      </w:r>
      <w:r>
        <w:tab/>
      </w:r>
      <w:r>
        <w:fldChar w:fldCharType="begin"/>
      </w:r>
      <w:r>
        <w:instrText xml:space="preserve"> PAGEREF _Toc13808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"_Toc9970"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4.1. </w:t>
      </w:r>
      <w:r>
        <w:rPr>
          <w:rFonts w:asciiTheme="minorEastAsia" w:hAnsiTheme="minorEastAsia"/>
          <w:szCs w:val="28"/>
        </w:rPr>
        <w:t>性能需求</w:t>
      </w:r>
      <w:r>
        <w:tab/>
      </w:r>
      <w:r>
        <w:fldChar w:fldCharType="begin"/>
      </w:r>
      <w:r>
        <w:instrText xml:space="preserve"> PAGEREF _Toc9970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"_Toc22411"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4.2. </w:t>
      </w:r>
      <w:r>
        <w:rPr>
          <w:rFonts w:asciiTheme="minorEastAsia" w:hAnsiTheme="minorEastAsia"/>
          <w:szCs w:val="28"/>
        </w:rPr>
        <w:t>安全性需求</w:t>
      </w:r>
      <w:r>
        <w:tab/>
      </w:r>
      <w:r>
        <w:fldChar w:fldCharType="begin"/>
      </w:r>
      <w:r>
        <w:instrText xml:space="preserve"> PAGEREF _Toc22411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"_Toc1683"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4.3. </w:t>
      </w:r>
      <w:r>
        <w:rPr>
          <w:rFonts w:asciiTheme="minorEastAsia" w:hAnsiTheme="minorEastAsia"/>
          <w:szCs w:val="28"/>
        </w:rPr>
        <w:t>高可用性需求</w:t>
      </w:r>
      <w:r>
        <w:tab/>
      </w:r>
      <w:r>
        <w:fldChar w:fldCharType="begin"/>
      </w:r>
      <w:r>
        <w:instrText xml:space="preserve"> PAGEREF _Toc1683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"_Toc5107"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4.4. </w:t>
      </w:r>
      <w:r>
        <w:rPr>
          <w:rFonts w:asciiTheme="minorEastAsia" w:hAnsiTheme="minorEastAsia"/>
          <w:szCs w:val="28"/>
        </w:rPr>
        <w:t>扩展性需求</w:t>
      </w:r>
      <w:r>
        <w:tab/>
      </w:r>
      <w:r>
        <w:fldChar w:fldCharType="begin"/>
      </w:r>
      <w:r>
        <w:instrText xml:space="preserve"> PAGEREF _Toc5107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"_Toc17818"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4.5. </w:t>
      </w:r>
      <w:r>
        <w:rPr>
          <w:rFonts w:asciiTheme="minorEastAsia" w:hAnsiTheme="minorEastAsia"/>
          <w:szCs w:val="28"/>
        </w:rPr>
        <w:t>可维护性需求</w:t>
      </w:r>
      <w:r>
        <w:tab/>
      </w:r>
      <w:r>
        <w:fldChar w:fldCharType="begin"/>
      </w:r>
      <w:r>
        <w:instrText xml:space="preserve"> PAGEREF _Toc17818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"_Toc26561"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4.6. </w:t>
      </w:r>
      <w:r>
        <w:rPr>
          <w:rFonts w:hint="eastAsia" w:asciiTheme="minorEastAsia" w:hAnsiTheme="minorEastAsia"/>
          <w:szCs w:val="28"/>
        </w:rPr>
        <w:t>易用</w:t>
      </w:r>
      <w:r>
        <w:rPr>
          <w:rFonts w:asciiTheme="minorEastAsia" w:hAnsiTheme="minorEastAsia"/>
          <w:szCs w:val="28"/>
        </w:rPr>
        <w:t>性需求</w:t>
      </w:r>
      <w:r>
        <w:tab/>
      </w:r>
      <w:r>
        <w:fldChar w:fldCharType="begin"/>
      </w:r>
      <w:r>
        <w:instrText xml:space="preserve"> PAGEREF _Toc26561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"_Toc20134" </w:instrText>
      </w:r>
      <w:r>
        <w:fldChar w:fldCharType="separate"/>
      </w:r>
      <w:r>
        <w:rPr>
          <w:rFonts w:ascii="黑体" w:hAnsi="黑体" w:eastAsia="黑体"/>
          <w:bCs/>
          <w:i/>
          <w:szCs w:val="28"/>
        </w:rPr>
        <w:t xml:space="preserve">4.7. </w:t>
      </w:r>
      <w:r>
        <w:rPr>
          <w:rFonts w:hint="eastAsia" w:asciiTheme="minorEastAsia" w:hAnsiTheme="minorEastAsia"/>
          <w:szCs w:val="28"/>
        </w:rPr>
        <w:t>兼容</w:t>
      </w:r>
      <w:r>
        <w:rPr>
          <w:rFonts w:asciiTheme="minorEastAsia" w:hAnsiTheme="minorEastAsia"/>
          <w:szCs w:val="28"/>
        </w:rPr>
        <w:t>性需求</w:t>
      </w:r>
      <w:r>
        <w:tab/>
      </w:r>
      <w:r>
        <w:fldChar w:fldCharType="begin"/>
      </w:r>
      <w:r>
        <w:instrText xml:space="preserve"> PAGEREF _Toc20134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9746"/>
          <w:tab w:val="clear" w:pos="480"/>
          <w:tab w:val="clear" w:pos="9964"/>
        </w:tabs>
      </w:pPr>
      <w:r>
        <w:fldChar w:fldCharType="begin"/>
      </w:r>
      <w:r>
        <w:instrText xml:space="preserve"> HYPERLINK \l "_Toc6619" </w:instrText>
      </w:r>
      <w:r>
        <w:fldChar w:fldCharType="separate"/>
      </w:r>
      <w:r>
        <w:rPr>
          <w:rFonts w:asciiTheme="minorEastAsia" w:hAnsiTheme="minorEastAsia" w:eastAsiaTheme="minorEastAsia"/>
          <w:bCs w:val="0"/>
          <w:iCs/>
          <w:szCs w:val="24"/>
        </w:rPr>
        <w:t xml:space="preserve">5. </w:t>
      </w:r>
      <w:r>
        <w:t>附录</w:t>
      </w:r>
      <w:r>
        <w:tab/>
      </w:r>
      <w:r>
        <w:fldChar w:fldCharType="begin"/>
      </w:r>
      <w:r>
        <w:instrText xml:space="preserve"> PAGEREF _Toc6619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>
          <w:footerReference r:id="rId4" w:type="first"/>
          <w:footerReference r:id="rId3" w:type="default"/>
          <w:pgSz w:w="11906" w:h="16838"/>
          <w:pgMar w:top="1440" w:right="1080" w:bottom="1440" w:left="1080" w:header="454" w:footer="567" w:gutter="0"/>
          <w:pgNumType w:start="1"/>
          <w:cols w:space="425" w:num="1"/>
          <w:docGrid w:type="lines" w:linePitch="312" w:charSpace="0"/>
        </w:sectPr>
      </w:pPr>
      <w:r>
        <w:fldChar w:fldCharType="end"/>
      </w: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pStyle w:val="2"/>
        <w:spacing w:line="720" w:lineRule="auto"/>
      </w:pPr>
      <w:bookmarkStart w:id="0" w:name="_Toc23394"/>
      <w:r>
        <w:t>需求简介</w:t>
      </w:r>
      <w:bookmarkEnd w:id="0"/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" w:name="_Toc2966"/>
      <w:r>
        <w:rPr>
          <w:rFonts w:asciiTheme="minorEastAsia" w:hAnsiTheme="minorEastAsia" w:eastAsiaTheme="minorEastAsia"/>
          <w:sz w:val="28"/>
          <w:szCs w:val="28"/>
        </w:rPr>
        <w:t>目的</w:t>
      </w:r>
      <w:bookmarkEnd w:id="1"/>
    </w:p>
    <w:p>
      <w:pPr>
        <w:spacing w:before="120" w:after="120" w:line="360" w:lineRule="auto"/>
        <w:ind w:firstLine="480" w:firstLineChars="200"/>
        <w:rPr>
          <w:rFonts w:hint="eastAsia" w:ascii="Google Sans Text" w:hAnsi="Google Sans Text" w:cs="Google Sans Text"/>
          <w:color w:val="1B1C1D"/>
          <w:sz w:val="24"/>
          <w:szCs w:val="24"/>
        </w:rPr>
      </w:pP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本</w:t>
      </w:r>
      <w:r>
        <w:rPr>
          <w:rFonts w:asciiTheme="minorEastAsia" w:hAnsiTheme="minorEastAsia"/>
          <w:color w:val="000000"/>
          <w:sz w:val="24"/>
          <w:szCs w:val="24"/>
        </w:rPr>
        <w:t>次需求说明书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旨在详细、清晰地描述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内部股票行情数据分析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统的软件需求，参考了主流股票交易分析APP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或网站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（如涨乐财富通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、同花顺、东方财富网等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）的功能布局和用户体验。本文档将作为项目开发、测试、部署和维护的指导，面向所有项目相关人员。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2" w:name="_Toc15502"/>
      <w:r>
        <w:rPr>
          <w:rFonts w:hint="eastAsia" w:asciiTheme="minorEastAsia" w:hAnsiTheme="minorEastAsia" w:eastAsiaTheme="minorEastAsia"/>
          <w:sz w:val="28"/>
          <w:szCs w:val="28"/>
        </w:rPr>
        <w:t>范围</w:t>
      </w:r>
      <w:bookmarkEnd w:id="2"/>
    </w:p>
    <w:p>
      <w:pPr>
        <w:spacing w:before="120" w:after="120" w:line="360" w:lineRule="auto"/>
        <w:ind w:firstLine="480" w:firstLineChars="20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本系统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定位于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面向个人投资者的股票分析与辅助决策平台，主要通过Web提供服务（可考虑移动端APP作为补充）。系统核心功能包括</w:t>
      </w:r>
      <w:r>
        <w:rPr>
          <w:rFonts w:hint="eastAsia" w:ascii="Google Sans Text" w:hAnsi="Google Sans Text" w:cs="Google Sans Text"/>
          <w:color w:val="1B1C1D"/>
          <w:sz w:val="24"/>
          <w:szCs w:val="24"/>
        </w:rPr>
        <w:t>A股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市场行情展示、个股深度信息、技术分析工具、基于模型的股票价格预测以及交易辅助建议。系统不包含实际的股票交易功能，仅提供分析和建议。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 </w:t>
      </w:r>
      <w:bookmarkStart w:id="3" w:name="_Toc26909"/>
      <w:r>
        <w:rPr>
          <w:rFonts w:asciiTheme="minorEastAsia" w:hAnsiTheme="minorEastAsia" w:eastAsiaTheme="minorEastAsia"/>
          <w:sz w:val="28"/>
          <w:szCs w:val="28"/>
        </w:rPr>
        <w:t>名词解释</w:t>
      </w:r>
      <w:bookmarkEnd w:id="3"/>
    </w:p>
    <w:tbl>
      <w:tblPr>
        <w:tblStyle w:val="27"/>
        <w:tblW w:w="9771" w:type="dxa"/>
        <w:tblInd w:w="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</w:tblPr>
      <w:tblGrid>
        <w:gridCol w:w="765"/>
        <w:gridCol w:w="1919"/>
        <w:gridCol w:w="7087"/>
      </w:tblGrid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术语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说明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SRS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r>
              <w:t>Software Requirements Specification（软件需求规格说明书）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UI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left"/>
            </w:pPr>
            <w:r>
              <w:t>User Interface（用户界面）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UX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left"/>
            </w:pPr>
            <w:r>
              <w:t>User Experience（用户体验）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API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r>
              <w:t>Application Programming Interface（应用程序接口）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35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行情数据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r>
              <w:t>股票、基金、指数等的实时或延时交易数据。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35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A股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275" w:lineRule="auto"/>
              <w:jc w:val="left"/>
            </w:pPr>
            <w:r>
              <w:t>中国大陆注册的公司的股票，在中国大陆的证券交易所上市交易，以人民币计价。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35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个股信息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r>
              <w:t>特定股票的基本面、财务、公司、新闻等信息。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技术指标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left"/>
            </w:pPr>
            <w:r>
              <w:t>基于历史价格和交易量计算得出的分析工具（如MA, RSI, MACD等）。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K线 (Candlestick Chart)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left"/>
            </w:pPr>
            <w:r>
              <w:t>一种股票价格图表，显示一定周期内的开盘价、收盘价、最高价和最低价。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交易建议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left"/>
            </w:pPr>
            <w:r>
              <w:t>基于系统分析模型给出的买入、卖出或持有的参考建议。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涨乐财富通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</w:pPr>
            <w:r>
              <w:t>一款知名的股票交易分析APP，本文档参考其功能布局和用户体验。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/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jc w:val="center"/>
            </w:pP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jc w:val="left"/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/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/>
        </w:tc>
      </w:tr>
    </w:tbl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4" w:name="_Toc22654"/>
      <w:r>
        <w:rPr>
          <w:rFonts w:asciiTheme="minorEastAsia" w:hAnsiTheme="minorEastAsia" w:eastAsiaTheme="minorEastAsia"/>
          <w:sz w:val="28"/>
          <w:szCs w:val="28"/>
        </w:rPr>
        <w:t>运行环境</w:t>
      </w:r>
      <w:bookmarkEnd w:id="4"/>
    </w:p>
    <w:p>
      <w:pPr>
        <w:pStyle w:val="4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i/>
          <w:iCs/>
          <w:sz w:val="22"/>
        </w:rPr>
      </w:pPr>
      <w:bookmarkStart w:id="5" w:name="_Toc20704"/>
      <w:r>
        <w:rPr>
          <w:rFonts w:asciiTheme="minorEastAsia" w:hAnsiTheme="minorEastAsia"/>
          <w:sz w:val="24"/>
          <w:szCs w:val="24"/>
        </w:rPr>
        <w:t>硬件环境</w:t>
      </w:r>
      <w:bookmarkEnd w:id="5"/>
    </w:p>
    <w:p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hint="eastAsia" w:asciiTheme="minorEastAsia" w:hAnsiTheme="minorEastAsia"/>
          <w:color w:val="000000"/>
          <w:sz w:val="22"/>
        </w:rPr>
        <w:t>待补充。</w:t>
      </w:r>
    </w:p>
    <w:p>
      <w:pPr>
        <w:pStyle w:val="4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6" w:name="_Toc25365"/>
      <w:r>
        <w:rPr>
          <w:rFonts w:asciiTheme="minorEastAsia" w:hAnsiTheme="minorEastAsia"/>
          <w:sz w:val="24"/>
          <w:szCs w:val="24"/>
        </w:rPr>
        <w:t>软件环境</w:t>
      </w:r>
      <w:bookmarkEnd w:id="6"/>
    </w:p>
    <w:p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hint="eastAsia" w:asciiTheme="minorEastAsia" w:hAnsiTheme="minorEastAsia"/>
          <w:color w:val="000000"/>
          <w:sz w:val="22"/>
        </w:rPr>
        <w:t>待补充。</w:t>
      </w:r>
    </w:p>
    <w:p>
      <w:pPr>
        <w:pStyle w:val="2"/>
        <w:spacing w:line="720" w:lineRule="auto"/>
      </w:pPr>
      <w:bookmarkStart w:id="7" w:name="_Toc3478"/>
      <w:r>
        <w:t>功能需求分析</w:t>
      </w:r>
      <w:bookmarkEnd w:id="7"/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8" w:name="_Toc12583"/>
      <w:r>
        <w:rPr>
          <w:rFonts w:asciiTheme="minorEastAsia" w:hAnsiTheme="minorEastAsia" w:eastAsiaTheme="minorEastAsia"/>
          <w:sz w:val="28"/>
          <w:szCs w:val="28"/>
        </w:rPr>
        <w:t>总体</w:t>
      </w:r>
      <w:r>
        <w:rPr>
          <w:rFonts w:hint="eastAsia" w:asciiTheme="minorEastAsia" w:hAnsiTheme="minorEastAsia" w:eastAsiaTheme="minorEastAsia"/>
          <w:sz w:val="28"/>
          <w:szCs w:val="28"/>
        </w:rPr>
        <w:t>功能</w:t>
      </w:r>
      <w:r>
        <w:rPr>
          <w:rFonts w:asciiTheme="minorEastAsia" w:hAnsiTheme="minorEastAsia" w:eastAsiaTheme="minorEastAsia"/>
          <w:sz w:val="28"/>
          <w:szCs w:val="28"/>
        </w:rPr>
        <w:t>架构</w:t>
      </w:r>
      <w:bookmarkEnd w:id="8"/>
    </w:p>
    <w:p>
      <w:pPr>
        <w:ind w:left="420"/>
      </w:pPr>
      <w:r>
        <w:rPr>
          <w:rFonts w:hint="eastAsia"/>
        </w:rPr>
        <w:drawing>
          <wp:inline distT="0" distB="0" distL="0" distR="0">
            <wp:extent cx="6188710" cy="3500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line="300" w:lineRule="auto"/>
        <w:ind w:firstLine="420" w:firstLineChars="200"/>
      </w:pPr>
      <w:r>
        <w:t>系统中主要包含了：前端、后端管理</w:t>
      </w:r>
      <w:r>
        <w:rPr>
          <w:rFonts w:hint="eastAsia"/>
        </w:rPr>
        <w:t>、</w:t>
      </w:r>
      <w:r>
        <w:t>后端 API</w:t>
      </w:r>
      <w:r>
        <w:rPr>
          <w:rFonts w:hint="eastAsia"/>
        </w:rPr>
        <w:t>、</w:t>
      </w:r>
      <w:r>
        <w:t>后端数据采集与存储</w:t>
      </w:r>
      <w:r>
        <w:rPr>
          <w:rFonts w:hint="eastAsia"/>
        </w:rPr>
        <w:t>等子系统</w:t>
      </w:r>
      <w:r>
        <w:t>。</w:t>
      </w:r>
    </w:p>
    <w:p>
      <w:pPr>
        <w:spacing w:before="240" w:line="360" w:lineRule="auto"/>
        <w:ind w:firstLine="422" w:firstLineChars="200"/>
      </w:pPr>
      <w:r>
        <w:rPr>
          <w:b/>
        </w:rPr>
        <w:t>前端(FE)</w:t>
      </w:r>
      <w:r>
        <w:t>：为普通用户提供股票行情、个股分析、资讯、智能预测</w:t>
      </w:r>
      <w:r>
        <w:rPr>
          <w:rFonts w:hint="eastAsia"/>
        </w:rPr>
        <w:t>、个人中心</w:t>
      </w:r>
      <w:r>
        <w:t>等功能的可视化界面。</w:t>
      </w:r>
    </w:p>
    <w:p>
      <w:pPr>
        <w:spacing w:before="240" w:line="360" w:lineRule="auto"/>
        <w:ind w:firstLine="422" w:firstLineChars="200"/>
      </w:pPr>
      <w:r>
        <w:rPr>
          <w:b/>
        </w:rPr>
        <w:t>后端管理(ADMIN)</w:t>
      </w:r>
      <w:r>
        <w:t>：为管理员提供用户管理、数据源配置、采集任务管理、日志监控、数据</w:t>
      </w:r>
      <w:r>
        <w:rPr>
          <w:rFonts w:hint="eastAsia"/>
        </w:rPr>
        <w:t>采集</w:t>
      </w:r>
      <w:r>
        <w:t>监控</w:t>
      </w:r>
      <w:r>
        <w:rPr>
          <w:rFonts w:hint="eastAsia"/>
        </w:rPr>
        <w:t>、</w:t>
      </w:r>
      <w:r>
        <w:t>数据导入/导出等功能。</w:t>
      </w:r>
    </w:p>
    <w:p>
      <w:pPr>
        <w:spacing w:before="240" w:line="360" w:lineRule="auto"/>
        <w:ind w:firstLine="422" w:firstLineChars="200"/>
      </w:pPr>
      <w:r>
        <w:rPr>
          <w:b/>
        </w:rPr>
        <w:t>后端API</w:t>
      </w:r>
      <w:r>
        <w:t>：</w:t>
      </w:r>
      <w:r>
        <w:rPr>
          <w:rFonts w:hint="eastAsia"/>
        </w:rPr>
        <w:t>实现</w:t>
      </w:r>
      <w:r>
        <w:t>用户服务API、数据服务API、数据分析API</w:t>
      </w:r>
      <w:r>
        <w:rPr>
          <w:rFonts w:hint="eastAsia"/>
        </w:rPr>
        <w:t>等功能</w:t>
      </w:r>
      <w:r>
        <w:t>。</w:t>
      </w:r>
    </w:p>
    <w:p>
      <w:pPr>
        <w:spacing w:before="240" w:line="360" w:lineRule="auto"/>
        <w:ind w:firstLine="422" w:firstLineChars="200"/>
      </w:pPr>
      <w:r>
        <w:rPr>
          <w:b/>
        </w:rPr>
        <w:t>后端数据采集与</w:t>
      </w:r>
      <w:r>
        <w:rPr>
          <w:rFonts w:hint="eastAsia"/>
          <w:b/>
        </w:rPr>
        <w:t>分析计算</w:t>
      </w:r>
      <w:r>
        <w:t>：</w:t>
      </w:r>
      <w:r>
        <w:rPr>
          <w:rFonts w:hint="eastAsia"/>
        </w:rPr>
        <w:t>实现</w:t>
      </w:r>
      <w:r>
        <w:t>数据</w:t>
      </w:r>
      <w:r>
        <w:rPr>
          <w:rFonts w:hint="eastAsia"/>
        </w:rPr>
        <w:t>采集、分析计算等核心逻辑</w:t>
      </w:r>
      <w:r>
        <w:t>。</w:t>
      </w:r>
    </w:p>
    <w:p>
      <w:pPr>
        <w:spacing w:before="240" w:line="360" w:lineRule="auto"/>
        <w:ind w:firstLine="422" w:firstLineChars="200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其中上图中蓝色部分，为一期需重点关注并实现的功能。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9" w:name="_Toc18923"/>
      <w:r>
        <w:rPr>
          <w:rFonts w:hint="eastAsia" w:asciiTheme="minorEastAsia" w:hAnsiTheme="minorEastAsia" w:eastAsiaTheme="minorEastAsia"/>
          <w:sz w:val="28"/>
          <w:szCs w:val="28"/>
        </w:rPr>
        <w:t>基本业务需求</w:t>
      </w:r>
      <w:bookmarkEnd w:id="9"/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数据采集与入库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支持定时/手动采集A股、</w:t>
      </w:r>
      <w:r>
        <w:rPr>
          <w:color w:val="FF0000"/>
        </w:rPr>
        <w:t>ETF</w:t>
      </w:r>
      <w:r>
        <w:t>、行业、</w:t>
      </w:r>
      <w:r>
        <w:rPr>
          <w:color w:val="FF0000"/>
        </w:rPr>
        <w:t>概念</w:t>
      </w:r>
      <w:r>
        <w:t>等行情、资金流、财务、</w:t>
      </w:r>
      <w:r>
        <w:rPr>
          <w:color w:val="FF0000"/>
        </w:rPr>
        <w:t>分红、龙虎榜</w:t>
      </w:r>
      <w:r>
        <w:t>等数据。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多数据源（akshare、tushare），采集前后均有数据完整性校验与异常重试。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采集数据经清洗、标准化后批量入库，表结构与API字段一致，主键唯一，重要字段加索引。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采集日志、异常、进度均有详细记录，便于追溯和监控</w:t>
      </w:r>
      <w:r>
        <w:rPr>
          <w:rFonts w:asciiTheme="minorEastAsia" w:hAnsiTheme="minorEastAsia"/>
          <w:color w:val="000000"/>
          <w:sz w:val="24"/>
          <w:szCs w:val="24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</w:t>
      </w:r>
      <w:r>
        <w:rPr>
          <w:rFonts w:hint="eastAsia" w:ascii="Google Sans Text" w:hAnsi="Google Sans Text" w:eastAsia="Google Sans Text" w:cs="Google Sans Text"/>
          <w:color w:val="1B1C1D"/>
          <w:sz w:val="24"/>
          <w:szCs w:val="24"/>
        </w:rPr>
        <w:t>服务与API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FastAPI 提供 RESTful API，分为前台（/api/stock/xxx）和管理后台（/api/admin/xxx）两大类。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主要API包括：实时/历史行情、资金流向、财务指标、</w:t>
      </w:r>
      <w:r>
        <w:rPr>
          <w:color w:val="FF0000"/>
        </w:rPr>
        <w:t>分红、龙虎榜、选股、策略回测</w:t>
      </w:r>
      <w:r>
        <w:t>、用户管理等。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支持分页、筛选、导出、权限校验（JWT+角色），所有接口有统一的异常处理和日志。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管理端API支持行情数据的增删查改、用户管理、系统配置、采集任务调度等。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rPr>
          <w:rFonts w:hint="eastAsia" w:ascii="Google Sans Text" w:hAnsi="Google Sans Text" w:eastAsia="Google Sans Text" w:cs="Google Sans Text"/>
          <w:color w:val="1B1C1D"/>
          <w:sz w:val="24"/>
          <w:szCs w:val="24"/>
        </w:rPr>
        <w:t>前端业务流程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多页面应用（MPA），各页面通过fetch API与后端交互，数据渲染采用ECharts等可视化库。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主要页面：行情、分析、</w:t>
      </w:r>
      <w:r>
        <w:rPr>
          <w:color w:val="FF0000"/>
        </w:rPr>
        <w:t>选股</w:t>
      </w:r>
      <w:r>
        <w:t>、资金流、财务、</w:t>
      </w:r>
      <w:r>
        <w:rPr>
          <w:color w:val="FF0000"/>
        </w:rPr>
        <w:t>龙虎榜</w:t>
      </w:r>
      <w:r>
        <w:t>、用户中心、管理后台等。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支持实时刷新、分页、条件筛选、批量导出、个性化展示（如自选股、</w:t>
      </w:r>
      <w:r>
        <w:rPr>
          <w:color w:val="FF0000"/>
        </w:rPr>
        <w:t>关注、分组</w:t>
      </w:r>
      <w:r>
        <w:t>）。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管理端支持用户、数据、系统、日志等管理，权限严格控制。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rPr>
          <w:rFonts w:hint="eastAsia" w:ascii="Google Sans Text" w:hAnsi="Google Sans Text" w:eastAsia="Google Sans Text" w:cs="Google Sans Text"/>
          <w:color w:val="1B1C1D"/>
          <w:sz w:val="24"/>
          <w:szCs w:val="24"/>
        </w:rPr>
        <w:t>管理后台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支持定时/手动采集A股、</w:t>
      </w:r>
      <w:r>
        <w:rPr>
          <w:color w:val="FF0000"/>
        </w:rPr>
        <w:t>ETF</w:t>
      </w:r>
      <w:r>
        <w:t>、行业、概念等行情、资金流、财务、</w:t>
      </w:r>
      <w:r>
        <w:rPr>
          <w:color w:val="FF0000"/>
        </w:rPr>
        <w:t>分红、龙虎榜</w:t>
      </w:r>
      <w:r>
        <w:t>等数据。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多数据源（akshare、tushare），采集前后均有数据完整性校验与异常重试。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以多页面HTML+JS为主，功能包括用户管理、行情数据管理、系统配置、采集任务、日志监控等。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支持数据导出、批量操作、权限分级、操作日志、系统监控等。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基本业务规则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采集任务支持全量/增量，失败自动重试，采集后校验数据完整性。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API接口RESTful风格，返回结构统一，参数校验严格，异常有详细提示。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权限分级，敏感操作需二次验证，操作日志全记录。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前端数据渲染需校验完整性，图表美观易读，批量操作需二次确认。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数据库表结构与API字段一致，支持批量写入、事务、并发控制。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日志分模块记录，异常自动报警，管理后台有系统监控与日志分析。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" w:name="_Toc28461"/>
      <w:r>
        <w:rPr>
          <w:rFonts w:hint="eastAsia" w:asciiTheme="minorEastAsia" w:hAnsiTheme="minorEastAsia" w:eastAsiaTheme="minorEastAsia"/>
          <w:sz w:val="28"/>
          <w:szCs w:val="28"/>
        </w:rPr>
        <w:t>前端(</w:t>
      </w:r>
      <w:r>
        <w:rPr>
          <w:rFonts w:asciiTheme="minorEastAsia" w:hAnsiTheme="minorEastAsia" w:eastAsiaTheme="minorEastAsia"/>
          <w:sz w:val="28"/>
          <w:szCs w:val="28"/>
        </w:rPr>
        <w:t>FE)</w:t>
      </w:r>
      <w:bookmarkEnd w:id="10"/>
    </w:p>
    <w:p>
      <w:pPr>
        <w:widowControl/>
        <w:spacing w:before="30" w:after="30" w:line="360" w:lineRule="auto"/>
        <w:ind w:left="300" w:firstLine="417"/>
      </w:pPr>
      <w:r>
        <w:t>前端是系统面向用户的展示和用户交互，主要通过调用后端API获取和提交数据。主要包含以下几个主要模块：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11" w:name="_Toc27414"/>
      <w:bookmarkStart w:id="12" w:name="_Toc745"/>
      <w:r>
        <w:rPr>
          <w:rFonts w:hint="eastAsia" w:asciiTheme="minorEastAsia" w:hAnsiTheme="minorEastAsia"/>
          <w:sz w:val="24"/>
          <w:szCs w:val="24"/>
        </w:rPr>
        <w:t>行情</w:t>
      </w:r>
      <w:bookmarkEnd w:id="11"/>
      <w:r>
        <w:rPr>
          <w:rFonts w:hint="eastAsia" w:asciiTheme="minorEastAsia" w:hAnsiTheme="minorEastAsia"/>
          <w:sz w:val="24"/>
          <w:szCs w:val="24"/>
        </w:rPr>
        <w:t>模块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首页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行情</w:t>
      </w:r>
    </w:p>
    <w:p>
      <w:pPr>
        <w:ind w:firstLine="420"/>
      </w:pPr>
      <w:r>
        <w:t>该模块提供各类市场的概览和详细行情列表。</w:t>
      </w:r>
    </w:p>
    <w:p>
      <w:pPr>
        <w:pStyle w:val="6"/>
        <w:rPr>
          <w:rFonts w:asciiTheme="minorEastAsia" w:hAnsiTheme="minorEastAsia"/>
          <w:sz w:val="21"/>
          <w:szCs w:val="21"/>
        </w:rPr>
      </w:pPr>
      <w:bookmarkStart w:id="13" w:name="_Toc1690"/>
      <w:r>
        <w:rPr>
          <w:rFonts w:hint="eastAsia" w:asciiTheme="minorEastAsia" w:hAnsiTheme="minorEastAsia"/>
          <w:sz w:val="21"/>
          <w:szCs w:val="21"/>
        </w:rPr>
        <w:t>功能需求</w:t>
      </w:r>
      <w:bookmarkEnd w:id="13"/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展示主要股票指数（沪深300、上证指数、深证成指等）的实时/延时行情、涨跌幅及热点股票</w:t>
      </w:r>
      <w:r>
        <w:rPr>
          <w:rFonts w:hint="eastAsia"/>
        </w:rPr>
        <w:t>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热点板块、全球指数、期货/贵金属等扩展行情</w:t>
      </w:r>
      <w:r>
        <w:rPr>
          <w:rFonts w:hint="eastAsia"/>
        </w:rPr>
        <w:t>（可选）</w:t>
      </w:r>
      <w:r>
        <w:t>。</w:t>
      </w:r>
    </w:p>
    <w:p>
      <w:pPr>
        <w:pStyle w:val="6"/>
        <w:rPr>
          <w:rFonts w:asciiTheme="minorEastAsia" w:hAnsiTheme="minorEastAsia"/>
          <w:sz w:val="21"/>
          <w:szCs w:val="21"/>
        </w:rPr>
      </w:pPr>
      <w:bookmarkStart w:id="14" w:name="_Toc8841"/>
      <w:r>
        <w:rPr>
          <w:rFonts w:hint="eastAsia" w:asciiTheme="minorEastAsia" w:hAnsiTheme="minorEastAsia"/>
          <w:sz w:val="21"/>
          <w:szCs w:val="21"/>
        </w:rPr>
        <w:t>业务流程</w:t>
      </w:r>
      <w:bookmarkEnd w:id="14"/>
    </w:p>
    <w:p>
      <w:pPr>
        <w:spacing w:line="360" w:lineRule="auto"/>
        <w:ind w:firstLine="420"/>
      </w:pPr>
      <w:r>
        <w:t>前端页面加载时自动请求后端API获取主要指数和热点股票数据，定时刷新。用户可点击查看详情，支持自选添加。</w:t>
      </w:r>
    </w:p>
    <w:p>
      <w:pPr>
        <w:pStyle w:val="6"/>
        <w:rPr>
          <w:rFonts w:asciiTheme="minorEastAsia" w:hAnsiTheme="minorEastAsia"/>
          <w:sz w:val="21"/>
          <w:szCs w:val="21"/>
        </w:rPr>
      </w:pPr>
      <w:bookmarkStart w:id="15" w:name="_Toc28330"/>
      <w:r>
        <w:rPr>
          <w:rFonts w:hint="eastAsia" w:asciiTheme="minorEastAsia" w:hAnsiTheme="minorEastAsia"/>
          <w:sz w:val="21"/>
          <w:szCs w:val="21"/>
        </w:rPr>
        <w:t>页面原型</w:t>
      </w:r>
      <w:bookmarkEnd w:id="15"/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drawing>
          <wp:inline distT="0" distB="0" distL="114300" distR="114300">
            <wp:extent cx="4189730" cy="3044190"/>
            <wp:effectExtent l="0" t="0" r="1270" b="3810"/>
            <wp:docPr id="1" name="图片 1" descr="screencapture-localhost-8000-index-html-2025-05-25-09_51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capture-localhost-8000-index-html-2025-05-25-09_51_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Theme="minorEastAsia" w:hAnsiTheme="minorEastAsia"/>
          <w:sz w:val="21"/>
          <w:szCs w:val="21"/>
        </w:rPr>
      </w:pPr>
      <w:bookmarkStart w:id="16" w:name="_Toc11179"/>
      <w:r>
        <w:rPr>
          <w:rFonts w:hint="eastAsia" w:asciiTheme="minorEastAsia" w:hAnsiTheme="minorEastAsia"/>
          <w:sz w:val="21"/>
          <w:szCs w:val="21"/>
        </w:rPr>
        <w:t>数据元素</w:t>
      </w:r>
      <w:bookmarkEnd w:id="16"/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rPr>
          <w:rFonts w:asciiTheme="minorEastAsia" w:hAnsiTheme="minorEastAsia"/>
          <w:sz w:val="21"/>
          <w:szCs w:val="21"/>
        </w:rPr>
      </w:pPr>
      <w:bookmarkStart w:id="17" w:name="_Toc19690"/>
      <w:r>
        <w:rPr>
          <w:rFonts w:hint="eastAsia" w:asciiTheme="minorEastAsia" w:hAnsiTheme="minorEastAsia"/>
          <w:sz w:val="21"/>
          <w:szCs w:val="21"/>
        </w:rPr>
        <w:t>业务规则</w:t>
      </w:r>
      <w:bookmarkEnd w:id="17"/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数据需实时或准实时，</w:t>
      </w:r>
      <w:r>
        <w:rPr>
          <w:rFonts w:hint="eastAsia"/>
        </w:rPr>
        <w:t>各类数据刷新频率暂定5分钟一次。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异常时显示提示。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支持手动刷新</w:t>
      </w:r>
      <w:r>
        <w:rPr>
          <w:rFonts w:hint="eastAsia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展示行业板块、概念板块的涨跌幅排名列表，点击可查看板块内个股。</w:t>
      </w:r>
    </w:p>
    <w:p>
      <w:pPr>
        <w:widowControl/>
        <w:numPr>
          <w:ilvl w:val="0"/>
          <w:numId w:val="4"/>
        </w:numPr>
        <w:spacing w:before="30" w:after="30" w:line="360" w:lineRule="auto"/>
        <w:ind w:left="660"/>
      </w:pPr>
      <w:r>
        <w:t>沪深股票列表、涨跌幅排行、股票详情页。</w:t>
      </w:r>
    </w:p>
    <w:p>
      <w:pPr>
        <w:ind w:firstLine="420"/>
      </w:pP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drawing>
          <wp:inline distT="0" distB="0" distL="114300" distR="114300">
            <wp:extent cx="4530725" cy="3087370"/>
            <wp:effectExtent l="0" t="0" r="3175" b="17780"/>
            <wp:docPr id="2" name="图片 2" descr="screencapture-localhost-8000-markets-html-2025-05-25-09_57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capture-localhost-8000-markets-html-2025-05-25-09_57_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18" w:name="_Toc10957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涨跌幅榜</w:t>
      </w:r>
      <w:bookmarkEnd w:id="18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</w:pPr>
      <w:r>
        <w:t>展示</w:t>
      </w:r>
      <w:r>
        <w:rPr>
          <w:rFonts w:hint="eastAsia"/>
        </w:rPr>
        <w:t>沪深京</w:t>
      </w:r>
      <w:r>
        <w:t>A股市场的涨跌幅榜、换手率榜、成交量榜等排名列表，支持可查看股票详情页面。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firstLine="420"/>
      </w:pPr>
      <w:r>
        <w:t>用户可切换不同市场、排序方式，前端请求API分页获取数据，支持条件筛选和导出</w:t>
      </w:r>
      <w:r>
        <w:rPr>
          <w:rFonts w:hint="eastAsia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ind w:firstLine="420"/>
        <w:rPr>
          <w:color w:val="FF0000"/>
        </w:rPr>
      </w:pPr>
      <w:r>
        <w:rPr>
          <w:color w:val="FF0000"/>
        </w:rPr>
        <w:t>分页、排序、筛选参数需校验，导出需权限校验</w:t>
      </w:r>
      <w:r>
        <w:rPr>
          <w:rFonts w:hint="eastAsia"/>
          <w:color w:val="FF0000"/>
        </w:rPr>
        <w:t>（部分实现）</w:t>
      </w:r>
      <w:r>
        <w:rPr>
          <w:color w:val="FF0000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19" w:name="_Toc3204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全球指数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（可选）</w:t>
      </w:r>
      <w:bookmarkEnd w:id="19"/>
    </w:p>
    <w:p>
      <w:pPr>
        <w:ind w:firstLine="420"/>
        <w:rPr>
          <w:rFonts w:ascii="宋体" w:hAnsi="宋体"/>
        </w:rPr>
      </w:pPr>
      <w:r>
        <w:t>展示主要国际指数（如道琼斯、纳斯达克、恒生指数等）行情（可选）。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0" w:name="_Toc2892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期货/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贵金属期权</w:t>
      </w:r>
      <w:r>
        <w:rPr>
          <w:rFonts w:hint="eastAsia" w:ascii="Google Sans Text" w:hAnsi="Google Sans Text" w:cs="Google Sans Text" w:eastAsiaTheme="minorEastAsia"/>
          <w:color w:val="1B1C1D"/>
          <w:sz w:val="24"/>
          <w:szCs w:val="24"/>
        </w:rPr>
        <w:t>(可选</w:t>
      </w:r>
      <w:r>
        <w:rPr>
          <w:rFonts w:ascii="Google Sans Text" w:hAnsi="Google Sans Text" w:cs="Google Sans Text" w:eastAsiaTheme="minorEastAsia"/>
          <w:color w:val="1B1C1D"/>
          <w:sz w:val="24"/>
          <w:szCs w:val="24"/>
        </w:rPr>
        <w:t>)</w:t>
      </w:r>
      <w:bookmarkEnd w:id="20"/>
    </w:p>
    <w:p>
      <w:pPr>
        <w:ind w:firstLine="420"/>
        <w:rPr>
          <w:rFonts w:ascii="宋体" w:hAnsi="宋体"/>
        </w:rPr>
      </w:pPr>
      <w:r>
        <w:t>展示主要期货合约</w:t>
      </w:r>
      <w:r>
        <w:rPr>
          <w:rFonts w:hint="eastAsia"/>
        </w:rPr>
        <w:t>和贵金属等商品</w:t>
      </w:r>
      <w:r>
        <w:t>列表（可选）</w:t>
      </w:r>
      <w:r>
        <w:rPr>
          <w:rFonts w:hint="eastAsia" w:ascii="宋体" w:hAnsi="宋体"/>
        </w:rPr>
        <w:t>。</w:t>
      </w:r>
    </w:p>
    <w:bookmarkEnd w:id="12"/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1" w:name="_Toc13925"/>
      <w:r>
        <w:rPr>
          <w:rFonts w:hint="eastAsia" w:asciiTheme="minorEastAsia" w:hAnsiTheme="minorEastAsia"/>
          <w:sz w:val="24"/>
          <w:szCs w:val="24"/>
        </w:rPr>
        <w:t>自选股模块</w:t>
      </w:r>
      <w:bookmarkEnd w:id="21"/>
    </w:p>
    <w:p>
      <w:pPr>
        <w:ind w:firstLine="420"/>
        <w:rPr>
          <w:rFonts w:hint="eastAsia"/>
        </w:rPr>
      </w:pPr>
      <w:r>
        <w:t>本模块管理用户关注的股票列表和展示功能</w:t>
      </w:r>
      <w:r>
        <w:rPr>
          <w:rFonts w:hint="eastAsia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2" w:name="_Toc778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自选列表展示</w:t>
      </w:r>
      <w:bookmarkEnd w:id="22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t>展示主要股票指数（沪深300、上证指数、深证成指等）的实时/延时行情、涨跌幅。</w:t>
      </w:r>
      <w:r>
        <w:rPr>
          <w:rFonts w:hint="eastAsia" w:ascii="宋体" w:hAnsi="宋体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spacing w:line="360" w:lineRule="auto"/>
        <w:ind w:firstLine="420"/>
      </w:pPr>
      <w:r>
        <w:t>用户登录后自动加载自选股列表，</w:t>
      </w:r>
      <w:r>
        <w:rPr>
          <w:color w:val="FF0000"/>
        </w:rPr>
        <w:t>支持分组、排序、批量操作</w:t>
      </w:r>
      <w:r>
        <w:rPr>
          <w:rFonts w:hint="eastAsia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</w:p>
    <w:p>
      <w:pPr>
        <w:ind w:firstLine="420"/>
        <w:rPr>
          <w:rFonts w:hint="eastAsia" w:ascii="Arial" w:hAnsi="Arial" w:cs="Arial"/>
          <w:iCs/>
          <w:szCs w:val="21"/>
        </w:rPr>
      </w:pPr>
      <w:r>
        <w:drawing>
          <wp:inline distT="0" distB="0" distL="0" distR="0">
            <wp:extent cx="5184140" cy="39566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926" cy="39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ind w:firstLine="420"/>
        <w:rPr>
          <w:rFonts w:hint="eastAsia"/>
        </w:rPr>
      </w:pPr>
      <w:r>
        <w:t>自选股数据与用户绑定，操作需鉴权。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3" w:name="_Toc11516"/>
      <w:r>
        <w:rPr>
          <w:rFonts w:hint="eastAsia" w:ascii="宋体" w:hAnsi="宋体" w:eastAsia="宋体" w:cs="宋体"/>
          <w:color w:val="1B1C1D"/>
          <w:sz w:val="24"/>
          <w:szCs w:val="24"/>
        </w:rPr>
        <w:t>自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选股添加/删除</w:t>
      </w:r>
      <w:bookmarkEnd w:id="23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  <w:rPr>
          <w:rFonts w:ascii="宋体" w:hAnsi="宋体"/>
        </w:rPr>
      </w:pPr>
      <w:r>
        <w:t>用户可以通过搜索功能或在股票页面将股票加入自选列表，自选列表可删除股票</w:t>
      </w:r>
      <w:r>
        <w:rPr>
          <w:rFonts w:hint="eastAsia" w:ascii="宋体" w:hAnsi="宋体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点击“+ 添加自选股”按钮，会弹出“添加自选股”弹窗。</w:t>
      </w:r>
    </w:p>
    <w:p>
      <w:pPr>
        <w:numPr>
          <w:ilvl w:val="0"/>
          <w:numId w:val="5"/>
        </w:numPr>
        <w:spacing w:before="240" w:line="300" w:lineRule="auto"/>
        <w:ind w:left="840"/>
      </w:pPr>
      <w:r>
        <w:t>弹窗内有股票搜索输入框、分组选择、取消和添加按钮。</w:t>
      </w:r>
    </w:p>
    <w:p>
      <w:pPr>
        <w:numPr>
          <w:ilvl w:val="0"/>
          <w:numId w:val="5"/>
        </w:numPr>
        <w:spacing w:before="240" w:line="300" w:lineRule="auto"/>
        <w:ind w:left="840"/>
      </w:pPr>
      <w:r>
        <w:t>实现股票搜索功能</w:t>
      </w:r>
      <w:r>
        <w:rPr>
          <w:rFonts w:hint="eastAsia"/>
        </w:rPr>
        <w:t>，输入</w:t>
      </w:r>
      <w:r>
        <w:t>股票代码或名称时，实时从后端获取真实股票列表</w:t>
      </w:r>
      <w:r>
        <w:rPr>
          <w:rFonts w:hint="eastAsia"/>
        </w:rPr>
        <w:t>。</w:t>
      </w:r>
    </w:p>
    <w:p>
      <w:pPr>
        <w:numPr>
          <w:ilvl w:val="0"/>
          <w:numId w:val="5"/>
        </w:numPr>
        <w:spacing w:before="240" w:line="300" w:lineRule="auto"/>
        <w:ind w:left="840"/>
      </w:pPr>
      <w:r>
        <w:t>实现点击“添加”时，调用后端API（如POST /api/watchlist）</w:t>
      </w:r>
      <w:r>
        <w:rPr>
          <w:rFonts w:hint="eastAsia"/>
        </w:rPr>
        <w:t>，</w:t>
      </w:r>
      <w:r>
        <w:t>添加自选股</w:t>
      </w:r>
      <w:r>
        <w:rPr>
          <w:rFonts w:hint="eastAsia"/>
        </w:rPr>
        <w:t>，参数包括</w:t>
      </w:r>
      <w:r>
        <w:t>当前登录用户ID、股票代码、名称、分组</w:t>
      </w:r>
      <w:r>
        <w:rPr>
          <w:rFonts w:hint="eastAsia"/>
        </w:rPr>
        <w:t>。</w:t>
      </w:r>
    </w:p>
    <w:p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前</w:t>
      </w:r>
      <w:r>
        <w:t>端添加时，先检查本地/已加载的自选股列表是否已存在该股票。</w:t>
      </w:r>
    </w:p>
    <w:p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添加</w:t>
      </w:r>
      <w:r>
        <w:t>成功后自动刷新自选股列表，失败会弹出提示</w:t>
      </w:r>
      <w:r>
        <w:rPr>
          <w:rFonts w:hint="eastAsia"/>
        </w:rPr>
        <w:t>。</w:t>
      </w:r>
    </w:p>
    <w:p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后端唯一性校验，防止并发重复。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4" w:name="_Toc8160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自选列表排序</w:t>
      </w:r>
      <w:bookmarkEnd w:id="24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  <w:rPr>
          <w:rFonts w:ascii="宋体" w:hAnsi="宋体"/>
          <w:color w:val="FF0000"/>
        </w:rPr>
      </w:pPr>
      <w:r>
        <w:rPr>
          <w:color w:val="FF0000"/>
        </w:rPr>
        <w:t>支持按涨跌幅、最新价等字段对自选列表进行排序</w:t>
      </w:r>
      <w:r>
        <w:rPr>
          <w:rFonts w:hint="eastAsia" w:ascii="宋体" w:hAnsi="宋体"/>
          <w:color w:val="FF0000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5" w:name="_Toc2149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自选股分组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（可选）</w:t>
      </w:r>
      <w:bookmarkEnd w:id="25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</w:pPr>
      <w:r>
        <w:t>支持创建多个自选股分组（可选）</w:t>
      </w:r>
      <w:r>
        <w:rPr>
          <w:rFonts w:hint="eastAsia"/>
        </w:rPr>
        <w:t>。</w:t>
      </w:r>
      <w:r>
        <w:t>支持自定义分组（新建、删除、重命名分组），并在添加自选股时选择分组</w:t>
      </w:r>
      <w:r>
        <w:rPr>
          <w:rFonts w:hint="eastAsia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新建分组：点击“新建分组”按钮，弹窗输入分组名，调用后端</w:t>
      </w:r>
      <w:r>
        <w:rPr>
          <w:rFonts w:hint="eastAsia"/>
        </w:rPr>
        <w:t>（</w:t>
      </w:r>
      <w:r>
        <w:t> /api/watchlist/groups</w:t>
      </w:r>
      <w:r>
        <w:rPr>
          <w:rFonts w:hint="eastAsia"/>
        </w:rPr>
        <w:t>）</w:t>
      </w:r>
      <w:r>
        <w:t> 新建分组，自动刷新分组下拉和标签。</w:t>
      </w:r>
    </w:p>
    <w:p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获取分组列表用于下拉选择，支持删除分组（删除时可选择是否同时删除该分组下所有自选股）。</w:t>
      </w:r>
    </w:p>
    <w:p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删除分组：支持删除分组（含该分组下所有自选股），调用后端 /api/watchlist/groups DELETE。</w:t>
      </w:r>
    </w:p>
    <w:p>
      <w:pPr>
        <w:widowControl/>
        <w:numPr>
          <w:ilvl w:val="0"/>
          <w:numId w:val="6"/>
        </w:numPr>
        <w:spacing w:before="30" w:after="30" w:line="360" w:lineRule="auto"/>
        <w:ind w:left="660"/>
        <w:rPr>
          <w:rFonts w:ascii="宋体" w:hAnsi="宋体"/>
        </w:rPr>
      </w:pPr>
      <w:r>
        <w:t>分组下拉和标签均为动态渲染，和后端数据同步。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6" w:name="_Toc5953"/>
      <w:r>
        <w:rPr>
          <w:rFonts w:hint="eastAsia" w:asciiTheme="minorEastAsia" w:hAnsiTheme="minorEastAsia"/>
          <w:sz w:val="24"/>
          <w:szCs w:val="24"/>
        </w:rPr>
        <w:t>个股模块</w:t>
      </w:r>
      <w:bookmarkEnd w:id="26"/>
    </w:p>
    <w:p>
      <w:pPr>
        <w:spacing w:line="360" w:lineRule="auto"/>
        <w:ind w:firstLine="420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rPr>
          <w:rFonts w:hint="eastAsia"/>
        </w:rPr>
        <w:t>本</w:t>
      </w:r>
      <w:r>
        <w:t>模块展示单个股票的详细信息和分析</w:t>
      </w:r>
      <w:r>
        <w:rPr>
          <w:rFonts w:hint="eastAsia"/>
        </w:rPr>
        <w:t>数据</w:t>
      </w:r>
      <w:r>
        <w:t>。通常通过搜索或列表点击项进入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。</w:t>
      </w:r>
    </w:p>
    <w:p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展示个股实时/延时行情、分时图、K线图（多周期）、技术指标（MA、MACD等）。</w:t>
      </w:r>
    </w:p>
    <w:p>
      <w:pPr>
        <w:widowControl/>
        <w:numPr>
          <w:ilvl w:val="0"/>
          <w:numId w:val="7"/>
        </w:numPr>
        <w:spacing w:before="30" w:after="30" w:line="360" w:lineRule="auto"/>
        <w:ind w:left="660"/>
      </w:pPr>
      <w:r>
        <w:t>展示基本面数据、公告、研报、资金流向、同类股票推荐。</w:t>
      </w:r>
    </w:p>
    <w:p>
      <w:pPr>
        <w:widowControl/>
        <w:numPr>
          <w:ilvl w:val="0"/>
          <w:numId w:val="8"/>
        </w:numPr>
        <w:spacing w:before="30" w:after="30" w:line="360" w:lineRule="auto"/>
        <w:ind w:left="660"/>
      </w:pPr>
      <w:r>
        <w:t>智能分析推荐：预测价格、评级、交易建议。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7" w:name="_Toc2377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实时/延时行情</w:t>
      </w:r>
      <w:bookmarkEnd w:id="27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在页面顶部展示个股的实时/延时行情（最新价、涨跌额、涨跌幅、开盘、最高、最低、昨收、成交量、成交额）及</w:t>
      </w:r>
      <w:r>
        <w:rPr>
          <w:rFonts w:hint="eastAsia" w:ascii="宋体" w:hAnsi="宋体"/>
          <w:color w:val="FF0000"/>
        </w:rPr>
        <w:t>五档行情</w:t>
      </w:r>
      <w:r>
        <w:rPr>
          <w:rFonts w:hint="eastAsia" w:ascii="宋体" w:hAnsi="宋体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spacing w:line="360" w:lineRule="auto"/>
        <w:ind w:left="420"/>
      </w:pPr>
      <w:r>
        <w:t>进入个股页面自动请求实时行情，定时刷新，异常时提示</w:t>
      </w:r>
      <w:r>
        <w:rPr>
          <w:rFonts w:hint="eastAsia"/>
        </w:rPr>
        <w:t>。</w:t>
      </w:r>
    </w:p>
    <w:p>
      <w:pPr>
        <w:pStyle w:val="6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0" distR="0">
            <wp:extent cx="5650230" cy="461454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731" cy="46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line="36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t>数据需校验完整性，异常时显示默认值或提示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8" w:name="_Toc491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分时图</w:t>
      </w:r>
      <w:bookmarkEnd w:id="28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展示个股当天的分时价格和成交量图。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0" distR="0">
            <wp:extent cx="5486400" cy="43961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454" cy="44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9" w:name="_Toc3135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K线图</w:t>
      </w:r>
      <w:bookmarkEnd w:id="29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展示个股在不同时间周期（1分钟、5分钟、15分钟、30分钟、60分钟、日、周、月、年）的K线图。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支持缩放、平移图表。</w:t>
      </w:r>
    </w:p>
    <w:p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支持复权类型选择（前复权、后复权、不复权）。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t>用户可切换周期、</w:t>
      </w:r>
      <w:r>
        <w:rPr>
          <w:color w:val="FF0000"/>
        </w:rPr>
        <w:t>复权方式</w:t>
      </w:r>
      <w:r>
        <w:t>，前端请求API获取对应K线数据，</w:t>
      </w:r>
      <w:r>
        <w:rPr>
          <w:color w:val="FF0000"/>
        </w:rPr>
        <w:t>支持均线、指标叠加</w:t>
      </w:r>
      <w:r>
        <w:t>。</w:t>
      </w:r>
    </w:p>
    <w:p>
      <w:pPr>
        <w:pStyle w:val="6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0" distR="0">
            <wp:extent cx="5132705" cy="41668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5142" cy="41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ind w:firstLine="420"/>
        <w:rPr>
          <w:rFonts w:asciiTheme="minorEastAsia" w:hAnsiTheme="minorEastAsia"/>
          <w:color w:val="000000"/>
          <w:sz w:val="30"/>
          <w:szCs w:val="30"/>
        </w:rPr>
      </w:pPr>
      <w:r>
        <w:rPr>
          <w:rFonts w:hint="eastAsia"/>
        </w:rPr>
        <w:t>略</w:t>
      </w:r>
      <w: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0" w:name="_Toc1724"/>
      <w:r>
        <w:rPr>
          <w:rFonts w:hint="eastAsia" w:ascii="宋体" w:hAnsi="宋体" w:eastAsia="宋体" w:cs="宋体"/>
          <w:color w:val="1B1C1D"/>
          <w:sz w:val="24"/>
          <w:szCs w:val="24"/>
        </w:rPr>
        <w:t>技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术指标叠加</w:t>
      </w:r>
      <w:bookmarkEnd w:id="30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支持在K线图下方或叠加显示常用的技术指标，用户可选择显示/隐藏和调整参数。包括但不限于：MA, RSI, MACD, KDJ, BOLL, VOL, OBV, DMI, WR, CCI, ATR, SAR等。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ind w:firstLine="420"/>
        <w:rPr>
          <w:rFonts w:ascii="宋体" w:hAnsi="宋体"/>
        </w:rPr>
      </w:pPr>
      <w:r>
        <w:t>参数需校验，数据需完整，指标计算与主流软件一致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1" w:name="_Toc1452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财务数据</w:t>
      </w:r>
      <w:bookmarkEnd w:id="31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展示主要财务指标（PE, PB, ROE, EPS等）和关键财务报表摘要（资产负债表、利润表、现金流量表）。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</w:p>
    <w:p>
      <w:pPr>
        <w:ind w:firstLine="420"/>
        <w:rPr>
          <w:rFonts w:hint="eastAsia" w:ascii="Arial" w:hAnsi="Arial" w:cs="Arial"/>
          <w:iCs/>
          <w:szCs w:val="21"/>
        </w:rPr>
      </w:pPr>
      <w:r>
        <w:drawing>
          <wp:inline distT="0" distB="0" distL="0" distR="0">
            <wp:extent cx="6188710" cy="3133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 w:ascii="宋体" w:hAnsi="宋体"/>
        </w:rPr>
        <w:t>略。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2" w:name="_Toc177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新闻公告</w:t>
      </w:r>
      <w:bookmarkEnd w:id="32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展示与该股票相关的财经新闻和公司公告列表，点击可查看详情。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114300" distR="114300">
            <wp:extent cx="4886960" cy="2898140"/>
            <wp:effectExtent l="0" t="0" r="8890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3" w:name="_Toc3030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研报</w:t>
      </w:r>
      <w:bookmarkEnd w:id="33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展示券商等机构发布的与该股票相关的研究报告列表，点击可查看详情（可选，依赖数据源）。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114300" distR="114300">
            <wp:extent cx="5285740" cy="2202180"/>
            <wp:effectExtent l="0" t="0" r="1016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4" w:name="_Toc1784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资金流向</w:t>
      </w:r>
      <w:bookmarkEnd w:id="34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before="240" w:line="300" w:lineRule="auto"/>
        <w:ind w:firstLine="420"/>
      </w:pPr>
      <w:r>
        <w:rPr>
          <w:rFonts w:hint="eastAsia"/>
        </w:rPr>
        <w:t>展示个股的资金流入流出情况（可选，依赖数据源）。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0" distR="0">
            <wp:extent cx="6188710" cy="35960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5" w:name="_Toc15113"/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同类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股票</w:t>
      </w:r>
      <w:bookmarkEnd w:id="35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before="240" w:line="300" w:lineRule="auto"/>
        <w:ind w:firstLine="420"/>
      </w:pPr>
      <w:r>
        <w:rPr>
          <w:rFonts w:hint="eastAsia"/>
        </w:rPr>
        <w:t>展示同行业或同概念的关联股票（可选）。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6" w:name="_Toc1551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智能分析结果</w:t>
      </w:r>
      <w:bookmarkEnd w:id="36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before="240" w:line="300" w:lineRule="auto"/>
        <w:ind w:firstLine="420"/>
      </w:pPr>
      <w:r>
        <w:rPr>
          <w:rFonts w:hint="eastAsia"/>
        </w:rPr>
        <w:t>在该页面或子页面展示该股票的预测价格、预测走势和交易建议（链接到智能分析模块）。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114300" distR="114300">
            <wp:extent cx="5060315" cy="3757930"/>
            <wp:effectExtent l="0" t="0" r="698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spacing w:before="240" w:line="300" w:lineRule="auto"/>
        <w:ind w:firstLine="420"/>
        <w:rPr>
          <w:rFonts w:ascii="宋体" w:hAnsi="宋体"/>
        </w:rPr>
      </w:pP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37" w:name="_Toc12532"/>
      <w:r>
        <w:rPr>
          <w:rFonts w:hint="eastAsia" w:asciiTheme="minorEastAsia" w:hAnsiTheme="minorEastAsia"/>
          <w:sz w:val="24"/>
          <w:szCs w:val="24"/>
        </w:rPr>
        <w:t>智能分析模块</w:t>
      </w:r>
      <w:bookmarkEnd w:id="37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该模块集中展示系统的预测和分析结果。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展示指定股票的预测价格、趋势图表、目标价格变化，以及说明预测来源和置信度。</w:t>
      </w:r>
    </w:p>
    <w:p>
      <w:pPr>
        <w:spacing w:line="360" w:lineRule="auto"/>
        <w:ind w:firstLine="420"/>
        <w:rPr>
          <w:rFonts w:ascii="宋体" w:hAnsi="宋体"/>
        </w:rPr>
      </w:pP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8" w:name="_Toc2039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预测结果展示</w:t>
      </w:r>
      <w:bookmarkEnd w:id="38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展示指定股票的预测价格走势图或目标价格区间，并说明预测周期和置信度。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drawing>
          <wp:inline distT="0" distB="0" distL="114300" distR="114300">
            <wp:extent cx="4864100" cy="4697095"/>
            <wp:effectExtent l="0" t="0" r="12700" b="8255"/>
            <wp:docPr id="13" name="图片 13" descr="screencapture-localhost-8000-analysis-html-2025-05-25-11_33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capture-localhost-8000-analysis-html-2025-05-25-11_33_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9" w:name="_Toc290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交易建议展示</w:t>
      </w:r>
      <w:bookmarkEnd w:id="39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清晰展示系统对指定股票给出的交易建议（买入/卖出/持有/观望），并提供建议依据（如基于预测、技术信号等）和风险提示。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0" w:name="_Toc1209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历史预测回顾</w:t>
      </w:r>
      <w:bookmarkEnd w:id="40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查看系统对该股票的历史预测表现（可选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1" w:name="_Toc907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选股策略</w:t>
      </w:r>
      <w:bookmarkEnd w:id="41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基于预测模型或技术指标提供一些预设的选股策略（可</w:t>
      </w:r>
      <w:r>
        <w:rPr>
          <w:rFonts w:ascii="宋体" w:hAnsi="宋体"/>
        </w:rPr>
        <w:t>选）</w:t>
      </w:r>
      <w:r>
        <w:rPr>
          <w:rFonts w:hint="eastAsia" w:ascii="宋体" w:hAnsi="宋体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2" w:name="_Toc14628"/>
      <w:r>
        <w:rPr>
          <w:rFonts w:hint="eastAsia" w:asciiTheme="minorEastAsia" w:hAnsiTheme="minorEastAsia"/>
          <w:sz w:val="24"/>
          <w:szCs w:val="24"/>
        </w:rPr>
        <w:t>资讯模块</w:t>
      </w:r>
      <w:bookmarkEnd w:id="42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该模块提供全面的财经资讯</w:t>
      </w:r>
      <w:r>
        <w:rPr>
          <w:rFonts w:hint="eastAsia" w:ascii="宋体" w:hAnsi="宋体"/>
          <w:b/>
        </w:rPr>
        <w:t>（可</w:t>
      </w:r>
      <w:r>
        <w:rPr>
          <w:rFonts w:ascii="宋体" w:hAnsi="宋体"/>
          <w:b/>
        </w:rPr>
        <w:t>选）</w:t>
      </w:r>
      <w:r>
        <w:rPr>
          <w:rFonts w:ascii="宋体" w:hAnsi="宋体"/>
        </w:rPr>
        <w:t>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114300" distR="114300">
            <wp:extent cx="4481830" cy="5803265"/>
            <wp:effectExtent l="0" t="0" r="13970" b="6985"/>
            <wp:docPr id="14" name="图片 14" descr="screencapture-localhost-8000-news-html-2025-05-25-11_3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capture-localhost-8000-news-html-2025-05-25-11_36_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3" w:name="_Toc1106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财经新闻列表</w:t>
      </w:r>
      <w:bookmarkEnd w:id="43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展示最新的财经新闻列表，支持分类</w:t>
      </w:r>
      <w:r>
        <w:rPr>
          <w:rFonts w:hint="eastAsia" w:ascii="宋体" w:hAnsi="宋体"/>
        </w:rPr>
        <w:t>如</w:t>
      </w:r>
      <w:r>
        <w:rPr>
          <w:rFonts w:ascii="宋体" w:hAnsi="宋体"/>
        </w:rPr>
        <w:t>宏观、行业、公司等（</w:t>
      </w:r>
      <w:r>
        <w:rPr>
          <w:rFonts w:hint="eastAsia" w:ascii="宋体" w:hAnsi="宋体"/>
        </w:rPr>
        <w:t>可选</w:t>
      </w:r>
      <w:r>
        <w:rPr>
          <w:rFonts w:ascii="宋体" w:hAnsi="宋体"/>
        </w:rPr>
        <w:t>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4" w:name="_Toc2384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新闻详情</w:t>
      </w:r>
      <w:bookmarkEnd w:id="44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点击新闻列表项查看新闻全文（</w:t>
      </w:r>
      <w:r>
        <w:rPr>
          <w:rFonts w:hint="eastAsia" w:ascii="宋体" w:hAnsi="宋体"/>
        </w:rPr>
        <w:t>可选</w:t>
      </w:r>
      <w:r>
        <w:rPr>
          <w:rFonts w:ascii="宋体" w:hAnsi="宋体"/>
        </w:rPr>
        <w:t>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5" w:name="_Toc271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研报中心</w:t>
      </w:r>
      <w:bookmarkEnd w:id="45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集中展示各类研究报告列表，支持按机构、行业、股票等筛选（可选）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6" w:name="_Toc2593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7x24快讯</w:t>
      </w:r>
      <w:bookmarkEnd w:id="46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提供实时市场快讯（可选）</w:t>
      </w:r>
      <w:r>
        <w:rPr>
          <w:rFonts w:hint="eastAsia" w:ascii="宋体" w:hAnsi="宋体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7" w:name="_Toc25884"/>
      <w:r>
        <w:rPr>
          <w:rFonts w:hint="eastAsia" w:asciiTheme="minorEastAsia" w:hAnsiTheme="minorEastAsia"/>
          <w:sz w:val="24"/>
          <w:szCs w:val="24"/>
        </w:rPr>
        <w:t>我的模块</w:t>
      </w:r>
      <w:bookmarkEnd w:id="47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该模块提供用户相关的设置和信息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48" w:name="_Toc1908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用户信息展示</w:t>
      </w:r>
      <w:bookmarkEnd w:id="48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展示用户的基本信息</w:t>
      </w:r>
      <w:r>
        <w:rPr>
          <w:rFonts w:hint="eastAsia" w:ascii="宋体" w:hAnsi="宋体"/>
        </w:rPr>
        <w:t>，如</w:t>
      </w:r>
      <w:r>
        <w:rPr>
          <w:rFonts w:ascii="宋体" w:hAnsi="宋体"/>
        </w:rPr>
        <w:t>用户名、注册时间等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9" w:name="_Toc2823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个人信息修改</w:t>
      </w:r>
      <w:bookmarkEnd w:id="49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支持修改头像、昵称等（可选）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0" w:name="_Toc1609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密码修改</w:t>
      </w:r>
      <w:bookmarkEnd w:id="50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t>支持修改登录密码</w:t>
      </w:r>
      <w:r>
        <w:rPr>
          <w:rFonts w:hint="eastAsia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1" w:name="_Toc1278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消息中心</w:t>
      </w:r>
      <w:bookmarkEnd w:id="51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接收系统通知、公告等（可选）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2" w:name="_Toc861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设置</w:t>
      </w:r>
      <w:bookmarkEnd w:id="52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</w:t>
      </w:r>
      <w:r>
        <w:rPr>
          <w:rFonts w:hint="eastAsia" w:ascii="宋体" w:hAnsi="宋体"/>
        </w:rPr>
        <w:t>web应用</w:t>
      </w:r>
      <w:r>
        <w:rPr>
          <w:rFonts w:ascii="宋体" w:hAnsi="宋体"/>
        </w:rPr>
        <w:t>相关的设置选项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如行情刷新频率、图表默认指标、缓存清理等（可选）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3" w:name="_Toc2084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帮助与反馈</w:t>
      </w:r>
      <w:bookmarkEnd w:id="53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提供常见问题解答和用户反馈入口（可选）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4" w:name="_Toc30794"/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关于我们</w:t>
      </w:r>
      <w:bookmarkEnd w:id="54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</w:t>
      </w:r>
      <w:r>
        <w:rPr>
          <w:rFonts w:hint="eastAsia" w:ascii="宋体" w:hAnsi="宋体"/>
        </w:rPr>
        <w:t>web应用</w:t>
      </w:r>
      <w:r>
        <w:rPr>
          <w:rFonts w:ascii="宋体" w:hAnsi="宋体"/>
        </w:rPr>
        <w:t>版本信息、公司信息、免责声明等（可选）</w:t>
      </w:r>
      <w:r>
        <w:rPr>
          <w:rFonts w:hint="eastAsia" w:ascii="宋体" w:hAnsi="宋体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55" w:name="_Toc2171"/>
      <w:r>
        <w:rPr>
          <w:rFonts w:hint="eastAsia" w:asciiTheme="minorEastAsia" w:hAnsiTheme="minorEastAsia"/>
          <w:sz w:val="24"/>
          <w:szCs w:val="24"/>
        </w:rPr>
        <w:t>全局功能</w:t>
      </w:r>
      <w:bookmarkEnd w:id="55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</w:t>
      </w:r>
      <w:r>
        <w:rPr>
          <w:rFonts w:hint="eastAsia" w:ascii="宋体" w:hAnsi="宋体"/>
        </w:rPr>
        <w:t>认证</w:t>
      </w:r>
      <w:r>
        <w:rPr>
          <w:rFonts w:ascii="宋体" w:hAnsi="宋体"/>
        </w:rPr>
        <w:t>相关的注册、登录</w:t>
      </w:r>
      <w:r>
        <w:rPr>
          <w:rFonts w:hint="eastAsia" w:ascii="宋体" w:hAnsi="宋体"/>
        </w:rPr>
        <w:t>、</w:t>
      </w:r>
      <w:r>
        <w:rPr>
          <w:rFonts w:ascii="宋体" w:hAnsi="宋体"/>
        </w:rPr>
        <w:t>退出登录</w:t>
      </w:r>
      <w:r>
        <w:rPr>
          <w:rFonts w:hint="eastAsia" w:ascii="宋体" w:hAnsi="宋体"/>
        </w:rPr>
        <w:t>等</w:t>
      </w:r>
      <w:r>
        <w:rPr>
          <w:rFonts w:ascii="宋体" w:hAnsi="宋体"/>
        </w:rPr>
        <w:t>功能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color w:val="00B0F0"/>
          <w:sz w:val="21"/>
          <w:szCs w:val="21"/>
        </w:rPr>
      </w:pPr>
      <w:bookmarkStart w:id="56" w:name="_Toc5098"/>
      <w:r>
        <w:rPr>
          <w:rFonts w:hint="eastAsia" w:asciiTheme="minorEastAsia" w:hAnsiTheme="minorEastAsia" w:eastAsiaTheme="minorEastAsia"/>
          <w:color w:val="00B0F0"/>
          <w:sz w:val="21"/>
          <w:szCs w:val="21"/>
        </w:rPr>
        <w:t>用户登录</w:t>
      </w:r>
      <w:bookmarkEnd w:id="56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使用角色</w:t>
      </w:r>
    </w:p>
    <w:p>
      <w:pPr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drawing>
          <wp:inline distT="0" distB="0" distL="114300" distR="114300">
            <wp:extent cx="5133975" cy="2548255"/>
            <wp:effectExtent l="0" t="0" r="9525" b="4445"/>
            <wp:docPr id="15" name="图片 15" descr="screencapture-localhost-8000-login-html-2025-05-25-11_51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capture-localhost-8000-login-html-2025-05-25-11_51_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7" w:name="_Toc7754"/>
      <w:r>
        <w:rPr>
          <w:rFonts w:hint="eastAsia" w:asciiTheme="minorEastAsia" w:hAnsiTheme="minorEastAsia" w:eastAsiaTheme="minorEastAsia"/>
          <w:sz w:val="21"/>
          <w:szCs w:val="21"/>
        </w:rPr>
        <w:t>用户注册</w:t>
      </w:r>
      <w:bookmarkEnd w:id="57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使用角色</w:t>
      </w:r>
    </w:p>
    <w:p>
      <w:pPr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8" w:name="_Toc5902"/>
      <w:r>
        <w:rPr>
          <w:rFonts w:hint="eastAsia" w:asciiTheme="minorEastAsia" w:hAnsiTheme="minorEastAsia" w:eastAsiaTheme="minorEastAsia"/>
          <w:sz w:val="21"/>
          <w:szCs w:val="21"/>
        </w:rPr>
        <w:t>退出登录</w:t>
      </w:r>
      <w:bookmarkEnd w:id="58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使用角色</w:t>
      </w:r>
    </w:p>
    <w:p>
      <w:pPr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drawing>
          <wp:inline distT="0" distB="0" distL="114300" distR="114300">
            <wp:extent cx="6186805" cy="1207135"/>
            <wp:effectExtent l="0" t="0" r="4445" b="1206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59" w:name="_Toc19272"/>
      <w:r>
        <w:rPr>
          <w:rFonts w:hint="eastAsia" w:asciiTheme="minorEastAsia" w:hAnsiTheme="minorEastAsia" w:eastAsiaTheme="minorEastAsia"/>
          <w:sz w:val="28"/>
          <w:szCs w:val="28"/>
        </w:rPr>
        <w:t>后端（A</w:t>
      </w:r>
      <w:r>
        <w:rPr>
          <w:rFonts w:asciiTheme="minorEastAsia" w:hAnsiTheme="minorEastAsia" w:eastAsiaTheme="minorEastAsia"/>
          <w:sz w:val="28"/>
          <w:szCs w:val="28"/>
        </w:rPr>
        <w:t>DMIN</w:t>
      </w:r>
      <w:r>
        <w:rPr>
          <w:rFonts w:hint="eastAsia" w:asciiTheme="minorEastAsia" w:hAnsiTheme="minorEastAsia" w:eastAsiaTheme="minorEastAsia"/>
          <w:sz w:val="28"/>
          <w:szCs w:val="28"/>
        </w:rPr>
        <w:t>）</w:t>
      </w:r>
      <w:r>
        <w:rPr>
          <w:rFonts w:asciiTheme="minorEastAsia" w:hAnsiTheme="minorEastAsia" w:eastAsiaTheme="minorEastAsia"/>
          <w:sz w:val="28"/>
          <w:szCs w:val="28"/>
        </w:rPr>
        <w:t>管理</w:t>
      </w:r>
      <w:bookmarkEnd w:id="59"/>
    </w:p>
    <w:p>
      <w:pPr>
        <w:ind w:firstLine="420"/>
      </w:pPr>
      <w:r>
        <w:t>后端管理</w:t>
      </w:r>
      <w:r>
        <w:rPr>
          <w:rFonts w:hint="eastAsia"/>
        </w:rPr>
        <w:t>子系统</w:t>
      </w:r>
      <w:r>
        <w:t>供系统管理员使用，进行系统配置、数据管理和用户管理。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b w:val="0"/>
          <w:bCs w:val="0"/>
          <w:color w:val="auto"/>
          <w:sz w:val="21"/>
          <w:szCs w:val="22"/>
        </w:rPr>
      </w:pPr>
      <w:bookmarkStart w:id="60" w:name="_Toc2469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管理员认证</w:t>
      </w:r>
      <w:bookmarkEnd w:id="60"/>
    </w:p>
    <w:p>
      <w:pPr>
        <w:ind w:firstLine="420"/>
      </w:pPr>
      <w:r>
        <w:t>管理员登录管理后台。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61" w:name="_Toc894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用户管理</w:t>
      </w:r>
      <w:bookmarkEnd w:id="61"/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62" w:name="_Toc20068"/>
      <w:r>
        <w:rPr>
          <w:rFonts w:hint="eastAsia" w:asciiTheme="minorEastAsia" w:hAnsiTheme="minorEastAsia" w:eastAsiaTheme="minorEastAsia"/>
          <w:sz w:val="21"/>
          <w:szCs w:val="21"/>
        </w:rPr>
        <w:t>功能需求</w:t>
      </w:r>
      <w:bookmarkEnd w:id="62"/>
    </w:p>
    <w:p>
      <w:pPr>
        <w:ind w:firstLine="420"/>
        <w:rPr>
          <w:rFonts w:ascii="宋体" w:hAnsi="宋体"/>
        </w:rPr>
      </w:pPr>
      <w:r>
        <w:rPr>
          <w:rFonts w:ascii="宋体" w:hAnsi="宋体"/>
        </w:rPr>
        <w:t>查看、管理用户账号、权限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63" w:name="_Toc18617"/>
      <w:r>
        <w:rPr>
          <w:rFonts w:hint="eastAsia" w:asciiTheme="minorEastAsia" w:hAnsiTheme="minorEastAsia" w:eastAsiaTheme="minorEastAsia"/>
          <w:sz w:val="21"/>
          <w:szCs w:val="21"/>
        </w:rPr>
        <w:t>业务流程</w:t>
      </w:r>
      <w:bookmarkEnd w:id="63"/>
    </w:p>
    <w:p>
      <w:pPr>
        <w:ind w:left="420"/>
      </w:pPr>
      <w:r>
        <w:rPr>
          <w:rFonts w:hint="eastAsia"/>
        </w:rPr>
        <w:t>待补充。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64" w:name="_Toc9227"/>
      <w:r>
        <w:rPr>
          <w:rFonts w:hint="eastAsia" w:asciiTheme="minorEastAsia" w:hAnsiTheme="minorEastAsia" w:eastAsiaTheme="minorEastAsia"/>
          <w:sz w:val="21"/>
          <w:szCs w:val="21"/>
        </w:rPr>
        <w:t>页面原型</w:t>
      </w:r>
      <w:bookmarkEnd w:id="64"/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65" w:name="_Toc12757"/>
      <w:r>
        <w:rPr>
          <w:rFonts w:hint="eastAsia" w:asciiTheme="minorEastAsia" w:hAnsiTheme="minorEastAsia" w:eastAsiaTheme="minorEastAsia"/>
          <w:sz w:val="21"/>
          <w:szCs w:val="21"/>
        </w:rPr>
        <w:t>数据元素</w:t>
      </w:r>
      <w:bookmarkEnd w:id="65"/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66" w:name="_Toc27942"/>
      <w:r>
        <w:rPr>
          <w:rFonts w:hint="eastAsia" w:asciiTheme="minorEastAsia" w:hAnsiTheme="minorEastAsia" w:eastAsiaTheme="minorEastAsia"/>
          <w:sz w:val="21"/>
          <w:szCs w:val="21"/>
        </w:rPr>
        <w:t>业务规则</w:t>
      </w:r>
      <w:bookmarkEnd w:id="66"/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67" w:name="_Toc340"/>
      <w:r>
        <w:rPr>
          <w:rFonts w:hint="eastAsia" w:ascii="宋体" w:hAnsi="宋体" w:eastAsia="宋体" w:cs="宋体"/>
          <w:color w:val="1B1C1D"/>
          <w:sz w:val="24"/>
          <w:szCs w:val="24"/>
        </w:rPr>
        <w:t>数据源配置</w:t>
      </w:r>
      <w:bookmarkEnd w:id="67"/>
    </w:p>
    <w:p>
      <w:pPr>
        <w:ind w:firstLine="420"/>
      </w:pPr>
      <w:r>
        <w:t>配置和管理外部数据源连接信息。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68" w:name="_Toc2197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数据采集任务管理</w:t>
      </w:r>
      <w:bookmarkEnd w:id="68"/>
    </w:p>
    <w:p>
      <w:pPr>
        <w:ind w:firstLine="420"/>
      </w:pPr>
      <w:r>
        <w:t>配置、启动、停止、监控数据采集任务</w:t>
      </w:r>
      <w:r>
        <w:rPr>
          <w:rFonts w:hint="eastAsia"/>
        </w:rPr>
        <w:t>，如</w:t>
      </w:r>
      <w:r>
        <w:t>按股票、按数据类型、按频率。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69" w:name="_Toc15077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数据监控与告警</w:t>
      </w:r>
      <w:bookmarkEnd w:id="69"/>
    </w:p>
    <w:p>
      <w:pPr>
        <w:ind w:firstLine="420"/>
      </w:pPr>
      <w:r>
        <w:t>监控数据采集的成功率、延迟，并在异常时触发告警。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0" w:name="_Toc2532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预测模型管理</w:t>
      </w:r>
      <w:bookmarkEnd w:id="70"/>
    </w:p>
    <w:p>
      <w:pPr>
        <w:ind w:firstLine="420"/>
      </w:pPr>
      <w:r>
        <w:t>上传、配置、训练、评估、切换预测模型版本</w:t>
      </w:r>
      <w:r>
        <w:rPr>
          <w:rFonts w:hint="eastAsia"/>
        </w:rPr>
        <w:t>(可选</w:t>
      </w:r>
      <w:r>
        <w:t>)。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1" w:name="_Toc1033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系统日志</w:t>
      </w:r>
      <w:bookmarkEnd w:id="71"/>
    </w:p>
    <w:p>
      <w:pPr>
        <w:ind w:firstLine="420"/>
      </w:pPr>
      <w:r>
        <w:t>查看系统运行日志、API调用日志、错误日志</w:t>
      </w:r>
      <w:r>
        <w:rPr>
          <w:rFonts w:hint="eastAsia"/>
        </w:rPr>
        <w:t>(可选</w:t>
      </w:r>
      <w:r>
        <w:t>)。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2" w:name="_Toc559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内容管理</w:t>
      </w:r>
      <w:bookmarkEnd w:id="72"/>
    </w:p>
    <w:p>
      <w:pPr>
        <w:ind w:firstLine="420"/>
      </w:pPr>
      <w:r>
        <w:t>管理财经新闻、公告、研报等信息如果</w:t>
      </w:r>
      <w:r>
        <w:rPr>
          <w:rFonts w:hint="eastAsia"/>
        </w:rPr>
        <w:t>(</w:t>
      </w:r>
      <w:r>
        <w:t>系统自行维护部分内容）</w:t>
      </w:r>
      <w:r>
        <w:rPr>
          <w:rFonts w:hint="eastAsia"/>
        </w:rPr>
        <w:t>,可选</w:t>
      </w:r>
      <w: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3" w:name="_Toc2883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系统公告发布</w:t>
      </w:r>
      <w:bookmarkEnd w:id="73"/>
    </w:p>
    <w:p>
      <w:pPr>
        <w:ind w:firstLine="420"/>
      </w:pPr>
      <w:r>
        <w:t>发布系统公告给前端用户</w:t>
      </w:r>
      <w:r>
        <w:rPr>
          <w:rFonts w:hint="eastAsia"/>
        </w:rPr>
        <w:t>(可选</w:t>
      </w:r>
      <w:r>
        <w:t>)。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74" w:name="_Toc8312"/>
      <w:r>
        <w:rPr>
          <w:rFonts w:hint="eastAsia" w:asciiTheme="minorEastAsia" w:hAnsiTheme="minorEastAsia" w:eastAsiaTheme="minorEastAsia"/>
          <w:sz w:val="28"/>
          <w:szCs w:val="28"/>
        </w:rPr>
        <w:t>后端A</w:t>
      </w:r>
      <w:r>
        <w:rPr>
          <w:rFonts w:asciiTheme="minorEastAsia" w:hAnsiTheme="minorEastAsia" w:eastAsiaTheme="minorEastAsia"/>
          <w:sz w:val="28"/>
          <w:szCs w:val="28"/>
        </w:rPr>
        <w:t>PI</w:t>
      </w:r>
      <w:bookmarkEnd w:id="74"/>
    </w:p>
    <w:p>
      <w:pPr>
        <w:snapToGrid w:val="0"/>
        <w:spacing w:after="120" w:line="360" w:lineRule="auto"/>
        <w:ind w:firstLine="420"/>
        <w:jc w:val="left"/>
      </w:pPr>
      <w:r>
        <w:t>后端API模块为前端APP提供数据和服务接口。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5" w:name="_Toc477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用户认证相关API</w:t>
      </w:r>
      <w:bookmarkEnd w:id="75"/>
    </w:p>
    <w:p>
      <w:pPr>
        <w:snapToGrid w:val="0"/>
        <w:spacing w:after="120" w:line="360" w:lineRule="auto"/>
        <w:ind w:firstLine="420"/>
        <w:jc w:val="left"/>
      </w:pPr>
      <w:r>
        <w:t>注册、登录、退出、密码找回/重置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6" w:name="_Toc1240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用户信息管理API</w:t>
      </w:r>
      <w:bookmarkEnd w:id="76"/>
    </w:p>
    <w:p>
      <w:pPr>
        <w:snapToGrid w:val="0"/>
        <w:spacing w:after="120" w:line="360" w:lineRule="auto"/>
        <w:ind w:firstLine="420"/>
        <w:jc w:val="left"/>
      </w:pPr>
      <w:r>
        <w:t>获取、更新用户信息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7" w:name="_Toc1988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自选股管理API</w:t>
      </w:r>
      <w:bookmarkEnd w:id="77"/>
    </w:p>
    <w:p>
      <w:pPr>
        <w:snapToGrid w:val="0"/>
        <w:spacing w:after="120" w:line="360" w:lineRule="auto"/>
        <w:ind w:firstLine="420"/>
        <w:jc w:val="left"/>
      </w:pPr>
      <w:r>
        <w:t>获取、添加、删除自选股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8" w:name="_Toc2234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股票搜索API</w:t>
      </w:r>
      <w:bookmarkEnd w:id="78"/>
    </w:p>
    <w:p>
      <w:pPr>
        <w:snapToGrid w:val="0"/>
        <w:spacing w:after="120" w:line="360" w:lineRule="auto"/>
        <w:ind w:firstLine="420"/>
        <w:jc w:val="left"/>
      </w:pPr>
      <w:r>
        <w:t>根据关键词搜索股票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9" w:name="_Toc197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行情数据API</w:t>
      </w:r>
      <w:bookmarkEnd w:id="79"/>
    </w:p>
    <w:p>
      <w:pPr>
        <w:snapToGrid w:val="0"/>
        <w:spacing w:after="120" w:line="360" w:lineRule="auto"/>
        <w:ind w:firstLine="420"/>
        <w:jc w:val="left"/>
      </w:pPr>
      <w:r>
        <w:t>获取主要指数、个股实时/延时行情、五档行情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0" w:name="_Toc3148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历史行情API</w:t>
      </w:r>
      <w:bookmarkEnd w:id="80"/>
    </w:p>
    <w:p>
      <w:pPr>
        <w:snapToGrid w:val="0"/>
        <w:spacing w:after="120" w:line="360" w:lineRule="auto"/>
        <w:ind w:firstLine="420"/>
        <w:jc w:val="left"/>
      </w:pPr>
      <w:r>
        <w:t>获取个股分时、K线历史数据（支持不同周期、时间范围）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1" w:name="_Toc3670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个股信息API</w:t>
      </w:r>
      <w:bookmarkEnd w:id="81"/>
    </w:p>
    <w:p>
      <w:pPr>
        <w:snapToGrid w:val="0"/>
        <w:spacing w:after="120" w:line="360" w:lineRule="auto"/>
        <w:ind w:firstLine="420"/>
        <w:jc w:val="left"/>
      </w:pPr>
      <w:r>
        <w:t>获取公司概况、财务数据、股本结构等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2" w:name="_Toc2371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新闻公告API</w:t>
      </w:r>
      <w:bookmarkEnd w:id="82"/>
    </w:p>
    <w:p>
      <w:pPr>
        <w:snapToGrid w:val="0"/>
        <w:spacing w:after="120" w:line="360" w:lineRule="auto"/>
        <w:ind w:firstLine="420"/>
        <w:jc w:val="left"/>
      </w:pPr>
      <w:r>
        <w:t>获取个股相关新闻、公告列表及详情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3" w:name="_Toc1047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研报API</w:t>
      </w:r>
      <w:bookmarkEnd w:id="83"/>
    </w:p>
    <w:p>
      <w:pPr>
        <w:snapToGrid w:val="0"/>
        <w:spacing w:after="120" w:line="360" w:lineRule="auto"/>
        <w:ind w:firstLine="420"/>
        <w:jc w:val="left"/>
      </w:pPr>
      <w:r>
        <w:t>获取个股相关研报列表及详情（可选）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4" w:name="_Toc2815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板块/行业API</w:t>
      </w:r>
      <w:bookmarkEnd w:id="84"/>
    </w:p>
    <w:p>
      <w:pPr>
        <w:snapToGrid w:val="0"/>
        <w:spacing w:after="120" w:line="360" w:lineRule="auto"/>
        <w:ind w:firstLine="420"/>
        <w:jc w:val="left"/>
      </w:pPr>
      <w:r>
        <w:t>获取板块列表及板块内股票（可选）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5" w:name="_Toc2937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技术指标计算API</w:t>
      </w:r>
      <w:bookmarkEnd w:id="85"/>
    </w:p>
    <w:p>
      <w:pPr>
        <w:snapToGrid w:val="0"/>
        <w:spacing w:after="120" w:line="360" w:lineRule="auto"/>
        <w:ind w:firstLine="420"/>
        <w:jc w:val="left"/>
      </w:pPr>
      <w:r>
        <w:t>根据历史数据计算指定技术指标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6" w:name="_Toc1318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预测结果获取API</w:t>
      </w:r>
      <w:bookmarkEnd w:id="86"/>
    </w:p>
    <w:p>
      <w:pPr>
        <w:snapToGrid w:val="0"/>
        <w:spacing w:after="120" w:line="360" w:lineRule="auto"/>
        <w:ind w:firstLine="420"/>
        <w:jc w:val="left"/>
      </w:pPr>
      <w:r>
        <w:t>获取指定股票的预测价格、走势、置信度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7" w:name="_Toc2541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交易建议获取API</w:t>
      </w:r>
      <w:bookmarkEnd w:id="87"/>
    </w:p>
    <w:p>
      <w:pPr>
        <w:snapToGrid w:val="0"/>
        <w:spacing w:after="120" w:line="360" w:lineRule="auto"/>
        <w:ind w:firstLine="420"/>
        <w:jc w:val="left"/>
      </w:pPr>
      <w:r>
        <w:t>获取指定股票的交易建议和风险提示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8" w:name="_Toc825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财经新闻API</w:t>
      </w:r>
      <w:bookmarkEnd w:id="88"/>
    </w:p>
    <w:p>
      <w:pPr>
        <w:snapToGrid w:val="0"/>
        <w:spacing w:after="120" w:line="360" w:lineRule="auto"/>
        <w:ind w:firstLine="420"/>
        <w:jc w:val="left"/>
      </w:pPr>
      <w:r>
        <w:t>获取分类新闻列表及详情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9" w:name="_Toc2379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系统公告/消息API</w:t>
      </w:r>
      <w:bookmarkEnd w:id="89"/>
    </w:p>
    <w:p>
      <w:pPr>
        <w:snapToGrid w:val="0"/>
        <w:spacing w:after="120" w:line="360" w:lineRule="auto"/>
        <w:ind w:firstLine="420"/>
        <w:jc w:val="left"/>
      </w:pPr>
      <w:r>
        <w:t>获取系统发布的公告和消息</w:t>
      </w:r>
      <w:r>
        <w:rPr>
          <w:rFonts w:hint="eastAsia"/>
        </w:rPr>
        <w:t>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90" w:name="_Toc539"/>
      <w:r>
        <w:rPr>
          <w:rFonts w:hint="eastAsia" w:asciiTheme="minorEastAsia" w:hAnsiTheme="minorEastAsia" w:eastAsiaTheme="minorEastAsia"/>
          <w:sz w:val="28"/>
          <w:szCs w:val="28"/>
        </w:rPr>
        <w:t>后端数据采集与存储</w:t>
      </w:r>
      <w:bookmarkEnd w:id="90"/>
    </w:p>
    <w:p>
      <w:pPr>
        <w:snapToGrid w:val="0"/>
        <w:ind w:firstLine="420"/>
        <w:jc w:val="left"/>
      </w:pPr>
      <w:r>
        <w:rPr>
          <w:rFonts w:hint="eastAsia"/>
        </w:rPr>
        <w:t>后端数据采集模块</w:t>
      </w:r>
      <w:r>
        <w:t>负责从外部数据源获取数据并存储。</w:t>
      </w:r>
    </w:p>
    <w:p>
      <w:pPr>
        <w:pStyle w:val="4"/>
        <w:numPr>
          <w:ilvl w:val="2"/>
          <w:numId w:val="1"/>
        </w:numPr>
        <w:spacing w:after="0"/>
        <w:ind w:left="0" w:firstLine="0"/>
        <w:jc w:val="both"/>
        <w:rPr>
          <w:rFonts w:cs="Google Sans Text" w:asciiTheme="minorEastAsia" w:hAnsiTheme="minorEastAsia"/>
          <w:color w:val="1B1C1D"/>
          <w:sz w:val="24"/>
          <w:szCs w:val="24"/>
        </w:rPr>
      </w:pPr>
      <w:r>
        <w:rPr>
          <w:rFonts w:hint="eastAsia" w:cs="Google Sans Text" w:asciiTheme="minorEastAsia" w:hAnsiTheme="minorEastAsia"/>
          <w:color w:val="1B1C1D"/>
          <w:sz w:val="24"/>
          <w:szCs w:val="24"/>
        </w:rPr>
        <w:t>数据采集功能</w:t>
      </w:r>
    </w:p>
    <w:p>
      <w:pPr>
        <w:rPr>
          <w:rFonts w:hint="eastAsia"/>
        </w:rPr>
      </w:pPr>
      <w:r>
        <w:tab/>
      </w:r>
    </w:p>
    <w:p>
      <w:pPr>
        <w:pStyle w:val="5"/>
        <w:numPr>
          <w:ilvl w:val="3"/>
          <w:numId w:val="1"/>
        </w:numPr>
        <w:spacing w:before="0" w:after="260"/>
        <w:ind w:left="0" w:firstLine="0"/>
        <w:jc w:val="both"/>
        <w:rPr>
          <w:rFonts w:cs="Google Sans Text" w:asciiTheme="minorEastAsia" w:hAnsiTheme="minorEastAsia" w:eastAsiaTheme="minorEastAsia"/>
          <w:color w:val="1B1C1D"/>
          <w:sz w:val="24"/>
          <w:szCs w:val="24"/>
        </w:rPr>
      </w:pP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每日股票基础数据采集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t> </w:t>
      </w:r>
      <w:r>
        <w:tab/>
      </w:r>
      <w:r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  <w:lang w:val="en-US" w:eastAsia="zh-CN"/>
        </w:rPr>
        <w:t>或股票代码</w:t>
      </w:r>
      <w:r>
        <w:t>列表、交易日期</w:t>
      </w:r>
      <w:r>
        <w:rPr>
          <w:rFonts w:hint="eastAsia"/>
          <w:lang w:eastAsia="zh-CN"/>
        </w:rPr>
        <w:t>。</w:t>
      </w:r>
    </w:p>
    <w:p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>
      <w:pPr>
        <w:numPr>
          <w:ilvl w:val="4"/>
          <w:numId w:val="9"/>
        </w:numPr>
        <w:bidi w:val="0"/>
        <w:spacing w:line="360" w:lineRule="auto"/>
      </w:pPr>
      <w:r>
        <w:t>股票代码、股票名称</w:t>
      </w:r>
    </w:p>
    <w:p>
      <w:pPr>
        <w:numPr>
          <w:ilvl w:val="4"/>
          <w:numId w:val="9"/>
        </w:numPr>
        <w:bidi w:val="0"/>
        <w:spacing w:line="360" w:lineRule="auto"/>
      </w:pPr>
      <w:r>
        <w:t>开盘价、收盘价、最高价、最低价</w:t>
      </w:r>
    </w:p>
    <w:p>
      <w:pPr>
        <w:numPr>
          <w:ilvl w:val="4"/>
          <w:numId w:val="9"/>
        </w:numPr>
        <w:bidi w:val="0"/>
        <w:spacing w:line="360" w:lineRule="auto"/>
      </w:pPr>
      <w:r>
        <w:t>成交量、成交额</w:t>
      </w:r>
    </w:p>
    <w:p>
      <w:pPr>
        <w:numPr>
          <w:ilvl w:val="4"/>
          <w:numId w:val="9"/>
        </w:numPr>
        <w:bidi w:val="0"/>
        <w:spacing w:line="360" w:lineRule="auto"/>
      </w:pPr>
      <w:r>
        <w:t>涨跌幅、振幅</w:t>
      </w:r>
    </w:p>
    <w:p>
      <w:pPr>
        <w:numPr>
          <w:ilvl w:val="4"/>
          <w:numId w:val="9"/>
        </w:numPr>
        <w:bidi w:val="0"/>
        <w:spacing w:line="360" w:lineRule="auto"/>
      </w:pPr>
      <w:r>
        <w:t>换手率、量比</w:t>
      </w:r>
    </w:p>
    <w:p>
      <w:pPr>
        <w:numPr>
          <w:ilvl w:val="4"/>
          <w:numId w:val="9"/>
        </w:numPr>
        <w:bidi w:val="0"/>
        <w:spacing w:line="360" w:lineRule="auto"/>
      </w:pPr>
      <w:r>
        <w:t>市盈率、市净率</w:t>
      </w:r>
    </w:p>
    <w:p>
      <w:pPr>
        <w:numPr>
          <w:ilvl w:val="4"/>
          <w:numId w:val="9"/>
        </w:numPr>
        <w:bidi w:val="0"/>
        <w:spacing w:line="360" w:lineRule="auto"/>
      </w:pPr>
      <w:r>
        <w:t>总市值、流通市值</w:t>
      </w:r>
    </w:p>
    <w:p>
      <w:pPr>
        <w:bidi w:val="0"/>
        <w:ind w:firstLine="632" w:firstLineChars="300"/>
        <w:rPr>
          <w:b/>
          <w:bCs/>
        </w:rPr>
      </w:pPr>
      <w:r>
        <w:rPr>
          <w:b/>
          <w:bCs/>
        </w:rPr>
        <w:t>处理流程：</w:t>
      </w:r>
    </w:p>
    <w:p>
      <w:pPr>
        <w:numPr>
          <w:ilvl w:val="4"/>
          <w:numId w:val="9"/>
        </w:numPr>
        <w:bidi w:val="0"/>
        <w:spacing w:line="360" w:lineRule="auto"/>
      </w:pPr>
      <w:r>
        <w:t>自动获取交易日历</w:t>
      </w:r>
    </w:p>
    <w:p>
      <w:pPr>
        <w:numPr>
          <w:ilvl w:val="4"/>
          <w:numId w:val="9"/>
        </w:numPr>
        <w:bidi w:val="0"/>
        <w:spacing w:line="360" w:lineRule="auto"/>
      </w:pPr>
      <w:r>
        <w:t>支持实时和历史数据采集</w:t>
      </w:r>
    </w:p>
    <w:p>
      <w:pPr>
        <w:numPr>
          <w:ilvl w:val="4"/>
          <w:numId w:val="9"/>
        </w:numPr>
        <w:bidi w:val="0"/>
        <w:spacing w:line="360" w:lineRule="auto"/>
      </w:pPr>
      <w:r>
        <w:t>异常数据自动重试</w:t>
      </w:r>
    </w:p>
    <w:p>
      <w:pPr>
        <w:numPr>
          <w:ilvl w:val="4"/>
          <w:numId w:val="9"/>
        </w:numPr>
        <w:bidi w:val="0"/>
        <w:spacing w:line="360" w:lineRule="auto"/>
      </w:pPr>
      <w:r>
        <w:t>数据完整性校验</w:t>
      </w:r>
    </w:p>
    <w:p>
      <w:pPr>
        <w:pStyle w:val="5"/>
        <w:numPr>
          <w:ilvl w:val="3"/>
          <w:numId w:val="1"/>
        </w:numPr>
        <w:spacing w:before="0" w:after="260"/>
        <w:ind w:left="0" w:firstLine="0"/>
        <w:jc w:val="both"/>
        <w:rPr>
          <w:rFonts w:cs="Google Sans Text" w:asciiTheme="minorEastAsia" w:hAnsiTheme="minorEastAsia" w:eastAsiaTheme="minorEastAsia"/>
          <w:color w:val="1B1C1D"/>
          <w:sz w:val="24"/>
          <w:szCs w:val="24"/>
        </w:rPr>
      </w:pP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股票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  <w:lang w:val="en-US" w:eastAsia="zh-CN"/>
        </w:rPr>
        <w:t>资金流向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数据采集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t> </w:t>
      </w:r>
      <w:r>
        <w:tab/>
      </w:r>
      <w:r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  <w:lang w:val="en-US" w:eastAsia="zh-CN"/>
        </w:rPr>
        <w:t>或股票代码</w:t>
      </w:r>
      <w:r>
        <w:t>列表、交易日期</w:t>
      </w:r>
      <w:r>
        <w:rPr>
          <w:rFonts w:hint="eastAsia"/>
          <w:lang w:eastAsia="zh-CN"/>
        </w:rPr>
        <w:t>。</w:t>
      </w:r>
    </w:p>
    <w:p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</w:pPr>
      <w:r>
        <w:t>股票代码、股票名称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</w:pPr>
      <w:r>
        <w:rPr>
          <w:rFonts w:hint="default"/>
          <w:lang w:val="en-US" w:eastAsia="zh-CN"/>
        </w:rPr>
        <w:t>主力净流入、主力净占比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</w:pPr>
      <w:r>
        <w:rPr>
          <w:rFonts w:hint="default"/>
          <w:lang w:val="en-US" w:eastAsia="zh-CN"/>
        </w:rPr>
        <w:t>超大单净流入、超大单净占比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</w:pPr>
      <w:r>
        <w:rPr>
          <w:rFonts w:hint="default"/>
          <w:lang w:val="en-US" w:eastAsia="zh-CN"/>
        </w:rPr>
        <w:t>大单净流入、大单净占比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</w:pPr>
      <w:r>
        <w:rPr>
          <w:rFonts w:hint="default"/>
          <w:lang w:val="en-US" w:eastAsia="zh-CN"/>
        </w:rPr>
        <w:t>中单净流入、中单净占比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</w:pPr>
      <w:r>
        <w:rPr>
          <w:rFonts w:hint="default"/>
          <w:lang w:val="en-US" w:eastAsia="zh-CN"/>
        </w:rPr>
        <w:t>小单净流入、小单净占比</w:t>
      </w:r>
    </w:p>
    <w:p>
      <w:pPr>
        <w:bidi w:val="0"/>
        <w:ind w:firstLine="632" w:firstLineChars="300"/>
        <w:rPr>
          <w:b/>
          <w:bCs/>
        </w:rPr>
      </w:pPr>
      <w:r>
        <w:rPr>
          <w:b/>
          <w:bCs/>
        </w:rPr>
        <w:t>处理流程：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</w:pPr>
      <w:r>
        <w:rPr>
          <w:rFonts w:hint="default"/>
          <w:lang w:val="en-US" w:eastAsia="zh-CN"/>
        </w:rPr>
        <w:t>实时采集当日数据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</w:pPr>
      <w:r>
        <w:rPr>
          <w:rFonts w:hint="default"/>
          <w:lang w:val="en-US" w:eastAsia="zh-CN"/>
        </w:rPr>
        <w:t>支持历史数据补采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</w:pPr>
      <w:r>
        <w:rPr>
          <w:rFonts w:hint="default"/>
          <w:lang w:val="en-US" w:eastAsia="zh-CN"/>
        </w:rPr>
        <w:t>数据异常自动告警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numPr>
          <w:ilvl w:val="3"/>
          <w:numId w:val="1"/>
        </w:numPr>
        <w:spacing w:before="0" w:after="260"/>
        <w:ind w:left="0" w:firstLine="0"/>
        <w:jc w:val="both"/>
        <w:rPr>
          <w:rFonts w:cs="Google Sans Text" w:asciiTheme="minorEastAsia" w:hAnsiTheme="minorEastAsia" w:eastAsiaTheme="minorEastAsia"/>
          <w:color w:val="1B1C1D"/>
          <w:sz w:val="24"/>
          <w:szCs w:val="24"/>
        </w:rPr>
      </w:pP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股票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  <w:lang w:val="en-US" w:eastAsia="zh-CN"/>
        </w:rPr>
        <w:t>分红配送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数据采集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t> </w:t>
      </w:r>
      <w:r>
        <w:tab/>
      </w:r>
      <w:r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  <w:lang w:val="en-US" w:eastAsia="zh-CN"/>
        </w:rPr>
        <w:t>或股票代码</w:t>
      </w:r>
      <w:r>
        <w:t>列表、交易日期</w:t>
      </w:r>
      <w:r>
        <w:rPr>
          <w:rFonts w:hint="eastAsia"/>
          <w:lang w:eastAsia="zh-CN"/>
        </w:rPr>
        <w:t>。</w:t>
      </w:r>
    </w:p>
    <w:p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分红方案（每10股派息、送股、转增）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股权登记日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除权除息日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派息日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红股上市日</w:t>
      </w:r>
    </w:p>
    <w:p>
      <w:pPr>
        <w:bidi w:val="0"/>
        <w:spacing w:line="360" w:lineRule="auto"/>
        <w:ind w:firstLine="632" w:firstLineChars="300"/>
        <w:rPr>
          <w:b/>
          <w:bCs/>
        </w:rPr>
      </w:pPr>
      <w:r>
        <w:rPr>
          <w:b/>
          <w:bCs/>
        </w:rPr>
        <w:t>处理流程：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定期扫描分红公告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自动更新分红数据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支持历史分红查询</w:t>
      </w:r>
    </w:p>
    <w:p>
      <w:pPr>
        <w:pStyle w:val="5"/>
        <w:numPr>
          <w:ilvl w:val="3"/>
          <w:numId w:val="1"/>
        </w:numPr>
        <w:spacing w:before="0" w:after="260" w:line="480" w:lineRule="auto"/>
        <w:ind w:left="0" w:firstLine="0"/>
        <w:jc w:val="both"/>
        <w:rPr>
          <w:rFonts w:cs="Google Sans Text" w:asciiTheme="minorEastAsia" w:hAnsiTheme="minorEastAsia" w:eastAsiaTheme="minorEastAsia"/>
          <w:color w:val="1B1C1D"/>
          <w:sz w:val="24"/>
          <w:szCs w:val="24"/>
        </w:rPr>
      </w:pP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股票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  <w:lang w:val="en-US" w:eastAsia="zh-CN"/>
        </w:rPr>
        <w:t>龙虎榜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数据采集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t> </w:t>
      </w:r>
      <w:r>
        <w:tab/>
      </w:r>
      <w:r>
        <w:t xml:space="preserve">  </w:t>
      </w:r>
      <w:r>
        <w:rPr>
          <w:b/>
          <w:bCs/>
        </w:rPr>
        <w:t>输入：</w:t>
      </w:r>
      <w:r>
        <w:t>交易日期</w:t>
      </w:r>
      <w:r>
        <w:rPr>
          <w:rFonts w:hint="eastAsia"/>
          <w:lang w:eastAsia="zh-CN"/>
        </w:rPr>
        <w:t>。</w:t>
      </w:r>
    </w:p>
    <w:p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股票代码、股票名称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上榜原因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买入金额、卖出金额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买入营业部、卖出营业部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买入占比、卖出占比</w:t>
      </w:r>
    </w:p>
    <w:p>
      <w:pPr>
        <w:bidi w:val="0"/>
        <w:ind w:firstLine="632" w:firstLineChars="300"/>
        <w:rPr>
          <w:b/>
          <w:bCs/>
        </w:rPr>
      </w:pPr>
      <w:r>
        <w:rPr>
          <w:b/>
          <w:bCs/>
        </w:rPr>
        <w:t>处理流程：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每日收盘后采集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支持历史数据查询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异常数据标记</w:t>
      </w:r>
    </w:p>
    <w:p>
      <w:pPr>
        <w:pStyle w:val="5"/>
        <w:numPr>
          <w:ilvl w:val="3"/>
          <w:numId w:val="1"/>
        </w:numPr>
        <w:spacing w:before="0" w:after="260"/>
        <w:ind w:left="0" w:firstLine="0"/>
        <w:jc w:val="both"/>
        <w:rPr>
          <w:rFonts w:cs="Google Sans Text" w:asciiTheme="minorEastAsia" w:hAnsiTheme="minorEastAsia" w:eastAsiaTheme="minorEastAsia"/>
          <w:color w:val="1B1C1D"/>
          <w:sz w:val="24"/>
          <w:szCs w:val="24"/>
        </w:rPr>
      </w:pP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股票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  <w:lang w:val="en-US" w:eastAsia="zh-CN"/>
        </w:rPr>
        <w:t>大宗交易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数据采集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t> </w:t>
      </w:r>
      <w:r>
        <w:tab/>
      </w:r>
      <w:r>
        <w:t xml:space="preserve">  </w:t>
      </w:r>
      <w:r>
        <w:rPr>
          <w:b/>
          <w:bCs/>
        </w:rPr>
        <w:t>输入：</w:t>
      </w:r>
      <w:r>
        <w:rPr>
          <w:rFonts w:hint="eastAsia"/>
          <w:b/>
          <w:bCs/>
          <w:lang w:val="en-US" w:eastAsia="zh-CN"/>
        </w:rPr>
        <w:t xml:space="preserve"> </w:t>
      </w:r>
      <w:r>
        <w:t>交易日期</w:t>
      </w:r>
      <w:r>
        <w:rPr>
          <w:rFonts w:hint="eastAsia"/>
          <w:lang w:eastAsia="zh-CN"/>
        </w:rPr>
        <w:t>。</w:t>
      </w:r>
    </w:p>
    <w:p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rPr>
          <w:rFonts w:hint="eastAsia"/>
          <w:b/>
          <w:bCs/>
          <w:lang w:val="en-US" w:eastAsia="zh-CN"/>
        </w:rPr>
        <w:t xml:space="preserve"> </w:t>
      </w:r>
      <w:r>
        <w:t>包含以下字段的数据表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股票代码、股票名称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成交价格、成交数量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成交金额、折溢价率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买方营业部、卖方营业部</w:t>
      </w:r>
    </w:p>
    <w:p>
      <w:pPr>
        <w:bidi w:val="0"/>
        <w:spacing w:line="360" w:lineRule="auto"/>
        <w:ind w:firstLine="632" w:firstLineChars="300"/>
        <w:rPr>
          <w:b/>
          <w:bCs/>
        </w:rPr>
      </w:pPr>
      <w:r>
        <w:rPr>
          <w:b/>
          <w:bCs/>
        </w:rPr>
        <w:t>处理流程：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实时采集大宗交易数据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支持历史数据查询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数据异常检测</w:t>
      </w:r>
    </w:p>
    <w:p>
      <w:pPr>
        <w:pStyle w:val="5"/>
        <w:numPr>
          <w:ilvl w:val="3"/>
          <w:numId w:val="1"/>
        </w:numPr>
        <w:spacing w:before="0" w:after="260"/>
        <w:ind w:left="0" w:firstLine="0"/>
        <w:jc w:val="both"/>
        <w:rPr>
          <w:rFonts w:cs="Google Sans Text" w:asciiTheme="minorEastAsia" w:hAnsiTheme="minorEastAsia" w:eastAsiaTheme="minorEastAsia"/>
          <w:color w:val="1B1C1D"/>
          <w:sz w:val="24"/>
          <w:szCs w:val="24"/>
        </w:rPr>
      </w:pP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股票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  <w:lang w:val="en-US" w:eastAsia="zh-CN"/>
        </w:rPr>
        <w:t>基本面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数据采集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t> </w:t>
      </w:r>
      <w:r>
        <w:tab/>
      </w:r>
      <w:r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  <w:lang w:val="en-US" w:eastAsia="zh-CN"/>
        </w:rPr>
        <w:t>或股票代码</w:t>
      </w:r>
      <w:r>
        <w:t>列表</w:t>
      </w:r>
      <w:r>
        <w:rPr>
          <w:rFonts w:hint="eastAsia"/>
          <w:lang w:eastAsia="zh-CN"/>
        </w:rPr>
        <w:t>。</w:t>
      </w:r>
    </w:p>
    <w:p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股票代码、股票名称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所属行业、所属概念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主营业务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财务指标（营收、利润、毛利率等）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股东结构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公司治理信息</w:t>
      </w:r>
    </w:p>
    <w:p>
      <w:pPr>
        <w:bidi w:val="0"/>
        <w:spacing w:line="360" w:lineRule="auto"/>
        <w:ind w:firstLine="632" w:firstLineChars="300"/>
        <w:rPr>
          <w:b/>
          <w:bCs/>
        </w:rPr>
      </w:pPr>
      <w:r>
        <w:rPr>
          <w:b/>
          <w:bCs/>
        </w:rPr>
        <w:t>处理流程：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定期更新基本面数据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支持历史数据查询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数据变更追踪</w:t>
      </w:r>
    </w:p>
    <w:p>
      <w:pPr>
        <w:pStyle w:val="5"/>
        <w:numPr>
          <w:ilvl w:val="3"/>
          <w:numId w:val="1"/>
        </w:numPr>
        <w:spacing w:before="0" w:after="260"/>
        <w:ind w:left="0" w:firstLine="0"/>
        <w:jc w:val="both"/>
        <w:rPr>
          <w:rFonts w:cs="Google Sans Text" w:asciiTheme="minorEastAsia" w:hAnsiTheme="minorEastAsia" w:eastAsiaTheme="minorEastAsia"/>
          <w:color w:val="1B1C1D"/>
          <w:sz w:val="24"/>
          <w:szCs w:val="24"/>
        </w:rPr>
      </w:pP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  <w:lang w:val="en-US" w:eastAsia="zh-CN"/>
        </w:rPr>
        <w:t>行业资金流向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数据采集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t> </w:t>
      </w:r>
      <w:r>
        <w:tab/>
      </w:r>
      <w:r>
        <w:t xml:space="preserve">  </w:t>
      </w:r>
      <w:r>
        <w:rPr>
          <w:b/>
          <w:bCs/>
        </w:rPr>
        <w:t>输入：</w:t>
      </w:r>
      <w:r>
        <w:rPr>
          <w:rFonts w:hint="eastAsia"/>
          <w:lang w:val="en-US" w:eastAsia="zh-CN"/>
        </w:rPr>
        <w:t>行业代码</w:t>
      </w:r>
      <w:r>
        <w:rPr>
          <w:rFonts w:hint="eastAsia"/>
          <w:lang w:val="en-US" w:eastAsia="zh-CN"/>
        </w:rPr>
        <w:t>或行业代码</w:t>
      </w:r>
      <w:r>
        <w:t>列表、交易日期</w:t>
      </w:r>
      <w:r>
        <w:rPr>
          <w:rFonts w:hint="eastAsia"/>
          <w:lang w:eastAsia="zh-CN"/>
        </w:rPr>
        <w:t>。</w:t>
      </w:r>
    </w:p>
    <w:p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行业代码、行业名称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行业涨跌幅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行业资金净流入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行业资金净占比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行业成交额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行业换手率</w:t>
      </w:r>
    </w:p>
    <w:p>
      <w:pPr>
        <w:bidi w:val="0"/>
        <w:ind w:firstLine="632" w:firstLineChars="300"/>
        <w:rPr>
          <w:b/>
          <w:bCs/>
        </w:rPr>
      </w:pPr>
      <w:r>
        <w:rPr>
          <w:b/>
          <w:bCs/>
        </w:rPr>
        <w:t>处理流程：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实时计算行业资金流向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支持历史数据查询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行业分类自动更新</w:t>
      </w:r>
    </w:p>
    <w:p>
      <w:pPr>
        <w:pStyle w:val="5"/>
        <w:numPr>
          <w:ilvl w:val="3"/>
          <w:numId w:val="1"/>
        </w:numPr>
        <w:spacing w:before="0" w:after="260"/>
        <w:ind w:left="0" w:firstLine="0"/>
        <w:jc w:val="both"/>
        <w:rPr>
          <w:rFonts w:cs="Google Sans Text" w:asciiTheme="minorEastAsia" w:hAnsiTheme="minorEastAsia" w:eastAsiaTheme="minorEastAsia"/>
          <w:color w:val="1B1C1D"/>
          <w:sz w:val="24"/>
          <w:szCs w:val="24"/>
        </w:rPr>
      </w:pP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  <w:lang w:val="en-US" w:eastAsia="zh-CN"/>
        </w:rPr>
        <w:t>概念资金流向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数据采集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t> </w:t>
      </w:r>
      <w:r>
        <w:tab/>
      </w:r>
      <w:r>
        <w:t xml:space="preserve">  </w:t>
      </w:r>
      <w:r>
        <w:rPr>
          <w:b/>
          <w:bCs/>
        </w:rPr>
        <w:t>输入：</w:t>
      </w:r>
      <w:r>
        <w:rPr>
          <w:rFonts w:hint="eastAsia"/>
          <w:lang w:val="en-US" w:eastAsia="zh-CN"/>
        </w:rPr>
        <w:t>概念</w:t>
      </w:r>
      <w:r>
        <w:rPr>
          <w:rFonts w:hint="eastAsia"/>
          <w:lang w:val="en-US" w:eastAsia="zh-CN"/>
        </w:rPr>
        <w:t>代码或概念代码</w:t>
      </w:r>
      <w:r>
        <w:t>列表、交易日期</w:t>
      </w:r>
      <w:r>
        <w:rPr>
          <w:rFonts w:hint="eastAsia"/>
          <w:lang w:eastAsia="zh-CN"/>
        </w:rPr>
        <w:t>。</w:t>
      </w:r>
    </w:p>
    <w:p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概念代码、概念名称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概念涨跌幅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概念资金净流入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概念资金净占比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概念成交额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概念换手率</w:t>
      </w:r>
    </w:p>
    <w:p>
      <w:pPr>
        <w:bidi w:val="0"/>
        <w:ind w:firstLine="632" w:firstLineChars="300"/>
        <w:rPr>
          <w:b/>
          <w:bCs/>
        </w:rPr>
      </w:pPr>
      <w:r>
        <w:rPr>
          <w:b/>
          <w:bCs/>
        </w:rPr>
        <w:t>处理流程：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实时计算概念资金流向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支持历史数据查询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概念分类自动更新</w:t>
      </w:r>
    </w:p>
    <w:p>
      <w:pPr>
        <w:pStyle w:val="5"/>
        <w:numPr>
          <w:ilvl w:val="3"/>
          <w:numId w:val="1"/>
        </w:numPr>
        <w:spacing w:before="0" w:after="260"/>
        <w:ind w:left="0" w:firstLine="0"/>
        <w:jc w:val="both"/>
        <w:rPr>
          <w:rFonts w:cs="Google Sans Text" w:asciiTheme="minorEastAsia" w:hAnsiTheme="minorEastAsia" w:eastAsiaTheme="minorEastAsia"/>
          <w:color w:val="C00000"/>
          <w:sz w:val="24"/>
          <w:szCs w:val="24"/>
        </w:rPr>
      </w:pPr>
      <w:r>
        <w:rPr>
          <w:rFonts w:hint="eastAsia" w:cs="Google Sans Text" w:asciiTheme="minorEastAsia" w:hAnsiTheme="minorEastAsia" w:eastAsiaTheme="minorEastAsia"/>
          <w:color w:val="C00000"/>
          <w:sz w:val="24"/>
          <w:szCs w:val="24"/>
          <w:lang w:val="en-US" w:eastAsia="zh-CN"/>
        </w:rPr>
        <w:t>ETF</w:t>
      </w:r>
      <w:r>
        <w:rPr>
          <w:rFonts w:hint="eastAsia" w:cs="Google Sans Text" w:asciiTheme="minorEastAsia" w:hAnsiTheme="minorEastAsia" w:eastAsiaTheme="minorEastAsia"/>
          <w:color w:val="C00000"/>
          <w:sz w:val="24"/>
          <w:szCs w:val="24"/>
        </w:rPr>
        <w:t>数据采集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t> </w:t>
      </w:r>
      <w:r>
        <w:tab/>
      </w:r>
      <w:r>
        <w:t xml:space="preserve">  </w:t>
      </w:r>
      <w:r>
        <w:rPr>
          <w:b/>
          <w:bCs/>
        </w:rPr>
        <w:t>输入：</w:t>
      </w:r>
      <w:r>
        <w:rPr>
          <w:rFonts w:hint="eastAsia"/>
          <w:lang w:val="en-US" w:eastAsia="zh-CN"/>
        </w:rPr>
        <w:t>ETF代码或ETF代码</w:t>
      </w:r>
      <w:r>
        <w:t>列表、交易日期</w:t>
      </w:r>
      <w:r>
        <w:rPr>
          <w:rFonts w:hint="eastAsia"/>
          <w:lang w:eastAsia="zh-CN"/>
        </w:rPr>
        <w:t>。</w:t>
      </w:r>
    </w:p>
    <w:p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ETF代码、ETF名称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开盘价、收盘价、最高价、最低价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成交量、成交额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涨跌幅、振幅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换手率、量比</w:t>
      </w:r>
    </w:p>
    <w:p>
      <w:pPr>
        <w:numPr>
          <w:ilvl w:val="0"/>
          <w:numId w:val="10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基金规模、基金净值</w:t>
      </w:r>
    </w:p>
    <w:p>
      <w:pPr>
        <w:bidi w:val="0"/>
        <w:ind w:firstLine="632" w:firstLineChars="300"/>
        <w:rPr>
          <w:b/>
          <w:bCs/>
        </w:rPr>
      </w:pPr>
      <w:r>
        <w:rPr>
          <w:b/>
          <w:bCs/>
        </w:rPr>
        <w:t>处理流程：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实时采集ETF数据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支持历史数据查询</w:t>
      </w:r>
    </w:p>
    <w:p>
      <w:pPr>
        <w:numPr>
          <w:ilvl w:val="0"/>
          <w:numId w:val="11"/>
        </w:numPr>
        <w:bidi w:val="0"/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数据异常检测</w:t>
      </w:r>
    </w:p>
    <w:p>
      <w:pPr>
        <w:snapToGrid w:val="0"/>
        <w:ind w:firstLine="420"/>
        <w:jc w:val="left"/>
        <w:rPr>
          <w:rFonts w:hint="eastAsia"/>
        </w:rPr>
      </w:pPr>
    </w:p>
    <w:p>
      <w:pPr>
        <w:pStyle w:val="4"/>
        <w:numPr>
          <w:ilvl w:val="2"/>
          <w:numId w:val="1"/>
        </w:numPr>
        <w:ind w:left="0" w:firstLine="0"/>
        <w:jc w:val="both"/>
        <w:rPr>
          <w:rFonts w:cs="Google Sans Text" w:asciiTheme="minorEastAsia" w:hAnsiTheme="minorEastAsia"/>
          <w:color w:val="1B1C1D"/>
          <w:sz w:val="24"/>
          <w:szCs w:val="24"/>
        </w:rPr>
      </w:pPr>
      <w:bookmarkStart w:id="91" w:name="_Toc7986"/>
      <w:r>
        <w:rPr>
          <w:rFonts w:cs="Google Sans Text" w:asciiTheme="minorEastAsia" w:hAnsiTheme="minorEastAsia"/>
          <w:color w:val="1B1C1D"/>
          <w:sz w:val="24"/>
          <w:szCs w:val="24"/>
        </w:rPr>
        <w:t>数据源适配</w:t>
      </w:r>
      <w:bookmarkEnd w:id="91"/>
    </w:p>
    <w:p>
      <w:pPr>
        <w:snapToGrid w:val="0"/>
        <w:spacing w:after="120" w:line="360" w:lineRule="auto"/>
        <w:ind w:firstLine="420"/>
        <w:jc w:val="left"/>
      </w:pPr>
      <w:r>
        <w:t>实现与不同第三方数据源API的适配器，能够稳定、高效地采集数据。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2" w:name="_Toc193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数据采集调度</w:t>
      </w:r>
      <w:bookmarkEnd w:id="92"/>
    </w:p>
    <w:p>
      <w:pPr>
        <w:snapToGrid w:val="0"/>
        <w:spacing w:after="120" w:line="360" w:lineRule="auto"/>
        <w:ind w:firstLine="420"/>
        <w:jc w:val="left"/>
      </w:pPr>
      <w:r>
        <w:t>实现灵活的数据采集调度机制，支持不同数据类型、不同股票、不同频率的采集任务。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10" w:name="_GoBack"/>
      <w:bookmarkEnd w:id="110"/>
      <w:bookmarkStart w:id="93" w:name="_Toc24235"/>
      <w:r>
        <w:rPr>
          <w:rFonts w:hint="eastAsia" w:asciiTheme="minorEastAsia" w:hAnsiTheme="minorEastAsia" w:eastAsiaTheme="minorEastAsia"/>
          <w:sz w:val="28"/>
          <w:szCs w:val="28"/>
        </w:rPr>
        <w:t>后端分析与预测</w:t>
      </w:r>
      <w:bookmarkEnd w:id="93"/>
    </w:p>
    <w:p>
      <w:pPr>
        <w:snapToGrid w:val="0"/>
        <w:spacing w:line="360" w:lineRule="auto"/>
        <w:ind w:firstLine="420" w:firstLineChars="200"/>
      </w:pPr>
      <w:r>
        <w:rPr>
          <w:rFonts w:hint="eastAsia"/>
        </w:rPr>
        <w:t>后端分析与预测模块</w:t>
      </w:r>
      <w:r>
        <w:t>负责技术分析计算、预测模型运行和交易建议生成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4" w:name="_Toc2269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技术指标计算服务</w:t>
      </w:r>
      <w:bookmarkEnd w:id="94"/>
    </w:p>
    <w:p>
      <w:pPr>
        <w:snapToGrid w:val="0"/>
        <w:spacing w:line="360" w:lineRule="auto"/>
        <w:ind w:firstLine="420"/>
      </w:pPr>
      <w:r>
        <w:t>实现各种技术指标（MA, RSI, MACD等）的计算逻辑，支持不同周期和参数。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5" w:name="_Toc2821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预测模型实现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（可选）</w:t>
      </w:r>
      <w:bookmarkEnd w:id="95"/>
    </w:p>
    <w:p>
      <w:pPr>
        <w:snapToGrid w:val="0"/>
        <w:spacing w:line="360" w:lineRule="auto"/>
        <w:ind w:firstLine="420"/>
      </w:pPr>
      <w:r>
        <w:t>实现一种或多种股票价格预测模型（如基于时间序列、机器学习、深度学习等）。</w:t>
      </w:r>
    </w:p>
    <w:p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 xml:space="preserve">输入: </w:t>
      </w:r>
      <w:r>
        <w:t>历史行情数据、技术指标、基本面数据（可选）、市场情绪数据（可选）。</w:t>
      </w:r>
    </w:p>
    <w:p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 xml:space="preserve">输出: </w:t>
      </w:r>
      <w:r>
        <w:t>未来价格预测（点位或区间）、预测走势、置信度。</w:t>
      </w:r>
    </w:p>
    <w:p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模型要求: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 xml:space="preserve"> </w:t>
      </w:r>
      <w:r>
        <w:t>具备一定的预测精度，能够定期使用新数据进行训练和优化。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6" w:name="_Toc1244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模型训练与评估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（可选）</w:t>
      </w:r>
      <w:bookmarkEnd w:id="96"/>
    </w:p>
    <w:p>
      <w:pPr>
        <w:snapToGrid w:val="0"/>
        <w:spacing w:line="360" w:lineRule="auto"/>
        <w:ind w:firstLine="420"/>
      </w:pPr>
      <w:r>
        <w:t>提供模型训练、评估和版本管理功能。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cs="Google Sans Text" w:asciiTheme="minorEastAsia" w:hAnsiTheme="minorEastAsia"/>
          <w:color w:val="1B1C1D"/>
          <w:sz w:val="24"/>
          <w:szCs w:val="24"/>
        </w:rPr>
      </w:pPr>
      <w:bookmarkStart w:id="97" w:name="_Toc30499"/>
      <w:r>
        <w:rPr>
          <w:rFonts w:hint="eastAsia" w:ascii="宋体" w:hAnsi="宋体" w:eastAsia="宋体" w:cs="宋体"/>
          <w:color w:val="1B1C1D"/>
          <w:sz w:val="24"/>
          <w:szCs w:val="24"/>
        </w:rPr>
        <w:t>预测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/</w:t>
      </w:r>
      <w:r>
        <w:rPr>
          <w:rFonts w:hint="eastAsia" w:ascii="宋体" w:hAnsi="宋体" w:eastAsia="宋体" w:cs="宋体"/>
          <w:color w:val="1B1C1D"/>
          <w:sz w:val="24"/>
          <w:szCs w:val="24"/>
        </w:rPr>
        <w:t>建议服务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（可选）</w:t>
      </w:r>
      <w:bookmarkEnd w:id="97"/>
    </w:p>
    <w:p>
      <w:pPr>
        <w:spacing w:line="360" w:lineRule="auto"/>
        <w:ind w:firstLine="420"/>
      </w:pPr>
      <w:r>
        <w:t>提供内部接口供后端API调用，执行预测和生成建议</w:t>
      </w:r>
      <w:r>
        <w:rPr>
          <w:rFonts w:hint="eastAsia"/>
        </w:rPr>
        <w:t>。</w:t>
      </w:r>
    </w:p>
    <w:p>
      <w:pPr>
        <w:numPr>
          <w:ilvl w:val="0"/>
          <w:numId w:val="13"/>
        </w:numPr>
        <w:spacing w:line="360" w:lineRule="auto"/>
        <w:jc w:val="left"/>
        <w:rPr>
          <w:b/>
        </w:rPr>
      </w:pPr>
      <w:r>
        <w:rPr>
          <w:b/>
        </w:rPr>
        <w:t>交易建议生成逻辑：</w:t>
      </w:r>
    </w:p>
    <w:p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实现基于预测结果、技术指标信号、或其他策略规则的交易建议生成逻辑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。</w:t>
      </w:r>
    </w:p>
    <w:p>
      <w:pPr>
        <w:spacing w:line="360" w:lineRule="auto"/>
        <w:ind w:firstLine="420"/>
      </w:pPr>
    </w:p>
    <w:p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输出: 交易建议类型（买入/卖出/持有/观望）、建议依据、风险等级。</w:t>
      </w:r>
    </w:p>
    <w:p>
      <w:pPr>
        <w:pStyle w:val="2"/>
        <w:spacing w:line="720" w:lineRule="auto"/>
      </w:pPr>
      <w:bookmarkStart w:id="98" w:name="_Toc30149"/>
      <w:r>
        <w:t>接口需求分析</w:t>
      </w:r>
      <w:bookmarkEnd w:id="98"/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99" w:name="_Toc20878"/>
      <w:r>
        <w:rPr>
          <w:rFonts w:asciiTheme="minorEastAsia" w:hAnsiTheme="minorEastAsia" w:eastAsiaTheme="minorEastAsia"/>
          <w:sz w:val="28"/>
          <w:szCs w:val="28"/>
        </w:rPr>
        <w:t>总体接口说明</w:t>
      </w:r>
      <w:bookmarkEnd w:id="99"/>
    </w:p>
    <w:p>
      <w:pPr>
        <w:spacing w:before="120" w:after="120" w:line="360" w:lineRule="auto"/>
        <w:jc w:val="left"/>
        <w:rPr>
          <w:rFonts w:asciiTheme="minorEastAsia" w:hAnsiTheme="minorEastAsia"/>
          <w:color w:val="000000"/>
          <w:szCs w:val="21"/>
        </w:rPr>
      </w:pP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0" w:name="_Toc3033"/>
      <w:r>
        <w:rPr>
          <w:rFonts w:asciiTheme="minorEastAsia" w:hAnsiTheme="minorEastAsia" w:eastAsiaTheme="minorEastAsia"/>
          <w:sz w:val="28"/>
          <w:szCs w:val="28"/>
        </w:rPr>
        <w:t>接口清单</w:t>
      </w:r>
      <w:bookmarkEnd w:id="100"/>
    </w:p>
    <w:tbl>
      <w:tblPr>
        <w:tblStyle w:val="27"/>
        <w:tblW w:w="9075" w:type="dxa"/>
        <w:tblInd w:w="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</w:tblPr>
      <w:tblGrid>
        <w:gridCol w:w="900"/>
        <w:gridCol w:w="1500"/>
        <w:gridCol w:w="1559"/>
        <w:gridCol w:w="5116"/>
      </w:tblGrid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60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源系统</w:t>
            </w: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目标系统</w:t>
            </w: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接口说明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4"/>
              </w:numPr>
              <w:ind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4"/>
              </w:numPr>
              <w:ind w:left="300"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4"/>
              </w:numPr>
              <w:ind w:left="300"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4"/>
              </w:numPr>
              <w:ind w:left="300"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4"/>
              </w:numPr>
              <w:ind w:left="300"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4"/>
              </w:numPr>
              <w:ind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4"/>
              </w:numPr>
              <w:ind w:left="300"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4"/>
              </w:numPr>
              <w:ind w:left="353" w:right="-6" w:rightChars="-3" w:hanging="352" w:hangingChars="19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4"/>
              </w:numPr>
              <w:ind w:left="353" w:right="-6" w:rightChars="-3" w:hanging="352" w:hangingChars="19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4"/>
              </w:numPr>
              <w:ind w:left="353" w:right="-6" w:rightChars="-3" w:hanging="352" w:hangingChars="19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</w:tbl>
    <w:p>
      <w:pPr>
        <w:pStyle w:val="2"/>
        <w:spacing w:line="720" w:lineRule="auto"/>
      </w:pPr>
      <w:bookmarkStart w:id="101" w:name="_Toc13808"/>
      <w:r>
        <w:t>其他非功能需求</w:t>
      </w:r>
      <w:bookmarkEnd w:id="101"/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2" w:name="_Toc9970"/>
      <w:r>
        <w:rPr>
          <w:rFonts w:asciiTheme="minorEastAsia" w:hAnsiTheme="minorEastAsia" w:eastAsiaTheme="minorEastAsia"/>
          <w:sz w:val="28"/>
          <w:szCs w:val="28"/>
        </w:rPr>
        <w:t>性能需求</w:t>
      </w:r>
      <w:bookmarkEnd w:id="102"/>
    </w:p>
    <w:p>
      <w:pPr>
        <w:numPr>
          <w:ilvl w:val="1"/>
          <w:numId w:val="15"/>
        </w:numPr>
        <w:spacing w:line="360" w:lineRule="auto"/>
        <w:jc w:val="left"/>
      </w:pPr>
      <w:r>
        <w:t>行情数据延迟：实时行情数据在数据源更新后，前端展示延迟不超过 [5] 秒。</w:t>
      </w:r>
    </w:p>
    <w:p>
      <w:pPr>
        <w:numPr>
          <w:ilvl w:val="1"/>
          <w:numId w:val="15"/>
        </w:numPr>
        <w:spacing w:line="360" w:lineRule="auto"/>
        <w:jc w:val="left"/>
      </w:pPr>
      <w:r>
        <w:t>页面加载速度：各主要页面（自选、个股详情）加载时间不超过 [5] 秒。</w:t>
      </w:r>
    </w:p>
    <w:p>
      <w:pPr>
        <w:numPr>
          <w:ilvl w:val="1"/>
          <w:numId w:val="15"/>
        </w:numPr>
        <w:spacing w:line="360" w:lineRule="auto"/>
        <w:jc w:val="left"/>
      </w:pPr>
      <w:r>
        <w:t>图表响应：K线图缩放、平移、切换周期、叠加指标等操作响应流畅，延迟不超过 [500] 毫秒。</w:t>
      </w:r>
    </w:p>
    <w:p>
      <w:pPr>
        <w:numPr>
          <w:ilvl w:val="1"/>
          <w:numId w:val="15"/>
        </w:numPr>
        <w:spacing w:line="360" w:lineRule="auto"/>
        <w:jc w:val="left"/>
      </w:pPr>
      <w:r>
        <w:t>API响应时间：大多数API请求应在 [5] 秒内响应。</w:t>
      </w:r>
    </w:p>
    <w:p>
      <w:pPr>
        <w:numPr>
          <w:ilvl w:val="1"/>
          <w:numId w:val="15"/>
        </w:numPr>
        <w:spacing w:line="360" w:lineRule="auto"/>
        <w:jc w:val="left"/>
      </w:pPr>
      <w:r>
        <w:t>数据采集效率：能够在规定时间内完成日终、周终等数据采集任务。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3" w:name="_Toc22411"/>
      <w:r>
        <w:rPr>
          <w:rFonts w:asciiTheme="minorEastAsia" w:hAnsiTheme="minorEastAsia" w:eastAsiaTheme="minorEastAsia"/>
          <w:sz w:val="28"/>
          <w:szCs w:val="28"/>
        </w:rPr>
        <w:t>安全性需求</w:t>
      </w:r>
      <w:bookmarkEnd w:id="103"/>
    </w:p>
    <w:p>
      <w:pPr>
        <w:numPr>
          <w:ilvl w:val="1"/>
          <w:numId w:val="16"/>
        </w:numPr>
        <w:spacing w:line="360" w:lineRule="auto"/>
        <w:jc w:val="left"/>
      </w:pPr>
      <w:r>
        <w:t>用户认证与授权：确保用户账号安全，API调用权限控制。</w:t>
      </w:r>
    </w:p>
    <w:p>
      <w:pPr>
        <w:numPr>
          <w:ilvl w:val="1"/>
          <w:numId w:val="16"/>
        </w:numPr>
        <w:spacing w:line="360" w:lineRule="auto"/>
        <w:jc w:val="left"/>
      </w:pPr>
      <w:r>
        <w:t>数据传输安全：前后端、后端各服务之间使用加密通信（HTTPS, TLS）。</w:t>
      </w:r>
    </w:p>
    <w:p>
      <w:pPr>
        <w:numPr>
          <w:ilvl w:val="1"/>
          <w:numId w:val="16"/>
        </w:numPr>
        <w:spacing w:line="360" w:lineRule="auto"/>
        <w:jc w:val="left"/>
      </w:pPr>
      <w:r>
        <w:t>敏感数据保护：用户密码、API密钥等敏感信息加密存储，防止数据泄露。</w:t>
      </w:r>
    </w:p>
    <w:p>
      <w:pPr>
        <w:numPr>
          <w:ilvl w:val="1"/>
          <w:numId w:val="16"/>
        </w:numPr>
        <w:spacing w:line="360" w:lineRule="auto"/>
        <w:jc w:val="left"/>
      </w:pPr>
      <w:r>
        <w:t>防御常见攻击：防御SQL注入、XSS、CSRF、DDoS等安全威胁。</w:t>
      </w:r>
    </w:p>
    <w:p>
      <w:pPr>
        <w:numPr>
          <w:ilvl w:val="1"/>
          <w:numId w:val="16"/>
        </w:numPr>
        <w:spacing w:line="360" w:lineRule="auto"/>
        <w:jc w:val="left"/>
      </w:pPr>
      <w:r>
        <w:t>预测模型安全：保护预测模型算法和数据不被非法获取。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4" w:name="_Toc1683"/>
      <w:r>
        <w:rPr>
          <w:rFonts w:asciiTheme="minorEastAsia" w:hAnsiTheme="minorEastAsia" w:eastAsiaTheme="minorEastAsia"/>
          <w:sz w:val="28"/>
          <w:szCs w:val="28"/>
        </w:rPr>
        <w:t>高可用性需求</w:t>
      </w:r>
      <w:bookmarkEnd w:id="104"/>
    </w:p>
    <w:p>
      <w:pPr>
        <w:numPr>
          <w:ilvl w:val="1"/>
          <w:numId w:val="16"/>
        </w:numPr>
        <w:spacing w:line="360" w:lineRule="auto"/>
        <w:jc w:val="left"/>
      </w:pPr>
      <w:r>
        <w:t>系统可用性：系统核心功能（行情、个股详情）年可用率目标达到 [99% 或更高]。</w:t>
      </w:r>
    </w:p>
    <w:p>
      <w:pPr>
        <w:numPr>
          <w:ilvl w:val="1"/>
          <w:numId w:val="16"/>
        </w:numPr>
        <w:spacing w:line="360" w:lineRule="auto"/>
        <w:jc w:val="left"/>
      </w:pPr>
      <w:r>
        <w:t>数据一致性：确保存储和展示的数据准确和一致。</w:t>
      </w:r>
    </w:p>
    <w:p>
      <w:pPr>
        <w:numPr>
          <w:ilvl w:val="1"/>
          <w:numId w:val="16"/>
        </w:numPr>
        <w:spacing w:line="360" w:lineRule="auto"/>
        <w:jc w:val="left"/>
      </w:pPr>
      <w:r>
        <w:t>容错性：系统应能处理部分组件故障，避免整个系统崩溃。</w:t>
      </w:r>
    </w:p>
    <w:p>
      <w:pPr>
        <w:numPr>
          <w:ilvl w:val="1"/>
          <w:numId w:val="16"/>
        </w:numPr>
        <w:spacing w:line="360" w:lineRule="auto"/>
        <w:jc w:val="left"/>
      </w:pPr>
      <w:r>
        <w:t>数据备份与恢复：定期备份数据，具备快速恢复能力。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5" w:name="_Toc5107"/>
      <w:r>
        <w:rPr>
          <w:rFonts w:asciiTheme="minorEastAsia" w:hAnsiTheme="minorEastAsia" w:eastAsiaTheme="minorEastAsia"/>
          <w:sz w:val="28"/>
          <w:szCs w:val="28"/>
        </w:rPr>
        <w:t>扩展性需求</w:t>
      </w:r>
      <w:bookmarkEnd w:id="105"/>
    </w:p>
    <w:p>
      <w:pPr>
        <w:spacing w:before="120" w:after="120" w:line="360" w:lineRule="auto"/>
        <w:ind w:firstLine="360"/>
      </w:pPr>
      <w:r>
        <w:t>系统架构应支持未来用户量和数据量的增长，可以通过增加服务器资源进行水平扩展。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6" w:name="_Toc17818"/>
      <w:r>
        <w:rPr>
          <w:rFonts w:asciiTheme="minorEastAsia" w:hAnsiTheme="minorEastAsia" w:eastAsiaTheme="minorEastAsia"/>
          <w:sz w:val="28"/>
          <w:szCs w:val="28"/>
        </w:rPr>
        <w:t>可维护性需求</w:t>
      </w:r>
      <w:bookmarkEnd w:id="106"/>
    </w:p>
    <w:p>
      <w:pPr>
        <w:numPr>
          <w:ilvl w:val="1"/>
          <w:numId w:val="16"/>
        </w:numPr>
        <w:spacing w:line="360" w:lineRule="auto"/>
        <w:jc w:val="left"/>
      </w:pPr>
      <w:r>
        <w:t>代码结构：模块化设计，代码清晰，易于理解和修改。</w:t>
      </w:r>
    </w:p>
    <w:p>
      <w:pPr>
        <w:numPr>
          <w:ilvl w:val="1"/>
          <w:numId w:val="16"/>
        </w:numPr>
        <w:spacing w:line="360" w:lineRule="auto"/>
        <w:jc w:val="left"/>
      </w:pPr>
      <w:r>
        <w:t>文档：提供详细的开发文档、API文档、部署文档。</w:t>
      </w:r>
    </w:p>
    <w:p>
      <w:pPr>
        <w:numPr>
          <w:ilvl w:val="1"/>
          <w:numId w:val="16"/>
        </w:numPr>
        <w:spacing w:line="360" w:lineRule="auto"/>
        <w:jc w:val="left"/>
      </w:pPr>
      <w:r>
        <w:t>监控：提供系统运行状态、性能、错误等的监控能力。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7" w:name="_Toc26561"/>
      <w:r>
        <w:rPr>
          <w:rFonts w:hint="eastAsia" w:asciiTheme="minorEastAsia" w:hAnsiTheme="minorEastAsia" w:eastAsiaTheme="minorEastAsia"/>
          <w:sz w:val="28"/>
          <w:szCs w:val="28"/>
        </w:rPr>
        <w:t>易用</w:t>
      </w:r>
      <w:r>
        <w:rPr>
          <w:rFonts w:asciiTheme="minorEastAsia" w:hAnsiTheme="minorEastAsia" w:eastAsiaTheme="minorEastAsia"/>
          <w:sz w:val="28"/>
          <w:szCs w:val="28"/>
        </w:rPr>
        <w:t>性需求</w:t>
      </w:r>
      <w:bookmarkEnd w:id="107"/>
    </w:p>
    <w:p>
      <w:pPr>
        <w:numPr>
          <w:ilvl w:val="1"/>
          <w:numId w:val="16"/>
        </w:numPr>
        <w:spacing w:line="360" w:lineRule="auto"/>
        <w:jc w:val="left"/>
      </w:pPr>
      <w:r>
        <w:rPr>
          <w:rFonts w:hint="eastAsia"/>
        </w:rPr>
        <w:t>web</w:t>
      </w:r>
      <w:r>
        <w:t>端UI/UX：界面设计符合移动端操作习惯，布局合理，视觉清晰。</w:t>
      </w:r>
    </w:p>
    <w:p>
      <w:pPr>
        <w:numPr>
          <w:ilvl w:val="1"/>
          <w:numId w:val="16"/>
        </w:numPr>
        <w:spacing w:line="360" w:lineRule="auto"/>
        <w:jc w:val="left"/>
      </w:pPr>
      <w:r>
        <w:t>图表交互：图表操作直观便捷。</w:t>
      </w:r>
    </w:p>
    <w:p>
      <w:pPr>
        <w:numPr>
          <w:ilvl w:val="1"/>
          <w:numId w:val="16"/>
        </w:numPr>
        <w:spacing w:line="360" w:lineRule="auto"/>
        <w:jc w:val="left"/>
      </w:pPr>
      <w:r>
        <w:t>信息展示：关键信息醒目，易于理解。</w:t>
      </w:r>
    </w:p>
    <w:p>
      <w:pPr>
        <w:numPr>
          <w:ilvl w:val="1"/>
          <w:numId w:val="16"/>
        </w:numPr>
        <w:spacing w:line="360" w:lineRule="auto"/>
        <w:jc w:val="left"/>
      </w:pPr>
      <w:r>
        <w:t>错误提示：错误信息友好，提供帮助指引。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8" w:name="_Toc20134"/>
      <w:r>
        <w:rPr>
          <w:rFonts w:hint="eastAsia" w:asciiTheme="minorEastAsia" w:hAnsiTheme="minorEastAsia" w:eastAsiaTheme="minorEastAsia"/>
          <w:sz w:val="28"/>
          <w:szCs w:val="28"/>
        </w:rPr>
        <w:t>兼容</w:t>
      </w:r>
      <w:r>
        <w:rPr>
          <w:rFonts w:asciiTheme="minorEastAsia" w:hAnsiTheme="minorEastAsia" w:eastAsiaTheme="minorEastAsia"/>
          <w:sz w:val="28"/>
          <w:szCs w:val="28"/>
        </w:rPr>
        <w:t>性需求</w:t>
      </w:r>
      <w:bookmarkEnd w:id="108"/>
    </w:p>
    <w:p>
      <w:pPr>
        <w:numPr>
          <w:ilvl w:val="1"/>
          <w:numId w:val="16"/>
        </w:numPr>
        <w:spacing w:line="360" w:lineRule="auto"/>
        <w:jc w:val="left"/>
      </w:pPr>
      <w:r>
        <w:t>Web</w:t>
      </w:r>
      <w:r>
        <w:rPr>
          <w:rFonts w:hint="eastAsia"/>
        </w:rPr>
        <w:t>平台</w:t>
      </w:r>
      <w:r>
        <w:t>支持主流的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浏览器</w:t>
      </w:r>
      <w:r>
        <w:t>。</w:t>
      </w:r>
    </w:p>
    <w:p>
      <w:pPr>
        <w:numPr>
          <w:ilvl w:val="1"/>
          <w:numId w:val="16"/>
        </w:numPr>
        <w:spacing w:line="360" w:lineRule="auto"/>
        <w:jc w:val="left"/>
      </w:pPr>
      <w:r>
        <w:t>网络环境：在不同网络环境（Wi-Fi, 4G/5G）下均能正常使用，考虑弱网优化。</w:t>
      </w:r>
    </w:p>
    <w:p>
      <w:pPr>
        <w:pStyle w:val="2"/>
        <w:spacing w:line="720" w:lineRule="auto"/>
      </w:pPr>
      <w:bookmarkStart w:id="109" w:name="_Toc6619"/>
      <w:r>
        <w:t>附录</w:t>
      </w:r>
      <w:bookmarkEnd w:id="109"/>
    </w:p>
    <w:p/>
    <w:p>
      <w:pPr>
        <w:spacing w:before="240" w:line="300" w:lineRule="auto"/>
        <w:ind w:left="420"/>
        <w:rPr>
          <w:rFonts w:asciiTheme="minorEastAsia" w:hAnsiTheme="minorEastAsia"/>
          <w:color w:val="000000"/>
          <w:szCs w:val="21"/>
        </w:rPr>
      </w:pPr>
    </w:p>
    <w:sectPr>
      <w:headerReference r:id="rId5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Book Antiqua">
    <w:altName w:val="Segoe Print"/>
    <w:panose1 w:val="00000000000000000000"/>
    <w:charset w:val="00"/>
    <w:family w:val="roman"/>
    <w:pitch w:val="default"/>
    <w:sig w:usb0="00000000" w:usb1="00000000" w:usb2="00000000" w:usb3="00000000" w:csb0="2000009F" w:csb1="DFD70000"/>
  </w:font>
  <w:font w:name="Google Sans Tex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pBdr>
        <w:top w:val="single" w:color="auto" w:sz="6" w:space="4"/>
      </w:pBdr>
      <w:tabs>
        <w:tab w:val="left" w:pos="0"/>
        <w:tab w:val="right" w:pos="9450"/>
        <w:tab w:val="clear" w:pos="4153"/>
        <w:tab w:val="clear" w:pos="8306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>
      <w:rPr>
        <w:rFonts w:ascii="Arial" w:hAnsi="Arial" w:cs="Arial"/>
        <w:b/>
        <w:sz w:val="20"/>
        <w:szCs w:val="21"/>
      </w:rPr>
      <w:t>37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>
      <w:rPr>
        <w:rFonts w:ascii="Arial" w:hAnsi="Arial" w:cs="Arial"/>
        <w:b/>
        <w:sz w:val="20"/>
        <w:szCs w:val="21"/>
      </w:rPr>
      <w:t>40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tabs>
        <w:tab w:val="left" w:pos="540"/>
      </w:tabs>
      <w:ind w:right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sdt>
      <w:sdtPr>
        <w:id w:val="-1"/>
        <w:lock w:val="sdtContentLocked"/>
      </w:sdtPr>
      <w:sdtContent>
        <w:r>
          <w:rPr>
            <w:lang w:eastAsia="zh-TW"/>
          </w:rPr>
          <w:pict>
            <v:shape id="PowerPlusWaterMarkObject357476642" o:spid="_x0000_s2049" o:spt="136" type="#_x0000_t136" style="position:absolute;left:0pt;height:131.95pt;width:527.85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    <v:path/>
              <v:fill on="t" opacity="32768f" focussize="0,0"/>
              <v:stroke on="f"/>
              <v:imagedata o:title=""/>
              <o:lock v:ext="edit"/>
              <v:textpath on="f" fitpath="t" trim="t" xscale="f" string="" style="font-size:36pt;v-text-align:center;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0765D0"/>
    <w:multiLevelType w:val="singleLevel"/>
    <w:tmpl w:val="890765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FAF1F43"/>
    <w:multiLevelType w:val="multilevel"/>
    <w:tmpl w:val="9FAF1F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A73C3D8B"/>
    <w:multiLevelType w:val="multilevel"/>
    <w:tmpl w:val="A73C3D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AA784525"/>
    <w:multiLevelType w:val="multilevel"/>
    <w:tmpl w:val="AA7845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D4F6CF6C"/>
    <w:multiLevelType w:val="multilevel"/>
    <w:tmpl w:val="D4F6CF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E90818FC"/>
    <w:multiLevelType w:val="singleLevel"/>
    <w:tmpl w:val="E90818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A92A75C"/>
    <w:multiLevelType w:val="multilevel"/>
    <w:tmpl w:val="FA92A7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24A0A18"/>
    <w:multiLevelType w:val="multilevel"/>
    <w:tmpl w:val="024A0A18"/>
    <w:lvl w:ilvl="0" w:tentative="0">
      <w:start w:val="1"/>
      <w:numFmt w:val="bullet"/>
      <w:lvlText w:val="●"/>
      <w:lvlJc w:val="left"/>
      <w:pPr>
        <w:ind w:left="46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 w:tentative="0">
      <w:start w:val="1"/>
      <w:numFmt w:val="bullet"/>
      <w:lvlText w:val="○"/>
      <w:lvlJc w:val="left"/>
      <w:pPr>
        <w:ind w:left="87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 w:tentative="0">
      <w:start w:val="1"/>
      <w:numFmt w:val="bullet"/>
      <w:lvlText w:val="■"/>
      <w:lvlJc w:val="left"/>
      <w:pPr>
        <w:ind w:left="28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 w:tentative="0">
      <w:start w:val="1"/>
      <w:numFmt w:val="bullet"/>
      <w:lvlText w:val="■"/>
      <w:lvlJc w:val="left"/>
      <w:pPr>
        <w:ind w:left="360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 w:tentative="0">
      <w:start w:val="1"/>
      <w:numFmt w:val="bullet"/>
      <w:lvlText w:val="■"/>
      <w:lvlJc w:val="left"/>
      <w:pPr>
        <w:ind w:left="504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 w:tentative="0">
      <w:start w:val="1"/>
      <w:numFmt w:val="bullet"/>
      <w:lvlText w:val="■"/>
      <w:lvlJc w:val="left"/>
      <w:pPr>
        <w:ind w:left="57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>
    <w:nsid w:val="055076DE"/>
    <w:multiLevelType w:val="multilevel"/>
    <w:tmpl w:val="055076DE"/>
    <w:lvl w:ilvl="0" w:tentative="0">
      <w:start w:val="1"/>
      <w:numFmt w:val="decimal"/>
      <w:pStyle w:val="2"/>
      <w:lvlText w:val="%1."/>
      <w:lvlJc w:val="left"/>
      <w:pPr>
        <w:ind w:left="420" w:hanging="420"/>
      </w:pPr>
      <w:rPr>
        <w:rFonts w:hint="default" w:asciiTheme="minorEastAsia" w:hAnsiTheme="minorEastAsia" w:eastAsiaTheme="minorEastAsia"/>
        <w:b w:val="0"/>
        <w:bCs w:val="0"/>
        <w:i w:val="0"/>
        <w:iCs/>
        <w:sz w:val="24"/>
        <w:szCs w:val="24"/>
        <w:u w:val="none"/>
      </w:rPr>
    </w:lvl>
    <w:lvl w:ilvl="1" w:tentative="0">
      <w:start w:val="1"/>
      <w:numFmt w:val="decimal"/>
      <w:lvlText w:val="%1.%2."/>
      <w:lvlJc w:val="left"/>
      <w:pPr>
        <w:ind w:left="420" w:hanging="420"/>
      </w:pPr>
      <w:rPr>
        <w:rFonts w:hint="default" w:ascii="黑体" w:hAnsi="黑体" w:eastAsia="黑体"/>
        <w:b/>
        <w:bCs/>
        <w:i/>
        <w:sz w:val="28"/>
        <w:szCs w:val="28"/>
        <w:u w:val="single"/>
      </w:rPr>
    </w:lvl>
    <w:lvl w:ilvl="2" w:tentative="0">
      <w:start w:val="1"/>
      <w:numFmt w:val="decimal"/>
      <w:lvlText w:val="%1.%2.%3."/>
      <w:lvlJc w:val="left"/>
      <w:pPr>
        <w:ind w:left="420" w:hanging="420"/>
      </w:pPr>
      <w:rPr>
        <w:rFonts w:hint="default" w:ascii="黑体" w:hAnsi="黑体" w:eastAsia="黑体"/>
        <w:b/>
        <w:bCs/>
        <w:i/>
        <w:sz w:val="28"/>
        <w:szCs w:val="28"/>
        <w:u w:val="single"/>
      </w:rPr>
    </w:lvl>
    <w:lvl w:ilvl="3" w:tentative="0">
      <w:start w:val="1"/>
      <w:numFmt w:val="decimal"/>
      <w:lvlText w:val="%1.%2.%3.%4."/>
      <w:lvlJc w:val="left"/>
      <w:pPr>
        <w:ind w:left="1256" w:hanging="420"/>
      </w:pPr>
      <w:rPr>
        <w:rFonts w:hint="default" w:ascii="黑体" w:hAnsi="黑体" w:eastAsia="黑体"/>
        <w:b/>
        <w:bCs/>
        <w:i/>
        <w:sz w:val="28"/>
        <w:szCs w:val="28"/>
        <w:u w:val="single"/>
      </w:rPr>
    </w:lvl>
    <w:lvl w:ilvl="4" w:tentative="0">
      <w:start w:val="1"/>
      <w:numFmt w:val="decimal"/>
      <w:lvlText w:val="%1.%2.%3.%4.%5."/>
      <w:lvlJc w:val="left"/>
      <w:pPr>
        <w:ind w:left="1669" w:hanging="420"/>
      </w:pPr>
      <w:rPr>
        <w:rFonts w:hint="default" w:ascii="宋体" w:hAnsi="宋体" w:eastAsia="宋体"/>
        <w:bCs/>
      </w:rPr>
    </w:lvl>
    <w:lvl w:ilvl="5" w:tentative="0">
      <w:start w:val="1"/>
      <w:numFmt w:val="decimal"/>
      <w:lvlText w:val="%1.%2.%3.%4.%5.%6."/>
      <w:lvlJc w:val="left"/>
      <w:pPr>
        <w:ind w:left="1947" w:hanging="420"/>
      </w:pPr>
      <w:rPr>
        <w:rFonts w:hint="default" w:ascii="宋体" w:hAnsi="宋体" w:eastAsia="宋体"/>
        <w:bCs/>
      </w:rPr>
    </w:lvl>
    <w:lvl w:ilvl="6" w:tentative="0">
      <w:start w:val="1"/>
      <w:numFmt w:val="decimal"/>
      <w:lvlText w:val="%1.%2.%3.%4.%5.%6.%7."/>
      <w:lvlJc w:val="left"/>
      <w:pPr>
        <w:ind w:left="2940" w:hanging="420"/>
      </w:pPr>
      <w:rPr>
        <w:rFonts w:hint="default" w:ascii="宋体" w:hAnsi="宋体" w:eastAsia="宋体"/>
        <w:bCs/>
      </w:rPr>
    </w:lvl>
    <w:lvl w:ilvl="7" w:tentative="0">
      <w:start w:val="1"/>
      <w:numFmt w:val="decimal"/>
      <w:lvlText w:val="%1.%2.%3.%4.%5.%6.%7.%8."/>
      <w:lvlJc w:val="left"/>
      <w:pPr>
        <w:ind w:left="3360" w:hanging="420"/>
      </w:pPr>
      <w:rPr>
        <w:rFonts w:hint="default" w:ascii="宋体" w:hAnsi="宋体" w:eastAsia="宋体"/>
        <w:bCs/>
      </w:rPr>
    </w:lvl>
    <w:lvl w:ilvl="8" w:tentative="0">
      <w:start w:val="1"/>
      <w:numFmt w:val="decimal"/>
      <w:lvlText w:val="%1.%2.%3.%4.%5.%6.%7.%8.%9."/>
      <w:lvlJc w:val="left"/>
      <w:pPr>
        <w:ind w:left="3780" w:hanging="420"/>
      </w:pPr>
      <w:rPr>
        <w:rFonts w:hint="default" w:ascii="宋体" w:hAnsi="宋体" w:eastAsia="宋体"/>
        <w:bCs/>
      </w:rPr>
    </w:lvl>
  </w:abstractNum>
  <w:abstractNum w:abstractNumId="9">
    <w:nsid w:val="236B0037"/>
    <w:multiLevelType w:val="multilevel"/>
    <w:tmpl w:val="236B003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宋体" w:hAnsi="宋体" w:eastAsia="宋体"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宋体" w:hAnsi="宋体" w:eastAsia="宋体"/>
        <w:bCs/>
      </w:rPr>
    </w:lvl>
    <w:lvl w:ilvl="2" w:tentative="0">
      <w:start w:val="1"/>
      <w:numFmt w:val="lowerRoman"/>
      <w:lvlText w:val="%3."/>
      <w:lvlJc w:val="left"/>
      <w:pPr>
        <w:ind w:left="1260" w:hanging="420"/>
      </w:pPr>
      <w:rPr>
        <w:rFonts w:hint="default" w:ascii="宋体" w:hAnsi="宋体" w:eastAsia="宋体"/>
        <w:bCs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宋体" w:hAnsi="宋体" w:eastAsia="宋体"/>
        <w:bCs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宋体" w:hAnsi="宋体" w:eastAsia="宋体"/>
        <w:bCs/>
      </w:rPr>
    </w:lvl>
    <w:lvl w:ilvl="5" w:tentative="0">
      <w:start w:val="1"/>
      <w:numFmt w:val="lowerRoman"/>
      <w:lvlText w:val="%6."/>
      <w:lvlJc w:val="left"/>
      <w:pPr>
        <w:ind w:left="2520" w:hanging="420"/>
      </w:pPr>
      <w:rPr>
        <w:rFonts w:hint="default" w:ascii="宋体" w:hAnsi="宋体" w:eastAsia="宋体"/>
        <w:bCs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宋体" w:hAnsi="宋体" w:eastAsia="宋体"/>
        <w:bCs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宋体" w:hAnsi="宋体" w:eastAsia="宋体"/>
        <w:bCs/>
      </w:rPr>
    </w:lvl>
    <w:lvl w:ilvl="8" w:tentative="0">
      <w:start w:val="1"/>
      <w:numFmt w:val="lowerRoman"/>
      <w:lvlText w:val="%9."/>
      <w:lvlJc w:val="left"/>
      <w:pPr>
        <w:ind w:left="3780" w:hanging="420"/>
      </w:pPr>
      <w:rPr>
        <w:rFonts w:hint="default" w:ascii="宋体" w:hAnsi="宋体" w:eastAsia="宋体"/>
        <w:bCs/>
      </w:rPr>
    </w:lvl>
  </w:abstractNum>
  <w:abstractNum w:abstractNumId="10">
    <w:nsid w:val="254D2EB8"/>
    <w:multiLevelType w:val="multilevel"/>
    <w:tmpl w:val="254D2EB8"/>
    <w:lvl w:ilvl="0" w:tentative="0">
      <w:start w:val="1"/>
      <w:numFmt w:val="bullet"/>
      <w:lvlText w:val="●"/>
      <w:lvlJc w:val="left"/>
      <w:pPr>
        <w:ind w:left="7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 w:tentative="0">
      <w:start w:val="1"/>
      <w:numFmt w:val="bullet"/>
      <w:lvlText w:val="○"/>
      <w:lvlJc w:val="left"/>
      <w:pPr>
        <w:ind w:left="118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 w:tentative="0">
      <w:start w:val="1"/>
      <w:numFmt w:val="bullet"/>
      <w:lvlText w:val="■"/>
      <w:lvlJc w:val="left"/>
      <w:pPr>
        <w:ind w:left="247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 w:tentative="0">
      <w:start w:val="1"/>
      <w:numFmt w:val="bullet"/>
      <w:lvlText w:val="■"/>
      <w:lvlJc w:val="left"/>
      <w:pPr>
        <w:ind w:left="319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 w:tentative="0">
      <w:start w:val="1"/>
      <w:numFmt w:val="bullet"/>
      <w:lvlText w:val="■"/>
      <w:lvlJc w:val="left"/>
      <w:pPr>
        <w:ind w:left="391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 w:tentative="0">
      <w:start w:val="1"/>
      <w:numFmt w:val="bullet"/>
      <w:lvlText w:val="■"/>
      <w:lvlJc w:val="left"/>
      <w:pPr>
        <w:ind w:left="463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 w:tentative="0">
      <w:start w:val="1"/>
      <w:numFmt w:val="bullet"/>
      <w:lvlText w:val="■"/>
      <w:lvlJc w:val="left"/>
      <w:pPr>
        <w:ind w:left="535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 w:tentative="0">
      <w:start w:val="1"/>
      <w:numFmt w:val="bullet"/>
      <w:lvlText w:val="■"/>
      <w:lvlJc w:val="left"/>
      <w:pPr>
        <w:ind w:left="607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 w:tentative="0">
      <w:start w:val="1"/>
      <w:numFmt w:val="bullet"/>
      <w:lvlText w:val="■"/>
      <w:lvlJc w:val="left"/>
      <w:pPr>
        <w:ind w:left="679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>
    <w:nsid w:val="25915595"/>
    <w:multiLevelType w:val="multilevel"/>
    <w:tmpl w:val="25915595"/>
    <w:lvl w:ilvl="0" w:tentative="0">
      <w:start w:val="1"/>
      <w:numFmt w:val="bullet"/>
      <w:lvlText w:val="●"/>
      <w:lvlJc w:val="left"/>
      <w:pPr>
        <w:ind w:left="46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 w:tentative="0">
      <w:start w:val="1"/>
      <w:numFmt w:val="bullet"/>
      <w:lvlText w:val="○"/>
      <w:lvlJc w:val="left"/>
      <w:pPr>
        <w:ind w:left="87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 w:tentative="0">
      <w:start w:val="1"/>
      <w:numFmt w:val="bullet"/>
      <w:lvlText w:val="■"/>
      <w:lvlJc w:val="left"/>
      <w:pPr>
        <w:ind w:left="28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 w:tentative="0">
      <w:start w:val="1"/>
      <w:numFmt w:val="bullet"/>
      <w:lvlText w:val="■"/>
      <w:lvlJc w:val="left"/>
      <w:pPr>
        <w:ind w:left="360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 w:tentative="0">
      <w:start w:val="1"/>
      <w:numFmt w:val="bullet"/>
      <w:lvlText w:val="■"/>
      <w:lvlJc w:val="left"/>
      <w:pPr>
        <w:ind w:left="504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 w:tentative="0">
      <w:start w:val="1"/>
      <w:numFmt w:val="bullet"/>
      <w:lvlText w:val="■"/>
      <w:lvlJc w:val="left"/>
      <w:pPr>
        <w:ind w:left="57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>
    <w:nsid w:val="5A0C4145"/>
    <w:multiLevelType w:val="multilevel"/>
    <w:tmpl w:val="5A0C4145"/>
    <w:lvl w:ilvl="0" w:tentative="0">
      <w:start w:val="1"/>
      <w:numFmt w:val="bullet"/>
      <w:lvlText w:val="●"/>
      <w:lvlJc w:val="left"/>
      <w:pPr>
        <w:ind w:left="46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 w:tentative="0">
      <w:start w:val="1"/>
      <w:numFmt w:val="bullet"/>
      <w:lvlText w:val="○"/>
      <w:lvlJc w:val="left"/>
      <w:pPr>
        <w:ind w:left="87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 w:tentative="0">
      <w:start w:val="1"/>
      <w:numFmt w:val="bullet"/>
      <w:lvlText w:val="■"/>
      <w:lvlJc w:val="left"/>
      <w:pPr>
        <w:ind w:left="28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 w:tentative="0">
      <w:start w:val="1"/>
      <w:numFmt w:val="bullet"/>
      <w:lvlText w:val="■"/>
      <w:lvlJc w:val="left"/>
      <w:pPr>
        <w:ind w:left="360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 w:tentative="0">
      <w:start w:val="1"/>
      <w:numFmt w:val="bullet"/>
      <w:lvlText w:val="■"/>
      <w:lvlJc w:val="left"/>
      <w:pPr>
        <w:ind w:left="504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 w:tentative="0">
      <w:start w:val="1"/>
      <w:numFmt w:val="bullet"/>
      <w:lvlText w:val="■"/>
      <w:lvlJc w:val="left"/>
      <w:pPr>
        <w:ind w:left="57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>
    <w:nsid w:val="634E7EBF"/>
    <w:multiLevelType w:val="multilevel"/>
    <w:tmpl w:val="634E7EB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宋体" w:hAnsi="宋体" w:eastAsia="宋体"/>
        <w:bCs/>
      </w:rPr>
    </w:lvl>
    <w:lvl w:ilvl="2" w:tentative="0">
      <w:start w:val="1"/>
      <w:numFmt w:val="lowerRoman"/>
      <w:lvlText w:val="%3."/>
      <w:lvlJc w:val="left"/>
      <w:pPr>
        <w:ind w:left="1260" w:hanging="420"/>
      </w:pPr>
      <w:rPr>
        <w:rFonts w:hint="default" w:ascii="宋体" w:hAnsi="宋体" w:eastAsia="宋体"/>
        <w:bCs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宋体" w:hAnsi="宋体" w:eastAsia="宋体"/>
        <w:bCs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宋体" w:hAnsi="宋体" w:eastAsia="宋体"/>
        <w:bCs/>
      </w:rPr>
    </w:lvl>
    <w:lvl w:ilvl="5" w:tentative="0">
      <w:start w:val="1"/>
      <w:numFmt w:val="lowerRoman"/>
      <w:lvlText w:val="%6."/>
      <w:lvlJc w:val="left"/>
      <w:pPr>
        <w:ind w:left="2520" w:hanging="420"/>
      </w:pPr>
      <w:rPr>
        <w:rFonts w:hint="default" w:ascii="宋体" w:hAnsi="宋体" w:eastAsia="宋体"/>
        <w:bCs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宋体" w:hAnsi="宋体" w:eastAsia="宋体"/>
        <w:bCs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宋体" w:hAnsi="宋体" w:eastAsia="宋体"/>
        <w:bCs/>
      </w:rPr>
    </w:lvl>
    <w:lvl w:ilvl="8" w:tentative="0">
      <w:start w:val="1"/>
      <w:numFmt w:val="lowerRoman"/>
      <w:lvlText w:val="%9."/>
      <w:lvlJc w:val="left"/>
      <w:pPr>
        <w:ind w:left="3780" w:hanging="420"/>
      </w:pPr>
      <w:rPr>
        <w:rFonts w:hint="default" w:ascii="宋体" w:hAnsi="宋体" w:eastAsia="宋体"/>
        <w:bCs/>
      </w:rPr>
    </w:lvl>
  </w:abstractNum>
  <w:abstractNum w:abstractNumId="14">
    <w:nsid w:val="6E3B0A6F"/>
    <w:multiLevelType w:val="multilevel"/>
    <w:tmpl w:val="6E3B0A6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Theme="minorEastAsia" w:hAnsiTheme="minorEastAsia" w:eastAsiaTheme="minorEastAsia"/>
        <w:b w:val="0"/>
        <w:bCs w:val="0"/>
        <w:i w:val="0"/>
        <w:iCs/>
        <w:sz w:val="24"/>
        <w:szCs w:val="24"/>
        <w:u w:val="none"/>
      </w:rPr>
    </w:lvl>
    <w:lvl w:ilvl="1" w:tentative="0">
      <w:start w:val="1"/>
      <w:numFmt w:val="decimal"/>
      <w:lvlText w:val="%1.%2."/>
      <w:lvlJc w:val="left"/>
      <w:pPr>
        <w:ind w:left="420" w:hanging="420"/>
      </w:pPr>
      <w:rPr>
        <w:rFonts w:hint="default" w:ascii="黑体" w:hAnsi="黑体" w:eastAsia="黑体"/>
        <w:b/>
        <w:bCs/>
        <w:i/>
        <w:sz w:val="28"/>
        <w:szCs w:val="28"/>
        <w:u w:val="single"/>
      </w:rPr>
    </w:lvl>
    <w:lvl w:ilvl="2" w:tentative="0">
      <w:start w:val="1"/>
      <w:numFmt w:val="decimal"/>
      <w:lvlText w:val="%1.%2.%3."/>
      <w:lvlJc w:val="left"/>
      <w:pPr>
        <w:ind w:left="420" w:hanging="420"/>
      </w:pPr>
      <w:rPr>
        <w:rFonts w:hint="default" w:ascii="黑体" w:hAnsi="黑体" w:eastAsia="黑体"/>
        <w:b/>
        <w:bCs/>
        <w:i/>
        <w:sz w:val="28"/>
        <w:szCs w:val="28"/>
        <w:u w:val="single"/>
      </w:rPr>
    </w:lvl>
    <w:lvl w:ilvl="3" w:tentative="0">
      <w:start w:val="1"/>
      <w:numFmt w:val="decimal"/>
      <w:lvlText w:val="%1.%2.%3.%4."/>
      <w:lvlJc w:val="left"/>
      <w:pPr>
        <w:ind w:left="1256" w:hanging="420"/>
      </w:pPr>
      <w:rPr>
        <w:rFonts w:hint="default" w:ascii="黑体" w:hAnsi="黑体" w:eastAsia="黑体"/>
        <w:b/>
        <w:bCs/>
        <w:i/>
        <w:sz w:val="28"/>
        <w:szCs w:val="28"/>
        <w:u w:val="single"/>
      </w:rPr>
    </w:lvl>
    <w:lvl w:ilvl="4" w:tentative="0">
      <w:start w:val="1"/>
      <w:numFmt w:val="bullet"/>
      <w:lvlText w:val=""/>
      <w:lvlJc w:val="left"/>
      <w:pPr>
        <w:ind w:left="1669" w:hanging="420"/>
      </w:pPr>
      <w:rPr>
        <w:rFonts w:hint="default" w:ascii="Wingdings" w:hAnsi="Wingdings"/>
        <w:bCs/>
      </w:rPr>
    </w:lvl>
    <w:lvl w:ilvl="5" w:tentative="0">
      <w:start w:val="1"/>
      <w:numFmt w:val="decimal"/>
      <w:lvlText w:val="%1.%2.%3.%4.%5.%6."/>
      <w:lvlJc w:val="left"/>
      <w:pPr>
        <w:ind w:left="1947" w:hanging="420"/>
      </w:pPr>
      <w:rPr>
        <w:rFonts w:hint="default" w:ascii="宋体" w:hAnsi="宋体" w:eastAsia="宋体"/>
        <w:bCs/>
      </w:rPr>
    </w:lvl>
    <w:lvl w:ilvl="6" w:tentative="0">
      <w:start w:val="1"/>
      <w:numFmt w:val="decimal"/>
      <w:lvlText w:val="%1.%2.%3.%4.%5.%6.%7."/>
      <w:lvlJc w:val="left"/>
      <w:pPr>
        <w:ind w:left="2940" w:hanging="420"/>
      </w:pPr>
      <w:rPr>
        <w:rFonts w:hint="default" w:ascii="宋体" w:hAnsi="宋体" w:eastAsia="宋体"/>
        <w:bCs/>
      </w:rPr>
    </w:lvl>
    <w:lvl w:ilvl="7" w:tentative="0">
      <w:start w:val="1"/>
      <w:numFmt w:val="decimal"/>
      <w:lvlText w:val="%1.%2.%3.%4.%5.%6.%7.%8."/>
      <w:lvlJc w:val="left"/>
      <w:pPr>
        <w:ind w:left="3360" w:hanging="420"/>
      </w:pPr>
      <w:rPr>
        <w:rFonts w:hint="default" w:ascii="宋体" w:hAnsi="宋体" w:eastAsia="宋体"/>
        <w:bCs/>
      </w:rPr>
    </w:lvl>
    <w:lvl w:ilvl="8" w:tentative="0">
      <w:start w:val="1"/>
      <w:numFmt w:val="decimal"/>
      <w:lvlText w:val="%1.%2.%3.%4.%5.%6.%7.%8.%9."/>
      <w:lvlJc w:val="left"/>
      <w:pPr>
        <w:ind w:left="3780" w:hanging="420"/>
      </w:pPr>
      <w:rPr>
        <w:rFonts w:hint="default" w:ascii="宋体" w:hAnsi="宋体" w:eastAsia="宋体"/>
        <w:bCs/>
      </w:rPr>
    </w:lvl>
  </w:abstractNum>
  <w:abstractNum w:abstractNumId="15">
    <w:nsid w:val="7D28415D"/>
    <w:multiLevelType w:val="multilevel"/>
    <w:tmpl w:val="7D2841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8"/>
  </w:num>
  <w:num w:numId="2">
    <w:abstractNumId w:val="13"/>
  </w:num>
  <w:num w:numId="3">
    <w:abstractNumId w:val="15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14"/>
  </w:num>
  <w:num w:numId="10">
    <w:abstractNumId w:val="6"/>
  </w:num>
  <w:num w:numId="11">
    <w:abstractNumId w:val="0"/>
  </w:num>
  <w:num w:numId="12">
    <w:abstractNumId w:val="11"/>
  </w:num>
  <w:num w:numId="13">
    <w:abstractNumId w:val="10"/>
  </w:num>
  <w:num w:numId="14">
    <w:abstractNumId w:val="9"/>
  </w:num>
  <w:num w:numId="15">
    <w:abstractNumId w:val="1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bordersDoNotSurroundHeader w:val="0"/>
  <w:bordersDoNotSurroundFooter w:val="0"/>
  <w:documentProtection w:edit="trackedChanges"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00005228"/>
    <w:rsid w:val="00016339"/>
    <w:rsid w:val="00031AB3"/>
    <w:rsid w:val="00034920"/>
    <w:rsid w:val="00037A9B"/>
    <w:rsid w:val="0004076D"/>
    <w:rsid w:val="000417D8"/>
    <w:rsid w:val="000449F4"/>
    <w:rsid w:val="00047837"/>
    <w:rsid w:val="000513F9"/>
    <w:rsid w:val="000571E7"/>
    <w:rsid w:val="00057889"/>
    <w:rsid w:val="0006045C"/>
    <w:rsid w:val="00061005"/>
    <w:rsid w:val="000627B3"/>
    <w:rsid w:val="00081A69"/>
    <w:rsid w:val="00086A82"/>
    <w:rsid w:val="000870F1"/>
    <w:rsid w:val="000906E7"/>
    <w:rsid w:val="00095B06"/>
    <w:rsid w:val="000A0241"/>
    <w:rsid w:val="000A068E"/>
    <w:rsid w:val="000C1B27"/>
    <w:rsid w:val="000C3888"/>
    <w:rsid w:val="000C4ABF"/>
    <w:rsid w:val="000C51B7"/>
    <w:rsid w:val="000D6342"/>
    <w:rsid w:val="00101523"/>
    <w:rsid w:val="00104F0C"/>
    <w:rsid w:val="00114949"/>
    <w:rsid w:val="0013149C"/>
    <w:rsid w:val="001314E7"/>
    <w:rsid w:val="0013400E"/>
    <w:rsid w:val="0014541C"/>
    <w:rsid w:val="00145943"/>
    <w:rsid w:val="00162077"/>
    <w:rsid w:val="00162FD2"/>
    <w:rsid w:val="00171F8D"/>
    <w:rsid w:val="001854BD"/>
    <w:rsid w:val="001A4906"/>
    <w:rsid w:val="001A5A7E"/>
    <w:rsid w:val="001B0EA8"/>
    <w:rsid w:val="001B13C9"/>
    <w:rsid w:val="001B159F"/>
    <w:rsid w:val="001B2195"/>
    <w:rsid w:val="001B56E6"/>
    <w:rsid w:val="001C4F3A"/>
    <w:rsid w:val="001C7FFB"/>
    <w:rsid w:val="001D119E"/>
    <w:rsid w:val="001D373B"/>
    <w:rsid w:val="001D7A99"/>
    <w:rsid w:val="001E14A2"/>
    <w:rsid w:val="001E34D2"/>
    <w:rsid w:val="001E4BA3"/>
    <w:rsid w:val="001E7F5F"/>
    <w:rsid w:val="001F1EAC"/>
    <w:rsid w:val="001F345D"/>
    <w:rsid w:val="00210ED4"/>
    <w:rsid w:val="00215824"/>
    <w:rsid w:val="00216EB9"/>
    <w:rsid w:val="002201E8"/>
    <w:rsid w:val="00225A4A"/>
    <w:rsid w:val="00232C37"/>
    <w:rsid w:val="00234986"/>
    <w:rsid w:val="00234A09"/>
    <w:rsid w:val="0024159E"/>
    <w:rsid w:val="002423B0"/>
    <w:rsid w:val="00245570"/>
    <w:rsid w:val="0024646F"/>
    <w:rsid w:val="0024767D"/>
    <w:rsid w:val="0026148E"/>
    <w:rsid w:val="00271234"/>
    <w:rsid w:val="0027253B"/>
    <w:rsid w:val="002725F7"/>
    <w:rsid w:val="00273D2F"/>
    <w:rsid w:val="00275BEA"/>
    <w:rsid w:val="00277301"/>
    <w:rsid w:val="00281BC6"/>
    <w:rsid w:val="00291F34"/>
    <w:rsid w:val="002A3447"/>
    <w:rsid w:val="002A3C2F"/>
    <w:rsid w:val="002A7F36"/>
    <w:rsid w:val="002B1909"/>
    <w:rsid w:val="002B4F23"/>
    <w:rsid w:val="002C6683"/>
    <w:rsid w:val="002D3E31"/>
    <w:rsid w:val="002D4F27"/>
    <w:rsid w:val="002D7129"/>
    <w:rsid w:val="002E4BD8"/>
    <w:rsid w:val="002E7F24"/>
    <w:rsid w:val="002F2AA5"/>
    <w:rsid w:val="002F39B3"/>
    <w:rsid w:val="002F639D"/>
    <w:rsid w:val="00304AAD"/>
    <w:rsid w:val="00316185"/>
    <w:rsid w:val="00334952"/>
    <w:rsid w:val="003379DC"/>
    <w:rsid w:val="003437D1"/>
    <w:rsid w:val="003474C1"/>
    <w:rsid w:val="00352132"/>
    <w:rsid w:val="00361AFB"/>
    <w:rsid w:val="0037439E"/>
    <w:rsid w:val="00375CC6"/>
    <w:rsid w:val="0038161B"/>
    <w:rsid w:val="00386733"/>
    <w:rsid w:val="00390C8F"/>
    <w:rsid w:val="003926B9"/>
    <w:rsid w:val="003B0AEB"/>
    <w:rsid w:val="003B6B0D"/>
    <w:rsid w:val="003B7D53"/>
    <w:rsid w:val="003D328E"/>
    <w:rsid w:val="003D4627"/>
    <w:rsid w:val="003E242D"/>
    <w:rsid w:val="003E4370"/>
    <w:rsid w:val="003E5B17"/>
    <w:rsid w:val="003E7650"/>
    <w:rsid w:val="003F21AC"/>
    <w:rsid w:val="003F4EB6"/>
    <w:rsid w:val="00403676"/>
    <w:rsid w:val="0041612F"/>
    <w:rsid w:val="00433F3E"/>
    <w:rsid w:val="00434D67"/>
    <w:rsid w:val="004351DD"/>
    <w:rsid w:val="00435C34"/>
    <w:rsid w:val="004369D9"/>
    <w:rsid w:val="00460242"/>
    <w:rsid w:val="004602B4"/>
    <w:rsid w:val="004615F2"/>
    <w:rsid w:val="004676E7"/>
    <w:rsid w:val="00471F0B"/>
    <w:rsid w:val="00473E65"/>
    <w:rsid w:val="00493891"/>
    <w:rsid w:val="004969D6"/>
    <w:rsid w:val="004A2B53"/>
    <w:rsid w:val="004A519D"/>
    <w:rsid w:val="004A5A85"/>
    <w:rsid w:val="004A61F4"/>
    <w:rsid w:val="004A68FE"/>
    <w:rsid w:val="004B431B"/>
    <w:rsid w:val="004B4FE9"/>
    <w:rsid w:val="004C0F2A"/>
    <w:rsid w:val="004D0A90"/>
    <w:rsid w:val="004D1E36"/>
    <w:rsid w:val="004D4F04"/>
    <w:rsid w:val="004E2D5E"/>
    <w:rsid w:val="004E4790"/>
    <w:rsid w:val="004E47A4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50DB2"/>
    <w:rsid w:val="00551498"/>
    <w:rsid w:val="00554A9E"/>
    <w:rsid w:val="00581C92"/>
    <w:rsid w:val="005869A3"/>
    <w:rsid w:val="00586C24"/>
    <w:rsid w:val="00591AA2"/>
    <w:rsid w:val="00594318"/>
    <w:rsid w:val="00594E7E"/>
    <w:rsid w:val="0059531B"/>
    <w:rsid w:val="00595E28"/>
    <w:rsid w:val="00597F46"/>
    <w:rsid w:val="005B1822"/>
    <w:rsid w:val="005B3476"/>
    <w:rsid w:val="005B7FE0"/>
    <w:rsid w:val="005C1E44"/>
    <w:rsid w:val="005C5331"/>
    <w:rsid w:val="005C73BA"/>
    <w:rsid w:val="005E2D44"/>
    <w:rsid w:val="005E3567"/>
    <w:rsid w:val="005E68DE"/>
    <w:rsid w:val="005F71F7"/>
    <w:rsid w:val="00600F3A"/>
    <w:rsid w:val="00604310"/>
    <w:rsid w:val="00616505"/>
    <w:rsid w:val="006167A3"/>
    <w:rsid w:val="0062072F"/>
    <w:rsid w:val="0062213C"/>
    <w:rsid w:val="00623184"/>
    <w:rsid w:val="00626E1D"/>
    <w:rsid w:val="00631C87"/>
    <w:rsid w:val="00633C35"/>
    <w:rsid w:val="00633F40"/>
    <w:rsid w:val="006357F8"/>
    <w:rsid w:val="00643FD0"/>
    <w:rsid w:val="006471CC"/>
    <w:rsid w:val="0065112E"/>
    <w:rsid w:val="006549AD"/>
    <w:rsid w:val="00657232"/>
    <w:rsid w:val="00662115"/>
    <w:rsid w:val="0066562A"/>
    <w:rsid w:val="00680D23"/>
    <w:rsid w:val="00682D10"/>
    <w:rsid w:val="00684D9C"/>
    <w:rsid w:val="006876E7"/>
    <w:rsid w:val="00687E6D"/>
    <w:rsid w:val="00694B1B"/>
    <w:rsid w:val="006951AA"/>
    <w:rsid w:val="00695B7E"/>
    <w:rsid w:val="006A71CA"/>
    <w:rsid w:val="006B14D9"/>
    <w:rsid w:val="006B34E1"/>
    <w:rsid w:val="006B6BC4"/>
    <w:rsid w:val="006C5574"/>
    <w:rsid w:val="006C5B01"/>
    <w:rsid w:val="006C5DE2"/>
    <w:rsid w:val="006D1CD9"/>
    <w:rsid w:val="006D717D"/>
    <w:rsid w:val="006E6D7A"/>
    <w:rsid w:val="006F5FDE"/>
    <w:rsid w:val="00700E04"/>
    <w:rsid w:val="007022F2"/>
    <w:rsid w:val="00707DEB"/>
    <w:rsid w:val="00710744"/>
    <w:rsid w:val="007137C6"/>
    <w:rsid w:val="007245D2"/>
    <w:rsid w:val="007355F4"/>
    <w:rsid w:val="00744568"/>
    <w:rsid w:val="00746D36"/>
    <w:rsid w:val="00751278"/>
    <w:rsid w:val="00756BF9"/>
    <w:rsid w:val="007702D5"/>
    <w:rsid w:val="00776D1C"/>
    <w:rsid w:val="007805FC"/>
    <w:rsid w:val="00784143"/>
    <w:rsid w:val="007872B9"/>
    <w:rsid w:val="00787383"/>
    <w:rsid w:val="00792257"/>
    <w:rsid w:val="007A06CE"/>
    <w:rsid w:val="007A3B04"/>
    <w:rsid w:val="007B643A"/>
    <w:rsid w:val="007C01D3"/>
    <w:rsid w:val="007C1F96"/>
    <w:rsid w:val="007C7A33"/>
    <w:rsid w:val="007D0A08"/>
    <w:rsid w:val="007D4E34"/>
    <w:rsid w:val="007E0D68"/>
    <w:rsid w:val="007E4378"/>
    <w:rsid w:val="007F1770"/>
    <w:rsid w:val="007F1F0A"/>
    <w:rsid w:val="007F5639"/>
    <w:rsid w:val="00803C56"/>
    <w:rsid w:val="008125E8"/>
    <w:rsid w:val="00816B46"/>
    <w:rsid w:val="008208DF"/>
    <w:rsid w:val="00821185"/>
    <w:rsid w:val="008211C3"/>
    <w:rsid w:val="00825055"/>
    <w:rsid w:val="00826B0A"/>
    <w:rsid w:val="00832810"/>
    <w:rsid w:val="00833937"/>
    <w:rsid w:val="00834025"/>
    <w:rsid w:val="00844F4C"/>
    <w:rsid w:val="00844F63"/>
    <w:rsid w:val="0084523F"/>
    <w:rsid w:val="0085284B"/>
    <w:rsid w:val="00854475"/>
    <w:rsid w:val="00854601"/>
    <w:rsid w:val="008650F8"/>
    <w:rsid w:val="00885713"/>
    <w:rsid w:val="008913AC"/>
    <w:rsid w:val="008B0872"/>
    <w:rsid w:val="008B11D0"/>
    <w:rsid w:val="008B7E39"/>
    <w:rsid w:val="008C2427"/>
    <w:rsid w:val="008C3185"/>
    <w:rsid w:val="008D6237"/>
    <w:rsid w:val="008E2B9A"/>
    <w:rsid w:val="008E393E"/>
    <w:rsid w:val="008E7AFE"/>
    <w:rsid w:val="008E7EB9"/>
    <w:rsid w:val="008F2824"/>
    <w:rsid w:val="00904B4C"/>
    <w:rsid w:val="00912AEF"/>
    <w:rsid w:val="009138C2"/>
    <w:rsid w:val="009158BD"/>
    <w:rsid w:val="0092066A"/>
    <w:rsid w:val="00921558"/>
    <w:rsid w:val="009218B2"/>
    <w:rsid w:val="00925190"/>
    <w:rsid w:val="009252B3"/>
    <w:rsid w:val="00927223"/>
    <w:rsid w:val="00927598"/>
    <w:rsid w:val="009341F1"/>
    <w:rsid w:val="00935B74"/>
    <w:rsid w:val="009444CC"/>
    <w:rsid w:val="00950CA0"/>
    <w:rsid w:val="00952224"/>
    <w:rsid w:val="00953D67"/>
    <w:rsid w:val="009542B2"/>
    <w:rsid w:val="00955A18"/>
    <w:rsid w:val="00957DC0"/>
    <w:rsid w:val="00957E2E"/>
    <w:rsid w:val="00960223"/>
    <w:rsid w:val="009602BE"/>
    <w:rsid w:val="00961F5B"/>
    <w:rsid w:val="00966623"/>
    <w:rsid w:val="00967DC7"/>
    <w:rsid w:val="009711C3"/>
    <w:rsid w:val="00971809"/>
    <w:rsid w:val="00974E8E"/>
    <w:rsid w:val="00982959"/>
    <w:rsid w:val="009833B6"/>
    <w:rsid w:val="00986306"/>
    <w:rsid w:val="00987E47"/>
    <w:rsid w:val="009905DF"/>
    <w:rsid w:val="00996567"/>
    <w:rsid w:val="009A4F2E"/>
    <w:rsid w:val="009C7B22"/>
    <w:rsid w:val="009C7B5F"/>
    <w:rsid w:val="009C7D67"/>
    <w:rsid w:val="009D4340"/>
    <w:rsid w:val="009E68C7"/>
    <w:rsid w:val="009F0043"/>
    <w:rsid w:val="009F033F"/>
    <w:rsid w:val="009F2E92"/>
    <w:rsid w:val="00A00CCB"/>
    <w:rsid w:val="00A04929"/>
    <w:rsid w:val="00A04A0A"/>
    <w:rsid w:val="00A146F6"/>
    <w:rsid w:val="00A21E9E"/>
    <w:rsid w:val="00A22667"/>
    <w:rsid w:val="00A2572C"/>
    <w:rsid w:val="00A376DC"/>
    <w:rsid w:val="00A377EB"/>
    <w:rsid w:val="00A45CC3"/>
    <w:rsid w:val="00A566B1"/>
    <w:rsid w:val="00A57F4C"/>
    <w:rsid w:val="00A60633"/>
    <w:rsid w:val="00A651D8"/>
    <w:rsid w:val="00A70DF5"/>
    <w:rsid w:val="00A7266C"/>
    <w:rsid w:val="00A740A1"/>
    <w:rsid w:val="00A75C42"/>
    <w:rsid w:val="00A827DB"/>
    <w:rsid w:val="00A87AB2"/>
    <w:rsid w:val="00A87B48"/>
    <w:rsid w:val="00A93AB0"/>
    <w:rsid w:val="00AA59A7"/>
    <w:rsid w:val="00AB561C"/>
    <w:rsid w:val="00AC338B"/>
    <w:rsid w:val="00AC3A06"/>
    <w:rsid w:val="00AC5C0D"/>
    <w:rsid w:val="00AC5CCD"/>
    <w:rsid w:val="00AC65AE"/>
    <w:rsid w:val="00AC7886"/>
    <w:rsid w:val="00AE26A7"/>
    <w:rsid w:val="00AF50AE"/>
    <w:rsid w:val="00AF54ED"/>
    <w:rsid w:val="00AF7D66"/>
    <w:rsid w:val="00B20465"/>
    <w:rsid w:val="00B22BF9"/>
    <w:rsid w:val="00B33924"/>
    <w:rsid w:val="00B44A4F"/>
    <w:rsid w:val="00B50CE3"/>
    <w:rsid w:val="00B52DF7"/>
    <w:rsid w:val="00B548E0"/>
    <w:rsid w:val="00B606E1"/>
    <w:rsid w:val="00B75B0E"/>
    <w:rsid w:val="00B91A1B"/>
    <w:rsid w:val="00B961E0"/>
    <w:rsid w:val="00BA0C1A"/>
    <w:rsid w:val="00BA0CA7"/>
    <w:rsid w:val="00BA352C"/>
    <w:rsid w:val="00BA4649"/>
    <w:rsid w:val="00BA6AC2"/>
    <w:rsid w:val="00BA7220"/>
    <w:rsid w:val="00BB2C7F"/>
    <w:rsid w:val="00BB7456"/>
    <w:rsid w:val="00BC2AFC"/>
    <w:rsid w:val="00BD0427"/>
    <w:rsid w:val="00BD1EB5"/>
    <w:rsid w:val="00BE3BE3"/>
    <w:rsid w:val="00BE47F7"/>
    <w:rsid w:val="00BF580C"/>
    <w:rsid w:val="00BF6073"/>
    <w:rsid w:val="00BF7283"/>
    <w:rsid w:val="00C05B20"/>
    <w:rsid w:val="00C061CB"/>
    <w:rsid w:val="00C1495E"/>
    <w:rsid w:val="00C25D96"/>
    <w:rsid w:val="00C274F1"/>
    <w:rsid w:val="00C276B2"/>
    <w:rsid w:val="00C33D28"/>
    <w:rsid w:val="00C40268"/>
    <w:rsid w:val="00C465B8"/>
    <w:rsid w:val="00C475FD"/>
    <w:rsid w:val="00C50110"/>
    <w:rsid w:val="00C51629"/>
    <w:rsid w:val="00C55A86"/>
    <w:rsid w:val="00C604EC"/>
    <w:rsid w:val="00C62775"/>
    <w:rsid w:val="00C640F8"/>
    <w:rsid w:val="00C65F8F"/>
    <w:rsid w:val="00C711BE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51A3"/>
    <w:rsid w:val="00CC4BA8"/>
    <w:rsid w:val="00CD2975"/>
    <w:rsid w:val="00CD36A8"/>
    <w:rsid w:val="00CE07EB"/>
    <w:rsid w:val="00CE2CC5"/>
    <w:rsid w:val="00CF0A51"/>
    <w:rsid w:val="00CF6295"/>
    <w:rsid w:val="00D00442"/>
    <w:rsid w:val="00D07256"/>
    <w:rsid w:val="00D168A0"/>
    <w:rsid w:val="00D25A44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72B02"/>
    <w:rsid w:val="00D73420"/>
    <w:rsid w:val="00D8133C"/>
    <w:rsid w:val="00D87571"/>
    <w:rsid w:val="00D910EF"/>
    <w:rsid w:val="00D93CB4"/>
    <w:rsid w:val="00DA1341"/>
    <w:rsid w:val="00DA79A0"/>
    <w:rsid w:val="00DB0359"/>
    <w:rsid w:val="00DB3A71"/>
    <w:rsid w:val="00DB3EEE"/>
    <w:rsid w:val="00DB6D2E"/>
    <w:rsid w:val="00DC5C81"/>
    <w:rsid w:val="00DD3DFF"/>
    <w:rsid w:val="00DD6819"/>
    <w:rsid w:val="00DE59DB"/>
    <w:rsid w:val="00DE6588"/>
    <w:rsid w:val="00DF373F"/>
    <w:rsid w:val="00DF3A9C"/>
    <w:rsid w:val="00DF5C0D"/>
    <w:rsid w:val="00E03CEF"/>
    <w:rsid w:val="00E071B6"/>
    <w:rsid w:val="00E10DD3"/>
    <w:rsid w:val="00E129BF"/>
    <w:rsid w:val="00E1328F"/>
    <w:rsid w:val="00E169A4"/>
    <w:rsid w:val="00E2178F"/>
    <w:rsid w:val="00E22210"/>
    <w:rsid w:val="00E22950"/>
    <w:rsid w:val="00E26251"/>
    <w:rsid w:val="00E26E20"/>
    <w:rsid w:val="00E3141B"/>
    <w:rsid w:val="00E33076"/>
    <w:rsid w:val="00E43E65"/>
    <w:rsid w:val="00E50F56"/>
    <w:rsid w:val="00E5136D"/>
    <w:rsid w:val="00E522DE"/>
    <w:rsid w:val="00E53C16"/>
    <w:rsid w:val="00E55F1E"/>
    <w:rsid w:val="00E625EF"/>
    <w:rsid w:val="00E640EB"/>
    <w:rsid w:val="00E66B67"/>
    <w:rsid w:val="00E75725"/>
    <w:rsid w:val="00E83964"/>
    <w:rsid w:val="00E873F9"/>
    <w:rsid w:val="00E87A96"/>
    <w:rsid w:val="00E952CB"/>
    <w:rsid w:val="00E96D34"/>
    <w:rsid w:val="00EA1EE8"/>
    <w:rsid w:val="00EA2F48"/>
    <w:rsid w:val="00EA2FF1"/>
    <w:rsid w:val="00EA3DEC"/>
    <w:rsid w:val="00EA64D3"/>
    <w:rsid w:val="00EB062A"/>
    <w:rsid w:val="00EB39EF"/>
    <w:rsid w:val="00EC2A58"/>
    <w:rsid w:val="00EC63BA"/>
    <w:rsid w:val="00ED32A5"/>
    <w:rsid w:val="00EE636B"/>
    <w:rsid w:val="00EF05DB"/>
    <w:rsid w:val="00EF37AB"/>
    <w:rsid w:val="00EF3CF3"/>
    <w:rsid w:val="00F009C7"/>
    <w:rsid w:val="00F070A9"/>
    <w:rsid w:val="00F07608"/>
    <w:rsid w:val="00F365DB"/>
    <w:rsid w:val="00F442B7"/>
    <w:rsid w:val="00F44DAE"/>
    <w:rsid w:val="00F45644"/>
    <w:rsid w:val="00F467FF"/>
    <w:rsid w:val="00F46FAE"/>
    <w:rsid w:val="00F50FE0"/>
    <w:rsid w:val="00F518DF"/>
    <w:rsid w:val="00F53662"/>
    <w:rsid w:val="00F6013D"/>
    <w:rsid w:val="00F615B2"/>
    <w:rsid w:val="00F80A64"/>
    <w:rsid w:val="00F8443B"/>
    <w:rsid w:val="00F85EED"/>
    <w:rsid w:val="00F94998"/>
    <w:rsid w:val="00FA38DC"/>
    <w:rsid w:val="00FB18A3"/>
    <w:rsid w:val="00FC4082"/>
    <w:rsid w:val="00FC5DC7"/>
    <w:rsid w:val="00FD082A"/>
    <w:rsid w:val="00FD35D3"/>
    <w:rsid w:val="00FD79AA"/>
    <w:rsid w:val="00FF3312"/>
    <w:rsid w:val="00FF3759"/>
    <w:rsid w:val="00FF741B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qFormat="1"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40" w:after="24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000000"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00" w:after="200" w:line="360" w:lineRule="auto"/>
      <w:jc w:val="left"/>
      <w:outlineLvl w:val="3"/>
    </w:pPr>
    <w:rPr>
      <w:rFonts w:asciiTheme="majorHAnsi" w:hAnsiTheme="majorHAnsi" w:eastAsiaTheme="majorEastAsia" w:cstheme="majorBidi"/>
      <w:b/>
      <w:bCs/>
      <w:color w:val="000000"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after="64" w:line="319" w:lineRule="auto"/>
      <w:jc w:val="left"/>
      <w:outlineLvl w:val="5"/>
    </w:pPr>
    <w:rPr>
      <w:rFonts w:asciiTheme="majorHAnsi" w:hAnsiTheme="majorHAnsi" w:eastAsiaTheme="majorEastAsia" w:cstheme="majorBidi"/>
      <w:b/>
      <w:bCs/>
      <w:color w:val="000000"/>
      <w:sz w:val="24"/>
      <w:szCs w:val="24"/>
    </w:rPr>
  </w:style>
  <w:style w:type="paragraph" w:styleId="8">
    <w:name w:val="heading 7"/>
    <w:basedOn w:val="1"/>
    <w:next w:val="1"/>
    <w:link w:val="5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29">
    <w:name w:val="Default Paragraph Font"/>
    <w:semiHidden/>
    <w:unhideWhenUsed/>
    <w:uiPriority w:val="1"/>
  </w:style>
  <w:style w:type="table" w:default="1" w:styleId="2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0">
    <w:name w:val="Normal Indent"/>
    <w:basedOn w:val="1"/>
    <w:qFormat/>
    <w:uiPriority w:val="0"/>
    <w:pPr>
      <w:ind w:firstLine="420"/>
    </w:pPr>
  </w:style>
  <w:style w:type="paragraph" w:styleId="11">
    <w:name w:val="annotation text"/>
    <w:basedOn w:val="1"/>
    <w:link w:val="32"/>
    <w:semiHidden/>
    <w:unhideWhenUsed/>
    <w:qFormat/>
    <w:uiPriority w:val="99"/>
    <w:pPr>
      <w:jc w:val="left"/>
    </w:pPr>
  </w:style>
  <w:style w:type="paragraph" w:styleId="12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3">
    <w:name w:val="toc 3"/>
    <w:basedOn w:val="1"/>
    <w:next w:val="1"/>
    <w:qFormat/>
    <w:uiPriority w:val="39"/>
    <w:pPr>
      <w:ind w:left="480"/>
    </w:pPr>
    <w:rPr>
      <w:i/>
      <w:iCs/>
      <w:sz w:val="20"/>
      <w:szCs w:val="20"/>
    </w:rPr>
  </w:style>
  <w:style w:type="paragraph" w:styleId="14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5">
    <w:name w:val="index 3"/>
    <w:basedOn w:val="1"/>
    <w:next w:val="1"/>
    <w:semiHidden/>
    <w:unhideWhenUsed/>
    <w:qFormat/>
    <w:uiPriority w:val="99"/>
    <w:pPr>
      <w:topLinePunct/>
      <w:adjustRightInd w:val="0"/>
      <w:snapToGrid w:val="0"/>
      <w:spacing w:before="160" w:after="160" w:line="240" w:lineRule="atLeast"/>
      <w:ind w:left="400" w:leftChars="400"/>
    </w:pPr>
    <w:rPr>
      <w:rFonts w:ascii="Calibri" w:hAnsi="Calibri" w:eastAsia="宋体" w:cs="Times New Roman"/>
      <w:sz w:val="24"/>
      <w:szCs w:val="24"/>
    </w:rPr>
  </w:style>
  <w:style w:type="paragraph" w:styleId="16">
    <w:name w:val="Balloon Text"/>
    <w:basedOn w:val="1"/>
    <w:link w:val="52"/>
    <w:semiHidden/>
    <w:unhideWhenUsed/>
    <w:qFormat/>
    <w:uiPriority w:val="99"/>
    <w:rPr>
      <w:sz w:val="18"/>
      <w:szCs w:val="18"/>
    </w:rPr>
  </w:style>
  <w:style w:type="paragraph" w:styleId="17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next w:val="19"/>
    <w:link w:val="3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2"/>
    <w:basedOn w:val="1"/>
    <w:next w:val="1"/>
    <w:qFormat/>
    <w:uiPriority w:val="39"/>
    <w:pPr>
      <w:ind w:left="240"/>
    </w:pPr>
    <w:rPr>
      <w:smallCaps/>
      <w:sz w:val="20"/>
      <w:szCs w:val="20"/>
    </w:rPr>
  </w:style>
  <w:style w:type="paragraph" w:styleId="20">
    <w:name w:val="toc 1"/>
    <w:basedOn w:val="1"/>
    <w:next w:val="1"/>
    <w:qFormat/>
    <w:uiPriority w:val="39"/>
    <w:pPr>
      <w:tabs>
        <w:tab w:val="left" w:pos="480"/>
        <w:tab w:val="right" w:leader="dot" w:pos="9964"/>
      </w:tabs>
      <w:spacing w:before="120" w:after="120"/>
    </w:pPr>
    <w:rPr>
      <w:rFonts w:ascii="黑体" w:hAnsi="黑体" w:eastAsia="黑体"/>
      <w:bCs/>
      <w:caps/>
      <w:sz w:val="20"/>
      <w:szCs w:val="20"/>
    </w:rPr>
  </w:style>
  <w:style w:type="paragraph" w:styleId="21">
    <w:name w:val="toc 4"/>
    <w:basedOn w:val="1"/>
    <w:next w:val="1"/>
    <w:qFormat/>
    <w:uiPriority w:val="39"/>
    <w:pPr>
      <w:ind w:left="720"/>
    </w:pPr>
    <w:rPr>
      <w:sz w:val="18"/>
      <w:szCs w:val="18"/>
    </w:rPr>
  </w:style>
  <w:style w:type="paragraph" w:styleId="22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3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 w:cs="Times New Roman"/>
      <w:sz w:val="24"/>
      <w:szCs w:val="24"/>
    </w:rPr>
  </w:style>
  <w:style w:type="paragraph" w:styleId="25">
    <w:name w:val="Normal (Web)"/>
    <w:basedOn w:val="1"/>
    <w:semiHidden/>
    <w:unhideWhenUsed/>
    <w:qFormat/>
    <w:uiPriority w:val="99"/>
    <w:pPr>
      <w:spacing w:beforeAutospacing="1" w:afterAutospacing="1"/>
    </w:pPr>
    <w:rPr>
      <w:rFonts w:hint="eastAsia" w:ascii="宋体" w:hAnsi="宋体" w:eastAsia="宋体" w:cs="Times New Roman"/>
      <w:sz w:val="24"/>
      <w:szCs w:val="24"/>
    </w:rPr>
  </w:style>
  <w:style w:type="paragraph" w:styleId="26">
    <w:name w:val="annotation subject"/>
    <w:basedOn w:val="11"/>
    <w:next w:val="11"/>
    <w:link w:val="35"/>
    <w:semiHidden/>
    <w:unhideWhenUsed/>
    <w:qFormat/>
    <w:uiPriority w:val="99"/>
    <w:rPr>
      <w:b/>
      <w:bCs/>
    </w:rPr>
  </w:style>
  <w:style w:type="table" w:styleId="28">
    <w:name w:val="Table Grid"/>
    <w:basedOn w:val="2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30">
    <w:name w:val="Hyperlink"/>
    <w:basedOn w:val="2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1">
    <w:name w:val="annotation reference"/>
    <w:basedOn w:val="29"/>
    <w:semiHidden/>
    <w:unhideWhenUsed/>
    <w:qFormat/>
    <w:uiPriority w:val="99"/>
    <w:rPr>
      <w:sz w:val="21"/>
      <w:szCs w:val="21"/>
    </w:rPr>
  </w:style>
  <w:style w:type="character" w:customStyle="1" w:styleId="32">
    <w:name w:val="批注文字 字符"/>
    <w:basedOn w:val="29"/>
    <w:link w:val="11"/>
    <w:semiHidden/>
    <w:qFormat/>
    <w:uiPriority w:val="99"/>
    <w:rPr>
      <w:kern w:val="2"/>
      <w:sz w:val="21"/>
      <w:szCs w:val="22"/>
    </w:rPr>
  </w:style>
  <w:style w:type="character" w:customStyle="1" w:styleId="33">
    <w:name w:val="页脚 字符"/>
    <w:basedOn w:val="29"/>
    <w:link w:val="17"/>
    <w:semiHidden/>
    <w:qFormat/>
    <w:uiPriority w:val="99"/>
    <w:rPr>
      <w:sz w:val="18"/>
      <w:szCs w:val="18"/>
    </w:rPr>
  </w:style>
  <w:style w:type="character" w:customStyle="1" w:styleId="34">
    <w:name w:val="页眉 字符"/>
    <w:basedOn w:val="29"/>
    <w:link w:val="18"/>
    <w:semiHidden/>
    <w:qFormat/>
    <w:uiPriority w:val="99"/>
    <w:rPr>
      <w:sz w:val="18"/>
      <w:szCs w:val="18"/>
    </w:rPr>
  </w:style>
  <w:style w:type="character" w:customStyle="1" w:styleId="35">
    <w:name w:val="批注主题 字符"/>
    <w:basedOn w:val="32"/>
    <w:link w:val="26"/>
    <w:semiHidden/>
    <w:qFormat/>
    <w:uiPriority w:val="99"/>
    <w:rPr>
      <w:b/>
      <w:bCs/>
      <w:kern w:val="2"/>
      <w:sz w:val="21"/>
      <w:szCs w:val="22"/>
    </w:rPr>
  </w:style>
  <w:style w:type="paragraph" w:styleId="36">
    <w:name w:val="List Paragraph"/>
    <w:basedOn w:val="1"/>
    <w:qFormat/>
    <w:uiPriority w:val="34"/>
    <w:pPr>
      <w:ind w:firstLine="420" w:firstLineChars="200"/>
    </w:pPr>
  </w:style>
  <w:style w:type="paragraph" w:customStyle="1" w:styleId="37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8">
    <w:name w:val="列出段落12"/>
    <w:basedOn w:val="1"/>
    <w:qFormat/>
    <w:uiPriority w:val="0"/>
    <w:pPr>
      <w:ind w:firstLine="200" w:firstLineChars="200"/>
    </w:pPr>
    <w:rPr>
      <w:rFonts w:ascii="Calibri" w:hAnsi="Calibri" w:eastAsia="宋体" w:cs="Times New Roman"/>
      <w:szCs w:val="21"/>
    </w:rPr>
  </w:style>
  <w:style w:type="paragraph" w:customStyle="1" w:styleId="39">
    <w:name w:val="列出段落1"/>
    <w:basedOn w:val="1"/>
    <w:qFormat/>
    <w:uiPriority w:val="0"/>
    <w:pPr>
      <w:spacing w:after="200" w:line="273" w:lineRule="auto"/>
      <w:ind w:left="720"/>
      <w:contextualSpacing/>
    </w:pPr>
    <w:rPr>
      <w:rFonts w:ascii="Calibri" w:hAnsi="Calibri" w:eastAsia="宋体" w:cs="Times New Roman"/>
      <w:sz w:val="22"/>
    </w:rPr>
  </w:style>
  <w:style w:type="paragraph" w:customStyle="1" w:styleId="40">
    <w:name w:val="QB表内文字"/>
    <w:qFormat/>
    <w:uiPriority w:val="0"/>
    <w:pPr>
      <w:widowControl w:val="0"/>
      <w:autoSpaceDE w:val="0"/>
      <w:autoSpaceDN w:val="0"/>
      <w:jc w:val="both"/>
    </w:pPr>
    <w:rPr>
      <w:rFonts w:hint="eastAsia" w:ascii="宋体" w:hAnsi="Times New Roman" w:eastAsia="宋体" w:cs="Times New Roman"/>
      <w:lang w:val="en-US" w:eastAsia="zh-CN" w:bidi="ar-SA"/>
    </w:rPr>
  </w:style>
  <w:style w:type="character" w:customStyle="1" w:styleId="41">
    <w:name w:val="15"/>
    <w:basedOn w:val="29"/>
    <w:qFormat/>
    <w:uiPriority w:val="0"/>
    <w:rPr>
      <w:rFonts w:hint="default" w:ascii="Courier New" w:hAnsi="Courier New" w:eastAsia="宋体" w:cs="Courier New"/>
      <w:sz w:val="26"/>
      <w:szCs w:val="26"/>
    </w:rPr>
  </w:style>
  <w:style w:type="character" w:customStyle="1" w:styleId="42">
    <w:name w:val="10"/>
    <w:basedOn w:val="29"/>
    <w:qFormat/>
    <w:uiPriority w:val="0"/>
    <w:rPr>
      <w:rFonts w:hint="default" w:ascii="Calibri" w:hAnsi="Calibri" w:cs="Calibri"/>
    </w:rPr>
  </w:style>
  <w:style w:type="paragraph" w:customStyle="1" w:styleId="43">
    <w:name w:val="普通(网站) Char"/>
    <w:basedOn w:val="1"/>
    <w:qFormat/>
    <w:uiPriority w:val="0"/>
    <w:pPr>
      <w:spacing w:beforeAutospacing="1" w:afterAutospacing="1"/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character" w:customStyle="1" w:styleId="44">
    <w:name w:val="16"/>
    <w:basedOn w:val="29"/>
    <w:qFormat/>
    <w:uiPriority w:val="0"/>
    <w:rPr>
      <w:rFonts w:hint="default" w:ascii="Courier New" w:hAnsi="Courier New" w:eastAsia="宋体" w:cs="Courier New"/>
      <w:sz w:val="26"/>
      <w:szCs w:val="26"/>
    </w:rPr>
  </w:style>
  <w:style w:type="paragraph" w:customStyle="1" w:styleId="45">
    <w:name w:val="HTML 预设格式 Char"/>
    <w:basedOn w:val="1"/>
    <w:qFormat/>
    <w:uiPriority w:val="0"/>
    <w:pPr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customStyle="1" w:styleId="46">
    <w:name w:val="列表段落1"/>
    <w:basedOn w:val="1"/>
    <w:qFormat/>
    <w:uiPriority w:val="0"/>
    <w:pPr>
      <w:spacing w:after="200" w:line="273" w:lineRule="auto"/>
      <w:ind w:left="720"/>
      <w:contextualSpacing/>
    </w:pPr>
    <w:rPr>
      <w:rFonts w:ascii="Calibri" w:hAnsi="Calibri" w:eastAsia="宋体" w:cs="Times New Roman"/>
      <w:sz w:val="22"/>
    </w:rPr>
  </w:style>
  <w:style w:type="paragraph" w:customStyle="1" w:styleId="47">
    <w:name w:val="表格"/>
    <w:basedOn w:val="1"/>
    <w:qFormat/>
    <w:uiPriority w:val="0"/>
    <w:pPr>
      <w:widowControl/>
    </w:pPr>
    <w:rPr>
      <w:rFonts w:hint="eastAsia" w:ascii="宋体" w:hAnsi="宋体" w:eastAsia="宋体" w:cs="Times New Roman"/>
      <w:color w:val="000000"/>
      <w:kern w:val="0"/>
      <w:szCs w:val="21"/>
    </w:rPr>
  </w:style>
  <w:style w:type="paragraph" w:customStyle="1" w:styleId="48">
    <w:name w:val="样式6"/>
    <w:basedOn w:val="1"/>
    <w:qFormat/>
    <w:uiPriority w:val="0"/>
    <w:pPr>
      <w:autoSpaceDE w:val="0"/>
      <w:autoSpaceDN w:val="0"/>
      <w:spacing w:line="360" w:lineRule="auto"/>
    </w:pPr>
    <w:rPr>
      <w:rFonts w:ascii="Calibri" w:hAnsi="Calibri" w:eastAsia="宋体" w:cs="Times New Roman"/>
      <w:szCs w:val="21"/>
    </w:rPr>
  </w:style>
  <w:style w:type="paragraph" w:customStyle="1" w:styleId="49">
    <w:name w:val="Table Heading"/>
    <w:basedOn w:val="50"/>
    <w:qFormat/>
    <w:uiPriority w:val="0"/>
    <w:pPr>
      <w:spacing w:before="120" w:after="120"/>
    </w:pPr>
    <w:rPr>
      <w:b/>
    </w:rPr>
  </w:style>
  <w:style w:type="paragraph" w:customStyle="1" w:styleId="50">
    <w:name w:val="Table Text"/>
    <w:basedOn w:val="1"/>
    <w:qFormat/>
    <w:uiPriority w:val="0"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51">
    <w:name w:val="ALT+1正文"/>
    <w:basedOn w:val="1"/>
    <w:qFormat/>
    <w:uiPriority w:val="0"/>
    <w:pPr>
      <w:spacing w:line="360" w:lineRule="auto"/>
      <w:ind w:firstLine="539"/>
    </w:pPr>
    <w:rPr>
      <w:szCs w:val="20"/>
    </w:rPr>
  </w:style>
  <w:style w:type="character" w:customStyle="1" w:styleId="52">
    <w:name w:val="批注框文本 字符"/>
    <w:basedOn w:val="29"/>
    <w:link w:val="16"/>
    <w:semiHidden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53">
    <w:name w:val="标题 7 字符"/>
    <w:basedOn w:val="29"/>
    <w:link w:val="8"/>
    <w:uiPriority w:val="9"/>
    <w:rPr>
      <w:rFonts w:asciiTheme="minorHAnsi" w:hAnsiTheme="minorHAnsi" w:eastAsiaTheme="minorEastAsia" w:cstheme="minorBidi"/>
      <w:b/>
      <w:bCs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8BEF445-D6DD-4F46-B47F-66436BEBDDB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40</Pages>
  <Words>2365</Words>
  <Characters>13482</Characters>
  <Lines>112</Lines>
  <Paragraphs>31</Paragraphs>
  <TotalTime>12</TotalTime>
  <ScaleCrop>false</ScaleCrop>
  <LinksUpToDate>false</LinksUpToDate>
  <CharactersWithSpaces>15816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2021-12-23T11:19:00Z</dcterms:created>
  <dc:creator>Tencent</dc:creator>
  <cp:lastModifiedBy>Admin</cp:lastModifiedBy>
  <cp:lastPrinted>2025-05-21T07:47:00Z</cp:lastPrinted>
  <dcterms:modified xsi:type="dcterms:W3CDTF">2025-06-10T11:03:56Z</dcterms:modified>
  <cp:revision>296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