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8FF3E2">
      <w:pPr>
        <w:pStyle w:val="2"/>
      </w:pPr>
      <w:bookmarkStart w:id="0" w:name="逻辑证伪应对系统-股票交易执行清单"/>
      <w:r>
        <w:rPr>
          <w:rFonts w:hint="eastAsia"/>
        </w:rPr>
        <w:t>逻辑证伪应对系统</w:t>
      </w:r>
      <w:r>
        <w:t xml:space="preserve"> · </w:t>
      </w:r>
      <w:r>
        <w:rPr>
          <w:rFonts w:hint="eastAsia"/>
        </w:rPr>
        <w:t>股票交易执行清单</w:t>
      </w:r>
    </w:p>
    <w:p w14:paraId="65B0E5FF">
      <w:pPr>
        <w:pStyle w:val="13"/>
        <w:jc w:val="left"/>
      </w:pPr>
      <w:r>
        <w:rPr>
          <w:rFonts w:hint="eastAsia"/>
          <w:b/>
          <w:bCs/>
        </w:rPr>
        <w:t>系统目标</w:t>
      </w:r>
      <w:r>
        <w:rPr>
          <w:rFonts w:hint="eastAsia"/>
        </w:rPr>
        <w:t>：不是每次看对，而是看错时有规则、亏得可控、看对时拿得住。</w:t>
      </w:r>
      <w:r>
        <w:br w:type="textWrapping"/>
      </w:r>
      <w:r>
        <w:rPr>
          <w:rFonts w:hint="eastAsia"/>
        </w:rPr>
        <w:t>来源：《逻辑证伪应对系统》—</w:t>
      </w:r>
      <w:r>
        <w:t xml:space="preserve"> </w:t>
      </w:r>
      <w:r>
        <w:rPr>
          <w:rFonts w:hint="eastAsia"/>
        </w:rPr>
        <w:t>把预测转化为预案，把情绪转化为规则。</w:t>
      </w:r>
    </w:p>
    <w:p w14:paraId="52710A7E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BE0CA50">
      <w:pPr>
        <w:pStyle w:val="4"/>
      </w:pPr>
      <w:bookmarkStart w:id="1" w:name="一交易前总原则rules-before-trade"/>
      <w:r>
        <w:rPr>
          <w:rFonts w:hint="eastAsia"/>
        </w:rPr>
        <w:t>一、交易前总原则（RULES</w:t>
      </w:r>
      <w:r>
        <w:t xml:space="preserve"> BEFORE </w:t>
      </w:r>
      <w:r>
        <w:rPr>
          <w:rFonts w:hint="eastAsia"/>
        </w:rPr>
        <w:t>TRADE）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"/>
        <w:gridCol w:w="6512"/>
        <w:gridCol w:w="696"/>
      </w:tblGrid>
      <w:tr w14:paraId="7C2047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BF65284">
            <w:pPr>
              <w:pStyle w:val="24"/>
            </w:pPr>
            <w:r>
              <w:t>#</w:t>
            </w:r>
          </w:p>
        </w:tc>
        <w:tc>
          <w:p w14:paraId="0D0C03EB">
            <w:pPr>
              <w:pStyle w:val="24"/>
            </w:pPr>
            <w:r>
              <w:rPr>
                <w:rFonts w:hint="eastAsia"/>
              </w:rPr>
              <w:t>原则</w:t>
            </w:r>
          </w:p>
        </w:tc>
        <w:tc>
          <w:p w14:paraId="222C024D">
            <w:pPr>
              <w:pStyle w:val="24"/>
            </w:pPr>
            <w:r>
              <w:rPr>
                <w:rFonts w:hint="eastAsia"/>
              </w:rPr>
              <w:t>自检</w:t>
            </w:r>
          </w:p>
        </w:tc>
      </w:tr>
      <w:tr w14:paraId="4CDF8B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F2FE26">
            <w:pPr>
              <w:pStyle w:val="24"/>
            </w:pPr>
            <w:r>
              <w:t>□</w:t>
            </w:r>
          </w:p>
        </w:tc>
        <w:tc>
          <w:p w14:paraId="5D13AFEF">
            <w:pPr>
              <w:pStyle w:val="24"/>
            </w:pPr>
            <w:r>
              <w:rPr>
                <w:rFonts w:hint="eastAsia"/>
              </w:rPr>
              <w:t>把「预测」转化为「预案」，不凭感觉下单</w:t>
            </w:r>
          </w:p>
        </w:tc>
        <w:tc>
          <w:p w14:paraId="0F7DA247">
            <w:pPr>
              <w:pStyle w:val="24"/>
            </w:pPr>
          </w:p>
        </w:tc>
      </w:tr>
      <w:tr w14:paraId="152811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B35830">
            <w:pPr>
              <w:pStyle w:val="24"/>
            </w:pPr>
            <w:r>
              <w:t>□</w:t>
            </w:r>
          </w:p>
        </w:tc>
        <w:tc>
          <w:p w14:paraId="4C77FBF9">
            <w:pPr>
              <w:pStyle w:val="24"/>
            </w:pPr>
            <w:r>
              <w:rPr>
                <w:rFonts w:hint="eastAsia"/>
              </w:rPr>
              <w:t>把「情绪」转化为「规则」，盘中波动不替代确认</w:t>
            </w:r>
          </w:p>
        </w:tc>
        <w:tc>
          <w:p w14:paraId="51F62782">
            <w:pPr>
              <w:pStyle w:val="24"/>
            </w:pPr>
          </w:p>
        </w:tc>
      </w:tr>
      <w:tr w14:paraId="06FDBD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674DDD">
            <w:pPr>
              <w:pStyle w:val="24"/>
            </w:pPr>
            <w:r>
              <w:t>□</w:t>
            </w:r>
          </w:p>
        </w:tc>
        <w:tc>
          <w:p w14:paraId="3B40581C">
            <w:pPr>
              <w:pStyle w:val="24"/>
            </w:pPr>
            <w:r>
              <w:rPr>
                <w:rFonts w:hint="eastAsia"/>
              </w:rPr>
              <w:t>逻辑证伪</w:t>
            </w:r>
            <w:r>
              <w:t xml:space="preserve"> ≠ </w:t>
            </w:r>
            <w:r>
              <w:rPr>
                <w:rFonts w:hint="eastAsia"/>
              </w:rPr>
              <w:t>固定比例止损，而是「买入理由被推翻就退出」</w:t>
            </w:r>
          </w:p>
        </w:tc>
        <w:tc>
          <w:p w14:paraId="1EF2AE4F">
            <w:pPr>
              <w:pStyle w:val="24"/>
            </w:pPr>
          </w:p>
        </w:tc>
      </w:tr>
      <w:tr w14:paraId="421FD0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AD6157">
            <w:pPr>
              <w:pStyle w:val="24"/>
            </w:pPr>
            <w:r>
              <w:t>□</w:t>
            </w:r>
          </w:p>
        </w:tc>
        <w:tc>
          <w:p w14:paraId="7F9A6888">
            <w:pPr>
              <w:pStyle w:val="24"/>
            </w:pPr>
            <w:r>
              <w:t xml:space="preserve">A </w:t>
            </w:r>
            <w:r>
              <w:rPr>
                <w:rFonts w:hint="eastAsia"/>
              </w:rPr>
              <w:t>股</w:t>
            </w:r>
            <w:r>
              <w:t xml:space="preserve"> </w:t>
            </w:r>
            <w:r>
              <w:rPr>
                <w:rFonts w:hint="eastAsia"/>
              </w:rPr>
              <w:t>T+1：以</w:t>
            </w:r>
            <w:r>
              <w:rPr>
                <w:rFonts w:hint="eastAsia"/>
                <w:b/>
                <w:bCs/>
              </w:rPr>
              <w:t>收盘确认</w:t>
            </w:r>
            <w:r>
              <w:rPr>
                <w:rFonts w:hint="eastAsia"/>
              </w:rPr>
              <w:t>为准，盘中假突破/假跌破不算数</w:t>
            </w:r>
          </w:p>
        </w:tc>
        <w:tc>
          <w:p w14:paraId="609AB5B0">
            <w:pPr>
              <w:pStyle w:val="24"/>
            </w:pPr>
          </w:p>
        </w:tc>
      </w:tr>
    </w:tbl>
    <w:p w14:paraId="6F4B1056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F66A7D2">
      <w:pPr>
        <w:pStyle w:val="4"/>
      </w:pPr>
      <w:bookmarkStart w:id="2" w:name="二买入前四问预案必答"/>
      <w:r>
        <w:rPr>
          <w:rFonts w:hint="eastAsia"/>
        </w:rPr>
        <w:t>二、买入前：四问预案（必答）</w:t>
      </w:r>
    </w:p>
    <w:p w14:paraId="18A2F981">
      <w:pPr>
        <w:pStyle w:val="23"/>
      </w:pPr>
      <w:r>
        <w:rPr>
          <w:rFonts w:hint="eastAsia"/>
        </w:rPr>
        <w:t>每笔交易买入前，必须书面回答以下四个问题。</w:t>
      </w:r>
    </w:p>
    <w:p w14:paraId="30C07615">
      <w:pPr>
        <w:pStyle w:val="5"/>
      </w:pPr>
      <w:bookmarkStart w:id="3" w:name="q1我为什么买"/>
      <w:r>
        <w:rPr>
          <w:rFonts w:hint="eastAsia"/>
        </w:rPr>
        <w:t>Q1：我为什么买？</w:t>
      </w:r>
    </w:p>
    <w:tbl>
      <w:tblPr>
        <w:tblStyle w:val="41"/>
        <w:tblW w:w="4907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8"/>
        <w:gridCol w:w="6325"/>
        <w:gridCol w:w="1418"/>
      </w:tblGrid>
      <w:tr w14:paraId="5BDB01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5D720FD">
            <w:pPr>
              <w:pStyle w:val="24"/>
            </w:pPr>
            <w:r>
              <w:rPr>
                <w:rFonts w:hint="eastAsia"/>
              </w:rPr>
              <w:t>维度</w:t>
            </w:r>
          </w:p>
        </w:tc>
        <w:tc>
          <w:p w14:paraId="7137BADB">
            <w:pPr>
              <w:pStyle w:val="24"/>
            </w:pPr>
            <w:r>
              <w:rPr>
                <w:rFonts w:hint="eastAsia"/>
              </w:rPr>
              <w:t>具体条件（可检验，禁止写「感觉看涨」）</w:t>
            </w:r>
          </w:p>
        </w:tc>
        <w:tc>
          <w:tcPr>
            <w:tcW w:w="815" w:type="pct"/>
          </w:tcPr>
          <w:p w14:paraId="10EBCBB5">
            <w:pPr>
              <w:pStyle w:val="24"/>
            </w:pPr>
            <w:r>
              <w:rPr>
                <w:rFonts w:hint="eastAsia"/>
              </w:rPr>
              <w:t>是否满足</w:t>
            </w:r>
          </w:p>
        </w:tc>
      </w:tr>
      <w:tr w14:paraId="39974A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5DA1EB">
            <w:pPr>
              <w:pStyle w:val="24"/>
            </w:pPr>
            <w:r>
              <w:rPr>
                <w:rFonts w:hint="eastAsia"/>
                <w:b/>
                <w:bCs/>
              </w:rPr>
              <w:t>周期条件</w:t>
            </w:r>
          </w:p>
        </w:tc>
        <w:tc>
          <w:p w14:paraId="1FD6DD41">
            <w:pPr>
              <w:pStyle w:val="24"/>
            </w:pPr>
            <w:r>
              <w:rPr>
                <w:rFonts w:hint="eastAsia"/>
              </w:rPr>
              <w:t>例：月线趋势向上；周线回调至支撑位；日线放量确认</w:t>
            </w:r>
          </w:p>
        </w:tc>
        <w:tc>
          <w:tcPr>
            <w:tcW w:w="815" w:type="pct"/>
          </w:tcPr>
          <w:p w14:paraId="09FCF85D">
            <w:pPr>
              <w:pStyle w:val="24"/>
            </w:pPr>
            <w:r>
              <w:t>□</w:t>
            </w:r>
          </w:p>
        </w:tc>
      </w:tr>
      <w:tr w14:paraId="07E239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0670C1">
            <w:pPr>
              <w:pStyle w:val="24"/>
            </w:pPr>
            <w:r>
              <w:rPr>
                <w:rFonts w:hint="eastAsia"/>
                <w:b/>
                <w:bCs/>
              </w:rPr>
              <w:t>结构条件</w:t>
            </w:r>
          </w:p>
        </w:tc>
        <w:tc>
          <w:p w14:paraId="228028BA">
            <w:pPr>
              <w:pStyle w:val="24"/>
            </w:pPr>
            <w:r>
              <w:rPr>
                <w:rFonts w:hint="eastAsia"/>
              </w:rPr>
              <w:t>例：价格站上关键均线/平台/趋势线；支撑与阻力位置清晰</w:t>
            </w:r>
          </w:p>
        </w:tc>
        <w:tc>
          <w:tcPr>
            <w:tcW w:w="815" w:type="pct"/>
          </w:tcPr>
          <w:p w14:paraId="4DEC600B">
            <w:pPr>
              <w:pStyle w:val="24"/>
            </w:pPr>
            <w:r>
              <w:t>□</w:t>
            </w:r>
          </w:p>
        </w:tc>
      </w:tr>
      <w:tr w14:paraId="4C06F2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9D27B9">
            <w:pPr>
              <w:pStyle w:val="24"/>
            </w:pPr>
            <w:r>
              <w:rPr>
                <w:rFonts w:hint="eastAsia"/>
                <w:b/>
                <w:bCs/>
              </w:rPr>
              <w:t>环境条件</w:t>
            </w:r>
          </w:p>
        </w:tc>
        <w:tc>
          <w:p w14:paraId="7A51C4E2">
            <w:pPr>
              <w:pStyle w:val="24"/>
            </w:pPr>
            <w:r>
              <w:rPr>
                <w:rFonts w:hint="eastAsia"/>
              </w:rPr>
              <w:t>例：板块资金仍在流入；大盘无系统性风险</w:t>
            </w:r>
          </w:p>
        </w:tc>
        <w:tc>
          <w:tcPr>
            <w:tcW w:w="815" w:type="pct"/>
          </w:tcPr>
          <w:p w14:paraId="42F97EF1">
            <w:pPr>
              <w:pStyle w:val="24"/>
            </w:pPr>
            <w:r>
              <w:t>□</w:t>
            </w:r>
          </w:p>
        </w:tc>
      </w:tr>
    </w:tbl>
    <w:p w14:paraId="00359EA5">
      <w:pPr>
        <w:pStyle w:val="3"/>
      </w:pPr>
      <w:r>
        <w:rPr>
          <w:rFonts w:hint="eastAsia"/>
          <w:b/>
          <w:bCs/>
        </w:rPr>
        <w:t>买入理由汇总（一句话）：</w:t>
      </w:r>
      <w:r>
        <w:t xml:space="preserve"> _______________________________________________</w:t>
      </w:r>
    </w:p>
    <w:bookmarkEnd w:id="3"/>
    <w:p w14:paraId="353C2161">
      <w:pPr>
        <w:pStyle w:val="5"/>
      </w:pPr>
      <w:bookmarkStart w:id="4" w:name="q2我错在哪里会被证明证伪条件与-q1-一一对应"/>
      <w:r>
        <w:rPr>
          <w:rFonts w:hint="eastAsia"/>
        </w:rPr>
        <w:t>Q2：我错在哪里会被证明？（证伪条件，与</w:t>
      </w:r>
      <w:r>
        <w:t xml:space="preserve"> Q1 </w:t>
      </w:r>
      <w:r>
        <w:rPr>
          <w:rFonts w:hint="eastAsia"/>
        </w:rPr>
        <w:t>一一对应）</w:t>
      </w:r>
    </w:p>
    <w:tbl>
      <w:tblPr>
        <w:tblStyle w:val="41"/>
        <w:tblW w:w="4907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6"/>
        <w:gridCol w:w="5383"/>
        <w:gridCol w:w="1572"/>
      </w:tblGrid>
      <w:tr w14:paraId="6F6D16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83DD182">
            <w:pPr>
              <w:pStyle w:val="24"/>
            </w:pPr>
            <w:r>
              <w:rPr>
                <w:rFonts w:hint="eastAsia"/>
              </w:rPr>
              <w:t>买入理由</w:t>
            </w:r>
          </w:p>
        </w:tc>
        <w:tc>
          <w:p w14:paraId="2BD1237E">
            <w:pPr>
              <w:pStyle w:val="24"/>
            </w:pPr>
            <w:r>
              <w:rPr>
                <w:rFonts w:hint="eastAsia"/>
              </w:rPr>
              <w:t>对应证伪条件（可观察、可执行）</w:t>
            </w:r>
          </w:p>
        </w:tc>
        <w:tc>
          <w:tcPr>
            <w:tcW w:w="904" w:type="pct"/>
          </w:tcPr>
          <w:p w14:paraId="31180A5E">
            <w:pPr>
              <w:pStyle w:val="24"/>
            </w:pPr>
            <w:r>
              <w:rPr>
                <w:rFonts w:hint="eastAsia"/>
              </w:rPr>
              <w:t>确认周期</w:t>
            </w:r>
          </w:p>
        </w:tc>
      </w:tr>
      <w:tr w14:paraId="3E4632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80E8A1">
            <w:pPr>
              <w:pStyle w:val="24"/>
            </w:pPr>
            <w:r>
              <w:rPr>
                <w:rFonts w:hint="eastAsia"/>
              </w:rPr>
              <w:t>月线趋势向上</w:t>
            </w:r>
          </w:p>
        </w:tc>
        <w:tc>
          <w:p w14:paraId="5F9D2959">
            <w:pPr>
              <w:pStyle w:val="24"/>
            </w:pPr>
            <w:r>
              <w:rPr>
                <w:rFonts w:hint="eastAsia"/>
              </w:rPr>
              <w:t>跌破</w:t>
            </w:r>
            <w:r>
              <w:t xml:space="preserve"> 20 </w:t>
            </w:r>
            <w:r>
              <w:rPr>
                <w:rFonts w:hint="eastAsia"/>
              </w:rPr>
              <w:t>月线且</w:t>
            </w:r>
            <w:r>
              <w:rPr>
                <w:rFonts w:hint="eastAsia"/>
                <w:b/>
                <w:bCs/>
              </w:rPr>
              <w:t>收盘无法收回</w:t>
            </w:r>
            <w:r>
              <w:t xml:space="preserve"> → </w:t>
            </w:r>
            <w:r>
              <w:rPr>
                <w:rFonts w:hint="eastAsia"/>
              </w:rPr>
              <w:t>长期趋势假设不成立</w:t>
            </w:r>
          </w:p>
        </w:tc>
        <w:tc>
          <w:tcPr>
            <w:tcW w:w="904" w:type="pct"/>
          </w:tcPr>
          <w:p w14:paraId="6566877D">
            <w:pPr>
              <w:pStyle w:val="24"/>
            </w:pPr>
            <w:r>
              <w:rPr>
                <w:rFonts w:hint="eastAsia"/>
              </w:rPr>
              <w:t>月末收盘</w:t>
            </w:r>
          </w:p>
        </w:tc>
      </w:tr>
      <w:tr w14:paraId="74ABF3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E9E63B">
            <w:pPr>
              <w:pStyle w:val="24"/>
            </w:pPr>
            <w:r>
              <w:rPr>
                <w:rFonts w:hint="eastAsia"/>
              </w:rPr>
              <w:t>周线回调支撑</w:t>
            </w:r>
          </w:p>
        </w:tc>
        <w:tc>
          <w:p w14:paraId="1FE35AEC">
            <w:pPr>
              <w:pStyle w:val="24"/>
            </w:pPr>
            <w:r>
              <w:rPr>
                <w:rFonts w:hint="eastAsia"/>
                <w:b/>
                <w:bCs/>
              </w:rPr>
              <w:t>周收盘</w:t>
            </w:r>
            <w:r>
              <w:rPr>
                <w:rFonts w:hint="eastAsia"/>
              </w:rPr>
              <w:t>跌破关键支撑</w:t>
            </w:r>
            <w:r>
              <w:t xml:space="preserve"> → </w:t>
            </w:r>
            <w:r>
              <w:rPr>
                <w:rFonts w:hint="eastAsia"/>
              </w:rPr>
              <w:t>波段持有逻辑降级</w:t>
            </w:r>
          </w:p>
        </w:tc>
        <w:tc>
          <w:tcPr>
            <w:tcW w:w="904" w:type="pct"/>
          </w:tcPr>
          <w:p w14:paraId="7DFE540B">
            <w:pPr>
              <w:pStyle w:val="24"/>
            </w:pPr>
            <w:r>
              <w:rPr>
                <w:rFonts w:hint="eastAsia"/>
              </w:rPr>
              <w:t>周五收盘</w:t>
            </w:r>
          </w:p>
        </w:tc>
      </w:tr>
      <w:tr w14:paraId="6F8FB7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88F5AC">
            <w:pPr>
              <w:pStyle w:val="24"/>
            </w:pPr>
            <w:r>
              <w:rPr>
                <w:rFonts w:hint="eastAsia"/>
              </w:rPr>
              <w:t>日线放量确认</w:t>
            </w:r>
          </w:p>
        </w:tc>
        <w:tc>
          <w:p w14:paraId="7C361836">
            <w:pPr>
              <w:pStyle w:val="24"/>
            </w:pPr>
            <w:r>
              <w:rPr>
                <w:rFonts w:hint="eastAsia"/>
              </w:rPr>
              <w:t>放量突破后</w:t>
            </w:r>
            <w:r>
              <w:rPr>
                <w:rFonts w:hint="eastAsia"/>
                <w:b/>
                <w:bCs/>
              </w:rPr>
              <w:t>缩量跌回平台</w:t>
            </w:r>
            <w:r>
              <w:t xml:space="preserve"> → </w:t>
            </w:r>
            <w:r>
              <w:rPr>
                <w:rFonts w:hint="eastAsia"/>
              </w:rPr>
              <w:t>突破真实性被证伪</w:t>
            </w:r>
          </w:p>
        </w:tc>
        <w:tc>
          <w:tcPr>
            <w:tcW w:w="904" w:type="pct"/>
          </w:tcPr>
          <w:p w14:paraId="5BFDD706">
            <w:pPr>
              <w:pStyle w:val="24"/>
            </w:pPr>
            <w:r>
              <w:rPr>
                <w:rFonts w:hint="eastAsia"/>
              </w:rPr>
              <w:t>日收盘</w:t>
            </w:r>
          </w:p>
        </w:tc>
      </w:tr>
      <w:tr w14:paraId="097252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9CA1A1">
            <w:pPr>
              <w:pStyle w:val="24"/>
            </w:pPr>
            <w:r>
              <w:rPr>
                <w:rFonts w:hint="eastAsia"/>
              </w:rPr>
              <w:t>板块资金流入</w:t>
            </w:r>
          </w:p>
        </w:tc>
        <w:tc>
          <w:p w14:paraId="264A80B0">
            <w:pPr>
              <w:pStyle w:val="24"/>
            </w:pPr>
            <w:r>
              <w:rPr>
                <w:rFonts w:hint="eastAsia"/>
              </w:rPr>
              <w:t>板块指数持续走弱，个股相对强度消失</w:t>
            </w:r>
          </w:p>
        </w:tc>
        <w:tc>
          <w:tcPr>
            <w:tcW w:w="904" w:type="pct"/>
          </w:tcPr>
          <w:p w14:paraId="4B4E091C">
            <w:pPr>
              <w:pStyle w:val="24"/>
            </w:pPr>
            <w:r>
              <w:rPr>
                <w:rFonts w:hint="eastAsia"/>
              </w:rPr>
              <w:t>日/周收盘</w:t>
            </w:r>
          </w:p>
        </w:tc>
      </w:tr>
      <w:tr w14:paraId="294472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92D433">
            <w:pPr>
              <w:pStyle w:val="24"/>
            </w:pPr>
            <w:r>
              <w:rPr>
                <w:rFonts w:hint="eastAsia"/>
              </w:rPr>
              <w:t>（自定义）</w:t>
            </w:r>
          </w:p>
        </w:tc>
        <w:tc>
          <w:p w14:paraId="7865CDB6">
            <w:pPr>
              <w:pStyle w:val="24"/>
            </w:pPr>
          </w:p>
        </w:tc>
        <w:tc>
          <w:tcPr>
            <w:tcW w:w="904" w:type="pct"/>
          </w:tcPr>
          <w:p w14:paraId="2B137140">
            <w:pPr>
              <w:pStyle w:val="24"/>
            </w:pPr>
          </w:p>
        </w:tc>
      </w:tr>
    </w:tbl>
    <w:p w14:paraId="3BF2697E">
      <w:pPr>
        <w:pStyle w:val="3"/>
      </w:pPr>
      <w:r>
        <w:rPr>
          <w:rFonts w:hint="eastAsia"/>
          <w:b/>
          <w:bCs/>
        </w:rPr>
        <w:t>我的证伪条件汇总：</w:t>
      </w:r>
    </w:p>
    <w:p w14:paraId="1DA6CCFF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6869A31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11A28BF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4C551362">
      <w:pPr>
        <w:pStyle w:val="5"/>
      </w:pPr>
      <w:bookmarkStart w:id="5" w:name="q3如果错了在哪里退出"/>
      <w:r>
        <w:rPr>
          <w:rFonts w:hint="eastAsia"/>
        </w:rPr>
        <w:t>Q3：如果错了，在哪里退出？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4"/>
        <w:gridCol w:w="1319"/>
      </w:tblGrid>
      <w:tr w14:paraId="7C251F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5036D03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15D9F229">
            <w:pPr>
              <w:pStyle w:val="24"/>
            </w:pPr>
            <w:r>
              <w:rPr>
                <w:rFonts w:hint="eastAsia"/>
              </w:rPr>
              <w:t>预设值</w:t>
            </w:r>
          </w:p>
        </w:tc>
      </w:tr>
      <w:tr w14:paraId="358AD8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E1301F">
            <w:pPr>
              <w:pStyle w:val="24"/>
            </w:pPr>
            <w:r>
              <w:rPr>
                <w:rFonts w:hint="eastAsia"/>
              </w:rPr>
              <w:t>关键止损位（结构支撑/均线/平台下沿）</w:t>
            </w:r>
          </w:p>
        </w:tc>
        <w:tc>
          <w:p w14:paraId="7C9F5750">
            <w:pPr>
              <w:pStyle w:val="24"/>
            </w:pPr>
            <w:r>
              <w:t xml:space="preserve">________ </w:t>
            </w:r>
            <w:r>
              <w:rPr>
                <w:rFonts w:hint="eastAsia"/>
              </w:rPr>
              <w:t>元</w:t>
            </w:r>
          </w:p>
        </w:tc>
      </w:tr>
      <w:tr w14:paraId="29D0C7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F6C568">
            <w:pPr>
              <w:pStyle w:val="24"/>
            </w:pPr>
            <w:r>
              <w:rPr>
                <w:rFonts w:hint="eastAsia"/>
              </w:rPr>
              <w:t>确认周期（日/周/月收盘）</w:t>
            </w:r>
          </w:p>
        </w:tc>
        <w:tc>
          <w:p w14:paraId="7774BE25">
            <w:pPr>
              <w:pStyle w:val="24"/>
            </w:pPr>
            <w:r>
              <w:t>________</w:t>
            </w:r>
          </w:p>
        </w:tc>
      </w:tr>
      <w:tr w14:paraId="09F357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78BE80">
            <w:pPr>
              <w:pStyle w:val="24"/>
            </w:pPr>
            <w:r>
              <w:rPr>
                <w:rFonts w:hint="eastAsia"/>
              </w:rPr>
              <w:t>触发后动作（减仓</w:t>
            </w:r>
            <w:r>
              <w:t xml:space="preserve"> / </w:t>
            </w:r>
            <w:r>
              <w:rPr>
                <w:rFonts w:hint="eastAsia"/>
              </w:rPr>
              <w:t>清仓</w:t>
            </w:r>
            <w:r>
              <w:t xml:space="preserve"> / </w:t>
            </w:r>
            <w:r>
              <w:rPr>
                <w:rFonts w:hint="eastAsia"/>
              </w:rPr>
              <w:t>停手）</w:t>
            </w:r>
          </w:p>
        </w:tc>
        <w:tc>
          <w:p w14:paraId="370A077D">
            <w:pPr>
              <w:pStyle w:val="24"/>
            </w:pPr>
            <w:r>
              <w:t>________</w:t>
            </w:r>
          </w:p>
        </w:tc>
      </w:tr>
      <w:tr w14:paraId="1FE92C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C56122">
            <w:pPr>
              <w:pStyle w:val="24"/>
            </w:pPr>
            <w:r>
              <w:rPr>
                <w:rFonts w:hint="eastAsia"/>
              </w:rPr>
              <w:t>最大可接受亏损（金额或仓位比例）</w:t>
            </w:r>
          </w:p>
        </w:tc>
        <w:tc>
          <w:p w14:paraId="5FCF1856">
            <w:pPr>
              <w:pStyle w:val="24"/>
            </w:pPr>
            <w:r>
              <w:t>________</w:t>
            </w:r>
          </w:p>
        </w:tc>
      </w:tr>
      <w:bookmarkEnd w:id="5"/>
    </w:tbl>
    <w:p w14:paraId="05154DB3">
      <w:pPr>
        <w:pStyle w:val="5"/>
      </w:pPr>
      <w:bookmarkStart w:id="6" w:name="q4如果对了如何处理"/>
      <w:r>
        <w:rPr>
          <w:rFonts w:hint="eastAsia"/>
        </w:rPr>
        <w:t>Q4：如果对了，如何处理？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6"/>
        <w:gridCol w:w="5060"/>
      </w:tblGrid>
      <w:tr w14:paraId="586237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0C8B0B7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1C661E07">
            <w:pPr>
              <w:pStyle w:val="24"/>
            </w:pPr>
            <w:r>
              <w:rPr>
                <w:rFonts w:hint="eastAsia"/>
              </w:rPr>
              <w:t>预设值</w:t>
            </w:r>
          </w:p>
        </w:tc>
      </w:tr>
      <w:tr w14:paraId="5CA605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77F1E7">
            <w:pPr>
              <w:pStyle w:val="24"/>
            </w:pPr>
            <w:r>
              <w:rPr>
                <w:rFonts w:hint="eastAsia"/>
              </w:rPr>
              <w:t>加仓条件（例：回踩支撑+放量再启）</w:t>
            </w:r>
          </w:p>
        </w:tc>
        <w:tc>
          <w:p w14:paraId="6BD0EBAB">
            <w:pPr>
              <w:pStyle w:val="24"/>
            </w:pPr>
            <w:r>
              <w:t>_______________________________________________</w:t>
            </w:r>
          </w:p>
        </w:tc>
      </w:tr>
      <w:tr w14:paraId="230FC9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6DC233">
            <w:pPr>
              <w:pStyle w:val="24"/>
            </w:pPr>
            <w:r>
              <w:rPr>
                <w:rFonts w:hint="eastAsia"/>
              </w:rPr>
              <w:t>止盈条件（例：到达前高/乖离过大/结构转弱）</w:t>
            </w:r>
          </w:p>
        </w:tc>
        <w:tc>
          <w:p w14:paraId="6AA40691">
            <w:pPr>
              <w:pStyle w:val="24"/>
            </w:pPr>
            <w:r>
              <w:t>_______________________________________________</w:t>
            </w:r>
          </w:p>
        </w:tc>
      </w:tr>
      <w:tr w14:paraId="463E94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EF0C5E">
            <w:pPr>
              <w:pStyle w:val="24"/>
            </w:pPr>
            <w:r>
              <w:rPr>
                <w:rFonts w:hint="eastAsia"/>
              </w:rPr>
              <w:t>持有条件（例：周线结构未破坏则继续持有）</w:t>
            </w:r>
          </w:p>
        </w:tc>
        <w:tc>
          <w:p w14:paraId="287EB911">
            <w:pPr>
              <w:pStyle w:val="24"/>
            </w:pPr>
            <w:r>
              <w:t>_______________________________________________</w:t>
            </w:r>
          </w:p>
        </w:tc>
      </w:tr>
      <w:tr w14:paraId="38AB71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324C49">
            <w:pPr>
              <w:pStyle w:val="24"/>
            </w:pPr>
            <w:r>
              <w:rPr>
                <w:rFonts w:hint="eastAsia"/>
              </w:rPr>
              <w:t>是否允许补仓摊平</w:t>
            </w:r>
          </w:p>
        </w:tc>
        <w:tc>
          <w:p w14:paraId="21C7D757">
            <w:pPr>
              <w:pStyle w:val="24"/>
            </w:pPr>
            <w:r>
              <w:t xml:space="preserve">□ </w:t>
            </w:r>
            <w:r>
              <w:rPr>
                <w:rFonts w:hint="eastAsia"/>
              </w:rPr>
              <w:t>允许</w:t>
            </w:r>
            <w:r>
              <w:t xml:space="preserve">　□ </w:t>
            </w:r>
            <w:r>
              <w:rPr>
                <w:rFonts w:hint="eastAsia"/>
                <w:b/>
                <w:bCs/>
              </w:rPr>
              <w:t>禁止</w:t>
            </w:r>
            <w:r>
              <w:rPr>
                <w:rFonts w:hint="eastAsia"/>
              </w:rPr>
              <w:t>（逻辑完全反向时禁止）</w:t>
            </w:r>
          </w:p>
        </w:tc>
      </w:tr>
    </w:tbl>
    <w:p w14:paraId="6CD94C43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6"/>
    <w:p w14:paraId="38DE5010">
      <w:pPr>
        <w:pStyle w:val="4"/>
      </w:pPr>
      <w:bookmarkStart w:id="7" w:name="三分层应对规则持仓期间"/>
      <w:r>
        <w:rPr>
          <w:rFonts w:hint="eastAsia"/>
        </w:rPr>
        <w:t>三、分层应对规则（持仓期间）</w:t>
      </w:r>
    </w:p>
    <w:p w14:paraId="1E816899">
      <w:pPr>
        <w:pStyle w:val="13"/>
      </w:pPr>
      <w:r>
        <w:rPr>
          <w:rFonts w:hint="eastAsia"/>
        </w:rPr>
        <w:t>不要把所有波动都当成卖出信号。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3"/>
        <w:gridCol w:w="3406"/>
        <w:gridCol w:w="3406"/>
      </w:tblGrid>
      <w:tr w14:paraId="64736E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37D4234">
            <w:pPr>
              <w:pStyle w:val="24"/>
            </w:pPr>
            <w:r>
              <w:rPr>
                <w:rFonts w:hint="eastAsia"/>
              </w:rPr>
              <w:t>层级</w:t>
            </w:r>
          </w:p>
        </w:tc>
        <w:tc>
          <w:p w14:paraId="45E185EB">
            <w:pPr>
              <w:pStyle w:val="24"/>
            </w:pPr>
            <w:r>
              <w:rPr>
                <w:rFonts w:hint="eastAsia"/>
              </w:rPr>
              <w:t>触发情形</w:t>
            </w:r>
          </w:p>
        </w:tc>
        <w:tc>
          <w:p w14:paraId="4C92B1E3">
            <w:pPr>
              <w:pStyle w:val="24"/>
            </w:pPr>
            <w:r>
              <w:rPr>
                <w:rFonts w:hint="eastAsia"/>
              </w:rPr>
              <w:t>应对动作</w:t>
            </w:r>
          </w:p>
        </w:tc>
      </w:tr>
      <w:tr w14:paraId="6436BD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1257AE">
            <w:pPr>
              <w:pStyle w:val="24"/>
            </w:pPr>
            <w:r>
              <w:rPr>
                <w:rFonts w:hint="eastAsia"/>
                <w:b/>
                <w:bCs/>
              </w:rPr>
              <w:t>轻微异常</w:t>
            </w:r>
          </w:p>
        </w:tc>
        <w:tc>
          <w:p w14:paraId="798A99E1">
            <w:pPr>
              <w:pStyle w:val="24"/>
            </w:pPr>
            <w:r>
              <w:rPr>
                <w:rFonts w:hint="eastAsia"/>
              </w:rPr>
              <w:t>日线走弱，但周线结构尚未破坏</w:t>
            </w:r>
          </w:p>
        </w:tc>
        <w:tc>
          <w:p w14:paraId="6C46E951">
            <w:pPr>
              <w:pStyle w:val="24"/>
            </w:pPr>
            <w:r>
              <w:rPr>
                <w:rFonts w:hint="eastAsia"/>
              </w:rPr>
              <w:t>减仓观察，不急于清仓</w:t>
            </w:r>
          </w:p>
        </w:tc>
      </w:tr>
      <w:tr w14:paraId="3BF877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D977C3">
            <w:pPr>
              <w:pStyle w:val="24"/>
            </w:pPr>
            <w:r>
              <w:rPr>
                <w:rFonts w:hint="eastAsia"/>
                <w:b/>
                <w:bCs/>
              </w:rPr>
              <w:t>关键位失守</w:t>
            </w:r>
          </w:p>
        </w:tc>
        <w:tc>
          <w:p w14:paraId="6BFBE53B">
            <w:pPr>
              <w:pStyle w:val="24"/>
            </w:pPr>
            <w:r>
              <w:rPr>
                <w:rFonts w:hint="eastAsia"/>
              </w:rPr>
              <w:t>收盘跌破预设支撑，原交易逻辑被证伪</w:t>
            </w:r>
          </w:p>
        </w:tc>
        <w:tc>
          <w:p w14:paraId="22949992">
            <w:pPr>
              <w:pStyle w:val="24"/>
            </w:pPr>
            <w:r>
              <w:rPr>
                <w:rFonts w:hint="eastAsia"/>
                <w:b/>
                <w:bCs/>
              </w:rPr>
              <w:t>执行止损</w:t>
            </w:r>
            <w:r>
              <w:rPr>
                <w:rFonts w:hint="eastAsia"/>
              </w:rPr>
              <w:t>，按预案退出</w:t>
            </w:r>
          </w:p>
        </w:tc>
      </w:tr>
      <w:tr w14:paraId="246E21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F438F4">
            <w:pPr>
              <w:pStyle w:val="24"/>
            </w:pPr>
            <w:r>
              <w:rPr>
                <w:rFonts w:hint="eastAsia"/>
                <w:b/>
                <w:bCs/>
              </w:rPr>
              <w:t>逻辑完全反向</w:t>
            </w:r>
          </w:p>
        </w:tc>
        <w:tc>
          <w:p w14:paraId="2BEAC645">
            <w:pPr>
              <w:pStyle w:val="24"/>
            </w:pPr>
            <w:r>
              <w:rPr>
                <w:rFonts w:hint="eastAsia"/>
              </w:rPr>
              <w:t>周期</w:t>
            </w:r>
            <w:r>
              <w:t xml:space="preserve"> + </w:t>
            </w:r>
            <w:r>
              <w:rPr>
                <w:rFonts w:hint="eastAsia"/>
              </w:rPr>
              <w:t>结构</w:t>
            </w:r>
            <w:r>
              <w:t xml:space="preserve"> + </w:t>
            </w:r>
            <w:r>
              <w:rPr>
                <w:rFonts w:hint="eastAsia"/>
              </w:rPr>
              <w:t>板块</w:t>
            </w:r>
            <w:r>
              <w:rPr>
                <w:rFonts w:hint="eastAsia"/>
                <w:b/>
                <w:bCs/>
              </w:rPr>
              <w:t>同时转弱</w:t>
            </w:r>
          </w:p>
        </w:tc>
        <w:tc>
          <w:p w14:paraId="29A3A84C">
            <w:pPr>
              <w:pStyle w:val="24"/>
            </w:pPr>
            <w:r>
              <w:rPr>
                <w:rFonts w:hint="eastAsia"/>
                <w:b/>
                <w:bCs/>
              </w:rPr>
              <w:t>清仓停手</w:t>
            </w:r>
            <w:r>
              <w:rPr>
                <w:rFonts w:hint="eastAsia"/>
              </w:rPr>
              <w:t>，禁止补仓摊平</w:t>
            </w:r>
          </w:p>
        </w:tc>
      </w:tr>
    </w:tbl>
    <w:p w14:paraId="726E3D92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73F1F7F9">
      <w:pPr>
        <w:pStyle w:val="4"/>
      </w:pPr>
      <w:bookmarkStart w:id="8" w:name="四收盘确认规则减少噪音"/>
      <w:r>
        <w:rPr>
          <w:rFonts w:hint="eastAsia"/>
        </w:rPr>
        <w:t>四、收盘确认规则（减少噪音）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4"/>
        <w:gridCol w:w="1176"/>
        <w:gridCol w:w="2470"/>
        <w:gridCol w:w="2616"/>
      </w:tblGrid>
      <w:tr w14:paraId="4E9F13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DF11D23">
            <w:pPr>
              <w:pStyle w:val="24"/>
            </w:pPr>
            <w:r>
              <w:rPr>
                <w:rFonts w:hint="eastAsia"/>
              </w:rPr>
              <w:t>级别</w:t>
            </w:r>
          </w:p>
        </w:tc>
        <w:tc>
          <w:p w14:paraId="13319C37">
            <w:pPr>
              <w:pStyle w:val="24"/>
            </w:pPr>
            <w:r>
              <w:rPr>
                <w:rFonts w:hint="eastAsia"/>
              </w:rPr>
              <w:t>确认时点</w:t>
            </w:r>
          </w:p>
        </w:tc>
        <w:tc>
          <w:p w14:paraId="0BAF319D">
            <w:pPr>
              <w:pStyle w:val="24"/>
            </w:pPr>
            <w:r>
              <w:rPr>
                <w:rFonts w:hint="eastAsia"/>
              </w:rPr>
              <w:t>看什么</w:t>
            </w:r>
          </w:p>
        </w:tc>
        <w:tc>
          <w:p w14:paraId="57D82BB0">
            <w:pPr>
              <w:pStyle w:val="24"/>
            </w:pPr>
            <w:r>
              <w:rPr>
                <w:rFonts w:hint="eastAsia"/>
              </w:rPr>
              <w:t>决策含义</w:t>
            </w:r>
          </w:p>
        </w:tc>
      </w:tr>
      <w:tr w14:paraId="2FD4A9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D502ED">
            <w:pPr>
              <w:pStyle w:val="24"/>
            </w:pPr>
            <w:r>
              <w:rPr>
                <w:b/>
                <w:bCs/>
              </w:rPr>
              <w:t xml:space="preserve">D </w:t>
            </w:r>
            <w:r>
              <w:rPr>
                <w:rFonts w:hint="eastAsia"/>
                <w:b/>
                <w:bCs/>
              </w:rPr>
              <w:t>日线</w:t>
            </w:r>
          </w:p>
        </w:tc>
        <w:tc>
          <w:p w14:paraId="2A099D70">
            <w:pPr>
              <w:pStyle w:val="24"/>
            </w:pPr>
            <w:r>
              <w:rPr>
                <w:rFonts w:hint="eastAsia"/>
              </w:rPr>
              <w:t>当日收盘</w:t>
            </w:r>
          </w:p>
        </w:tc>
        <w:tc>
          <w:p w14:paraId="18C39375">
            <w:pPr>
              <w:pStyle w:val="24"/>
            </w:pPr>
            <w:r>
              <w:rPr>
                <w:rFonts w:hint="eastAsia"/>
              </w:rPr>
              <w:t>是否收回/守住关键位</w:t>
            </w:r>
          </w:p>
        </w:tc>
        <w:tc>
          <w:p w14:paraId="770DEB7E">
            <w:pPr>
              <w:pStyle w:val="24"/>
            </w:pPr>
            <w:r>
              <w:rPr>
                <w:rFonts w:hint="eastAsia"/>
              </w:rPr>
              <w:t>避免被盘中假跌破带偏</w:t>
            </w:r>
          </w:p>
        </w:tc>
      </w:tr>
      <w:tr w14:paraId="0D3550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BE2C79">
            <w:pPr>
              <w:pStyle w:val="24"/>
            </w:pPr>
            <w:r>
              <w:rPr>
                <w:b/>
                <w:bCs/>
              </w:rPr>
              <w:t xml:space="preserve">W </w:t>
            </w:r>
            <w:r>
              <w:rPr>
                <w:rFonts w:hint="eastAsia"/>
                <w:b/>
                <w:bCs/>
              </w:rPr>
              <w:t>周线</w:t>
            </w:r>
          </w:p>
        </w:tc>
        <w:tc>
          <w:p w14:paraId="288434E8">
            <w:pPr>
              <w:pStyle w:val="24"/>
            </w:pPr>
            <w:r>
              <w:rPr>
                <w:rFonts w:hint="eastAsia"/>
              </w:rPr>
              <w:t>周五收盘</w:t>
            </w:r>
          </w:p>
        </w:tc>
        <w:tc>
          <w:p w14:paraId="2E906BA0">
            <w:pPr>
              <w:pStyle w:val="24"/>
            </w:pPr>
            <w:r>
              <w:rPr>
                <w:rFonts w:hint="eastAsia"/>
              </w:rPr>
              <w:t>是否守住支撑</w:t>
            </w:r>
          </w:p>
        </w:tc>
        <w:tc>
          <w:p w14:paraId="6117856D">
            <w:pPr>
              <w:pStyle w:val="24"/>
            </w:pPr>
            <w:r>
              <w:rPr>
                <w:rFonts w:hint="eastAsia"/>
              </w:rPr>
              <w:t>决定波段逻辑是否延续</w:t>
            </w:r>
          </w:p>
        </w:tc>
      </w:tr>
      <w:tr w14:paraId="1D5EE3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5558F5">
            <w:pPr>
              <w:pStyle w:val="24"/>
            </w:pPr>
            <w:r>
              <w:rPr>
                <w:b/>
                <w:bCs/>
              </w:rPr>
              <w:t xml:space="preserve">M </w:t>
            </w:r>
            <w:r>
              <w:rPr>
                <w:rFonts w:hint="eastAsia"/>
                <w:b/>
                <w:bCs/>
              </w:rPr>
              <w:t>月线</w:t>
            </w:r>
          </w:p>
        </w:tc>
        <w:tc>
          <w:p w14:paraId="575BBFDE">
            <w:pPr>
              <w:pStyle w:val="24"/>
            </w:pPr>
            <w:r>
              <w:rPr>
                <w:rFonts w:hint="eastAsia"/>
              </w:rPr>
              <w:t>月末收盘</w:t>
            </w:r>
          </w:p>
        </w:tc>
        <w:tc>
          <w:p w14:paraId="7059E97B">
            <w:pPr>
              <w:pStyle w:val="24"/>
            </w:pPr>
            <w:r>
              <w:rPr>
                <w:rFonts w:hint="eastAsia"/>
              </w:rPr>
              <w:t>是否维持趋势结构</w:t>
            </w:r>
          </w:p>
        </w:tc>
        <w:tc>
          <w:p w14:paraId="3D22E3C5">
            <w:pPr>
              <w:pStyle w:val="24"/>
            </w:pPr>
            <w:r>
              <w:rPr>
                <w:rFonts w:hint="eastAsia"/>
              </w:rPr>
              <w:t>判断长期生态是否改变</w:t>
            </w:r>
          </w:p>
        </w:tc>
      </w:tr>
    </w:tbl>
    <w:p w14:paraId="070D7FDB">
      <w:pPr>
        <w:pStyle w:val="3"/>
      </w:pPr>
      <w:r>
        <w:rPr>
          <w:rFonts w:hint="eastAsia"/>
          <w:b/>
          <w:bCs/>
        </w:rPr>
        <w:t>本次交易主要参考周期：</w:t>
      </w:r>
      <w:r>
        <w:t xml:space="preserve"> □ </w:t>
      </w:r>
      <w:r>
        <w:rPr>
          <w:rFonts w:hint="eastAsia"/>
        </w:rPr>
        <w:t>日线</w:t>
      </w:r>
      <w:r>
        <w:t xml:space="preserve">　□ </w:t>
      </w:r>
      <w:r>
        <w:rPr>
          <w:rFonts w:hint="eastAsia"/>
        </w:rPr>
        <w:t>周线</w:t>
      </w:r>
      <w:r>
        <w:t xml:space="preserve">　□ </w:t>
      </w:r>
      <w:r>
        <w:rPr>
          <w:rFonts w:hint="eastAsia"/>
        </w:rPr>
        <w:t>月线</w:t>
      </w:r>
    </w:p>
    <w:p w14:paraId="06FA5C2B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769B4B26">
      <w:pPr>
        <w:pStyle w:val="4"/>
      </w:pPr>
      <w:bookmarkStart w:id="9" w:name="五单笔交易快速执行清单一页版"/>
      <w:r>
        <w:rPr>
          <w:rFonts w:hint="eastAsia"/>
        </w:rPr>
        <w:t>五、单笔交易快速执行清单（一页版）</w:t>
      </w:r>
    </w:p>
    <w:p w14:paraId="0E976291">
      <w:pPr>
        <w:pStyle w:val="5"/>
      </w:pPr>
      <w:bookmarkStart w:id="10" w:name="买入前"/>
      <w:r>
        <w:rPr>
          <w:rFonts w:hint="eastAsia"/>
        </w:rPr>
        <w:t>【买入前】</w:t>
      </w:r>
    </w:p>
    <w:p w14:paraId="6158EB58">
      <w:pPr>
        <w:pStyle w:val="24"/>
        <w:numPr>
          <w:ilvl w:val="0"/>
          <w:numId w:val="1"/>
        </w:numPr>
      </w:pPr>
      <w:r>
        <w:rPr>
          <w:rFonts w:hint="eastAsia"/>
        </w:rPr>
        <w:t>买入理由写成</w:t>
      </w:r>
      <w:r>
        <w:rPr>
          <w:rFonts w:hint="eastAsia"/>
          <w:b/>
          <w:bCs/>
        </w:rPr>
        <w:t>具体可检验条件</w:t>
      </w:r>
      <w:r>
        <w:rPr>
          <w:rFonts w:hint="eastAsia"/>
        </w:rPr>
        <w:t>，不是一句感觉</w:t>
      </w:r>
    </w:p>
    <w:p w14:paraId="0CB82536">
      <w:pPr>
        <w:pStyle w:val="24"/>
        <w:numPr>
          <w:ilvl w:val="0"/>
          <w:numId w:val="1"/>
        </w:numPr>
      </w:pPr>
      <w:r>
        <w:rPr>
          <w:rFonts w:hint="eastAsia"/>
        </w:rPr>
        <w:t>每条买入理由都有</w:t>
      </w:r>
      <w:r>
        <w:rPr>
          <w:rFonts w:hint="eastAsia"/>
          <w:b/>
          <w:bCs/>
        </w:rPr>
        <w:t>对应的证伪条件</w:t>
      </w:r>
    </w:p>
    <w:p w14:paraId="1135D824">
      <w:pPr>
        <w:pStyle w:val="24"/>
        <w:numPr>
          <w:ilvl w:val="0"/>
          <w:numId w:val="1"/>
        </w:numPr>
      </w:pPr>
      <w:r>
        <w:rPr>
          <w:rFonts w:hint="eastAsia"/>
        </w:rPr>
        <w:t>已预设</w:t>
      </w:r>
      <w:r>
        <w:rPr>
          <w:rFonts w:hint="eastAsia"/>
          <w:b/>
          <w:bCs/>
        </w:rPr>
        <w:t>退出位</w:t>
      </w:r>
      <w:r>
        <w:rPr>
          <w:rFonts w:hint="eastAsia"/>
        </w:rPr>
        <w:t>和</w:t>
      </w:r>
      <w:r>
        <w:rPr>
          <w:rFonts w:hint="eastAsia"/>
          <w:b/>
          <w:bCs/>
        </w:rPr>
        <w:t>确认周期</w:t>
      </w:r>
      <w:r>
        <w:rPr>
          <w:rFonts w:hint="eastAsia"/>
        </w:rPr>
        <w:t>（日/周/月）</w:t>
      </w:r>
    </w:p>
    <w:p w14:paraId="160A0A72">
      <w:pPr>
        <w:pStyle w:val="24"/>
        <w:numPr>
          <w:ilvl w:val="0"/>
          <w:numId w:val="1"/>
        </w:numPr>
      </w:pPr>
      <w:r>
        <w:rPr>
          <w:rFonts w:hint="eastAsia"/>
        </w:rPr>
        <w:t>已设计</w:t>
      </w:r>
      <w:r>
        <w:rPr>
          <w:rFonts w:hint="eastAsia"/>
          <w:b/>
          <w:bCs/>
        </w:rPr>
        <w:t>看对时的加仓/止盈/持有规则</w:t>
      </w:r>
    </w:p>
    <w:p w14:paraId="6CE1842F">
      <w:pPr>
        <w:pStyle w:val="24"/>
        <w:numPr>
          <w:ilvl w:val="0"/>
          <w:numId w:val="1"/>
        </w:numPr>
      </w:pPr>
      <w:r>
        <w:rPr>
          <w:rFonts w:hint="eastAsia"/>
        </w:rPr>
        <w:t>已明确</w:t>
      </w:r>
      <w:r>
        <w:rPr>
          <w:rFonts w:hint="eastAsia"/>
          <w:b/>
          <w:bCs/>
        </w:rPr>
        <w:t>最大可接受亏损</w:t>
      </w:r>
    </w:p>
    <w:bookmarkEnd w:id="10"/>
    <w:p w14:paraId="766EF0DB">
      <w:pPr>
        <w:pStyle w:val="5"/>
      </w:pPr>
      <w:bookmarkStart w:id="11" w:name="买入时"/>
      <w:r>
        <w:rPr>
          <w:rFonts w:hint="eastAsia"/>
        </w:rPr>
        <w:t>【买入时】</w:t>
      </w:r>
    </w:p>
    <w:p w14:paraId="5509ECA7">
      <w:pPr>
        <w:pStyle w:val="24"/>
        <w:numPr>
          <w:ilvl w:val="0"/>
          <w:numId w:val="1"/>
        </w:numPr>
      </w:pPr>
      <w:r>
        <w:rPr>
          <w:rFonts w:hint="eastAsia"/>
        </w:rPr>
        <w:t>股票代码/名称：________</w:t>
      </w:r>
      <w:r>
        <w:t>　</w:t>
      </w:r>
      <w:r>
        <w:rPr>
          <w:rFonts w:hint="eastAsia"/>
        </w:rPr>
        <w:t>买入价：________</w:t>
      </w:r>
      <w:r>
        <w:t>　</w:t>
      </w:r>
      <w:r>
        <w:rPr>
          <w:rFonts w:hint="eastAsia"/>
        </w:rPr>
        <w:t>仓位：________</w:t>
      </w:r>
    </w:p>
    <w:p w14:paraId="6325D5BC">
      <w:pPr>
        <w:pStyle w:val="24"/>
        <w:numPr>
          <w:ilvl w:val="0"/>
          <w:numId w:val="1"/>
        </w:numPr>
      </w:pPr>
      <w:r>
        <w:rPr>
          <w:rFonts w:hint="eastAsia"/>
        </w:rPr>
        <w:t>买入日期：________</w:t>
      </w:r>
      <w:r>
        <w:t>　</w:t>
      </w:r>
      <w:r>
        <w:rPr>
          <w:rFonts w:hint="eastAsia"/>
        </w:rPr>
        <w:t>计划持有周期：________</w:t>
      </w:r>
    </w:p>
    <w:bookmarkEnd w:id="11"/>
    <w:p w14:paraId="064A2908">
      <w:pPr>
        <w:pStyle w:val="5"/>
      </w:pPr>
      <w:bookmarkStart w:id="12" w:name="持仓中-每日每周检查"/>
      <w:r>
        <w:rPr>
          <w:rFonts w:hint="eastAsia"/>
        </w:rPr>
        <w:t>【持仓中</w:t>
      </w:r>
      <w:r>
        <w:t xml:space="preserve"> · </w:t>
      </w:r>
      <w:r>
        <w:rPr>
          <w:rFonts w:hint="eastAsia"/>
        </w:rPr>
        <w:t>每日/每周检查】</w:t>
      </w:r>
    </w:p>
    <w:p w14:paraId="3697F3C6">
      <w:pPr>
        <w:pStyle w:val="24"/>
        <w:numPr>
          <w:ilvl w:val="0"/>
          <w:numId w:val="1"/>
        </w:numPr>
      </w:pPr>
      <w:r>
        <w:rPr>
          <w:rFonts w:hint="eastAsia"/>
        </w:rPr>
        <w:t>是否出现</w:t>
      </w:r>
      <w:r>
        <w:rPr>
          <w:rFonts w:hint="eastAsia"/>
          <w:b/>
          <w:bCs/>
        </w:rPr>
        <w:t>轻微异常</w:t>
      </w:r>
      <w:r>
        <w:rPr>
          <w:rFonts w:hint="eastAsia"/>
        </w:rPr>
        <w:t>？→</w:t>
      </w:r>
      <w:r>
        <w:t xml:space="preserve"> </w:t>
      </w:r>
      <w:r>
        <w:rPr>
          <w:rFonts w:hint="eastAsia"/>
        </w:rPr>
        <w:t>减仓观察</w:t>
      </w:r>
    </w:p>
    <w:p w14:paraId="7BD3B270">
      <w:pPr>
        <w:pStyle w:val="24"/>
        <w:numPr>
          <w:ilvl w:val="0"/>
          <w:numId w:val="1"/>
        </w:numPr>
      </w:pPr>
      <w:r>
        <w:rPr>
          <w:rFonts w:hint="eastAsia"/>
        </w:rPr>
        <w:t>是否</w:t>
      </w:r>
      <w:r>
        <w:rPr>
          <w:rFonts w:hint="eastAsia"/>
          <w:b/>
          <w:bCs/>
        </w:rPr>
        <w:t>关键位失守</w:t>
      </w:r>
      <w:r>
        <w:rPr>
          <w:rFonts w:hint="eastAsia"/>
        </w:rPr>
        <w:t>（收盘确认）？→</w:t>
      </w:r>
      <w:r>
        <w:t xml:space="preserve"> </w:t>
      </w:r>
      <w:r>
        <w:rPr>
          <w:rFonts w:hint="eastAsia"/>
        </w:rPr>
        <w:t>执行止损</w:t>
      </w:r>
    </w:p>
    <w:p w14:paraId="7721CF91">
      <w:pPr>
        <w:pStyle w:val="24"/>
        <w:numPr>
          <w:ilvl w:val="0"/>
          <w:numId w:val="1"/>
        </w:numPr>
      </w:pPr>
      <w:r>
        <w:rPr>
          <w:rFonts w:hint="eastAsia"/>
        </w:rPr>
        <w:t>是否</w:t>
      </w:r>
      <w:r>
        <w:rPr>
          <w:rFonts w:hint="eastAsia"/>
          <w:b/>
          <w:bCs/>
        </w:rPr>
        <w:t>逻辑完全反向</w:t>
      </w:r>
      <w:r>
        <w:rPr>
          <w:rFonts w:hint="eastAsia"/>
        </w:rPr>
        <w:t>？→</w:t>
      </w:r>
      <w:r>
        <w:t xml:space="preserve"> </w:t>
      </w:r>
      <w:r>
        <w:rPr>
          <w:rFonts w:hint="eastAsia"/>
        </w:rPr>
        <w:t>清仓停手，禁止摊平</w:t>
      </w:r>
    </w:p>
    <w:bookmarkEnd w:id="12"/>
    <w:p w14:paraId="22802F8D">
      <w:pPr>
        <w:pStyle w:val="5"/>
      </w:pPr>
      <w:bookmarkStart w:id="13" w:name="收盘后复盘"/>
      <w:r>
        <w:rPr>
          <w:rFonts w:hint="eastAsia"/>
        </w:rPr>
        <w:t>【收盘后复盘】</w:t>
      </w:r>
    </w:p>
    <w:p w14:paraId="7B726583">
      <w:pPr>
        <w:pStyle w:val="24"/>
        <w:numPr>
          <w:ilvl w:val="0"/>
          <w:numId w:val="1"/>
        </w:numPr>
      </w:pPr>
      <w:r>
        <w:rPr>
          <w:rFonts w:hint="eastAsia"/>
        </w:rPr>
        <w:t>今日/本周收盘是否触发证伪条件？</w:t>
      </w:r>
    </w:p>
    <w:p w14:paraId="023A9754">
      <w:pPr>
        <w:pStyle w:val="24"/>
        <w:numPr>
          <w:ilvl w:val="0"/>
          <w:numId w:val="1"/>
        </w:numPr>
      </w:pPr>
      <w:r>
        <w:rPr>
          <w:rFonts w:hint="eastAsia"/>
        </w:rPr>
        <w:t>是否严格执行预案？（严格执行</w:t>
      </w:r>
      <w:r>
        <w:t xml:space="preserve"> / </w:t>
      </w:r>
      <w:r>
        <w:rPr>
          <w:rFonts w:hint="eastAsia"/>
        </w:rPr>
        <w:t>偏差较大）</w:t>
      </w:r>
    </w:p>
    <w:p w14:paraId="474DB789">
      <w:pPr>
        <w:pStyle w:val="24"/>
        <w:numPr>
          <w:ilvl w:val="0"/>
          <w:numId w:val="1"/>
        </w:numPr>
      </w:pPr>
      <w:r>
        <w:rPr>
          <w:rFonts w:hint="eastAsia"/>
        </w:rPr>
        <w:t>是否有情绪化操作？（无</w:t>
      </w:r>
      <w:r>
        <w:t xml:space="preserve"> / </w:t>
      </w:r>
      <w:r>
        <w:rPr>
          <w:rFonts w:hint="eastAsia"/>
        </w:rPr>
        <w:t>轻微</w:t>
      </w:r>
      <w:r>
        <w:t xml:space="preserve"> / </w:t>
      </w:r>
      <w:r>
        <w:rPr>
          <w:rFonts w:hint="eastAsia"/>
        </w:rPr>
        <w:t>严重）</w:t>
      </w:r>
    </w:p>
    <w:p w14:paraId="35AF54A3">
      <w:pPr>
        <w:pStyle w:val="24"/>
        <w:numPr>
          <w:ilvl w:val="0"/>
          <w:numId w:val="1"/>
        </w:numPr>
      </w:pPr>
      <w:r>
        <w:rPr>
          <w:rFonts w:hint="eastAsia"/>
        </w:rPr>
        <w:t>交易结果总结：_______________________________________________</w:t>
      </w:r>
    </w:p>
    <w:p w14:paraId="1ED284DF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3"/>
    <w:p w14:paraId="5751D140">
      <w:pPr>
        <w:pStyle w:val="4"/>
      </w:pPr>
      <w:bookmarkStart w:id="14" w:name="六单笔交易记录模板"/>
      <w:r>
        <w:rPr>
          <w:rFonts w:hint="eastAsia"/>
        </w:rPr>
        <w:t>六、单笔交易记录模板</w:t>
      </w:r>
    </w:p>
    <w:p w14:paraId="10D2DC6D">
      <w:pPr>
        <w:pStyle w:val="49"/>
      </w:pPr>
      <w:r>
        <w:rPr>
          <w:rStyle w:val="48"/>
        </w:rPr>
        <w:t>═══════════════════════════════════════════════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逻辑证伪交易记录</w:t>
      </w:r>
      <w:r>
        <w:br w:type="textWrapping"/>
      </w:r>
      <w:r>
        <w:rPr>
          <w:rStyle w:val="48"/>
        </w:rPr>
        <w:t>═══════════════════════════════════════════════</w:t>
      </w:r>
      <w:r>
        <w:br w:type="textWrapping"/>
      </w:r>
      <w:r>
        <w:rPr>
          <w:rStyle w:val="48"/>
          <w:rFonts w:hint="eastAsia"/>
        </w:rPr>
        <w:t>股票：________（________）</w:t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日期：________</w:t>
      </w:r>
      <w:r>
        <w:br w:type="textWrapping"/>
      </w:r>
      <w:r>
        <w:rPr>
          <w:rStyle w:val="48"/>
        </w:rPr>
        <w:t>───────────────────────────────────────────────</w:t>
      </w:r>
      <w:r>
        <w:br w:type="textWrapping"/>
      </w:r>
      <w:r>
        <w:rPr>
          <w:rStyle w:val="48"/>
          <w:rFonts w:hint="eastAsia"/>
        </w:rPr>
        <w:t>【买入理由】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周期：_______________________________________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结构：_______________________________________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环境：_______________________________________</w:t>
      </w:r>
      <w:r>
        <w:br w:type="textWrapping"/>
      </w:r>
      <w:r>
        <w:rPr>
          <w:rStyle w:val="48"/>
        </w:rPr>
        <w:t>───────────────────────────────────────────────</w:t>
      </w:r>
      <w:r>
        <w:br w:type="textWrapping"/>
      </w:r>
      <w:r>
        <w:rPr>
          <w:rStyle w:val="48"/>
          <w:rFonts w:hint="eastAsia"/>
        </w:rPr>
        <w:t>【证伪条件】</w:t>
      </w:r>
      <w:r>
        <w:br w:type="textWrapping"/>
      </w:r>
      <w:r>
        <w:rPr>
          <w:rStyle w:val="48"/>
        </w:rPr>
        <w:t xml:space="preserve">  1. _________________________________________ → </w:t>
      </w:r>
      <w:r>
        <w:rPr>
          <w:rStyle w:val="48"/>
          <w:rFonts w:hint="eastAsia"/>
        </w:rPr>
        <w:t>动作：________</w:t>
      </w:r>
      <w:r>
        <w:br w:type="textWrapping"/>
      </w:r>
      <w:r>
        <w:rPr>
          <w:rStyle w:val="48"/>
        </w:rPr>
        <w:t xml:space="preserve">  2. _________________________________________ → </w:t>
      </w:r>
      <w:r>
        <w:rPr>
          <w:rStyle w:val="48"/>
          <w:rFonts w:hint="eastAsia"/>
        </w:rPr>
        <w:t>动作：________</w:t>
      </w:r>
      <w:r>
        <w:br w:type="textWrapping"/>
      </w:r>
      <w:r>
        <w:rPr>
          <w:rStyle w:val="48"/>
        </w:rPr>
        <w:t xml:space="preserve">  3. _________________________________________ → </w:t>
      </w:r>
      <w:r>
        <w:rPr>
          <w:rStyle w:val="48"/>
          <w:rFonts w:hint="eastAsia"/>
        </w:rPr>
        <w:t>动作：________</w:t>
      </w:r>
      <w:r>
        <w:br w:type="textWrapping"/>
      </w:r>
      <w:r>
        <w:rPr>
          <w:rStyle w:val="48"/>
        </w:rPr>
        <w:t>───────────────────────────────────────────────</w:t>
      </w:r>
      <w:r>
        <w:br w:type="textWrapping"/>
      </w:r>
      <w:r>
        <w:rPr>
          <w:rStyle w:val="48"/>
          <w:rFonts w:hint="eastAsia"/>
        </w:rPr>
        <w:t>【交易参数】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买入价：________</w:t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仓位：________</w:t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止损位：________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确认周期：□日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□周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□月</w:t>
      </w:r>
      <w:r>
        <w:br w:type="textWrapping"/>
      </w:r>
      <w:r>
        <w:rPr>
          <w:rStyle w:val="48"/>
        </w:rPr>
        <w:t>───────────────────────────────────────────────</w:t>
      </w:r>
      <w:r>
        <w:br w:type="textWrapping"/>
      </w:r>
      <w:r>
        <w:rPr>
          <w:rStyle w:val="48"/>
          <w:rFonts w:hint="eastAsia"/>
        </w:rPr>
        <w:t>【分层应对记录】</w:t>
      </w:r>
      <w:r>
        <w:br w:type="textWrapping"/>
      </w:r>
      <w:r>
        <w:rPr>
          <w:rStyle w:val="48"/>
        </w:rPr>
        <w:t xml:space="preserve">  □ </w:t>
      </w:r>
      <w:r>
        <w:rPr>
          <w:rStyle w:val="48"/>
          <w:rFonts w:hint="eastAsia"/>
        </w:rPr>
        <w:t>轻微异常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减仓观察（日期/价格：________）</w:t>
      </w:r>
      <w:r>
        <w:br w:type="textWrapping"/>
      </w:r>
      <w:r>
        <w:rPr>
          <w:rStyle w:val="48"/>
        </w:rPr>
        <w:t xml:space="preserve">  □ </w:t>
      </w:r>
      <w:r>
        <w:rPr>
          <w:rStyle w:val="48"/>
          <w:rFonts w:hint="eastAsia"/>
        </w:rPr>
        <w:t>关键失守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执行止损（日期/价格：________）</w:t>
      </w:r>
      <w:r>
        <w:br w:type="textWrapping"/>
      </w:r>
      <w:r>
        <w:rPr>
          <w:rStyle w:val="48"/>
        </w:rPr>
        <w:t xml:space="preserve">  □ </w:t>
      </w:r>
      <w:r>
        <w:rPr>
          <w:rStyle w:val="48"/>
          <w:rFonts w:hint="eastAsia"/>
        </w:rPr>
        <w:t>完全反向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清仓停手（日期/价格：________）</w:t>
      </w:r>
      <w:r>
        <w:br w:type="textWrapping"/>
      </w:r>
      <w:r>
        <w:rPr>
          <w:rStyle w:val="48"/>
        </w:rPr>
        <w:t>───────────────────────────────────────────────</w:t>
      </w:r>
      <w:r>
        <w:br w:type="textWrapping"/>
      </w:r>
      <w:r>
        <w:rPr>
          <w:rStyle w:val="48"/>
          <w:rFonts w:hint="eastAsia"/>
        </w:rPr>
        <w:t>【复盘】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严格执行：□是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□否</w:t>
      </w:r>
      <w:r>
        <w:rPr>
          <w:rStyle w:val="48"/>
        </w:rPr>
        <w:t>　</w:t>
      </w:r>
      <w:r>
        <w:rPr>
          <w:rStyle w:val="48"/>
          <w:rFonts w:hint="eastAsia"/>
        </w:rPr>
        <w:t>情绪化：□无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□轻微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□严重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总结：_______________________________________</w:t>
      </w:r>
      <w:r>
        <w:br w:type="textWrapping"/>
      </w:r>
      <w:r>
        <w:rPr>
          <w:rStyle w:val="48"/>
        </w:rPr>
        <w:t>═══════════════════════════════════════════════</w:t>
      </w:r>
    </w:p>
    <w:p w14:paraId="3CEEFB72"/>
    <w:bookmarkEnd w:id="14"/>
    <w:p w14:paraId="74FC03AD">
      <w:pPr>
        <w:pStyle w:val="23"/>
      </w:pPr>
      <w:bookmarkStart w:id="15" w:name="七与-ppt-框架对照"/>
      <w:r>
        <w:rPr>
          <w:rFonts w:hint="eastAsia"/>
          <w:b/>
          <w:bCs/>
        </w:rPr>
        <w:t>一句话总结</w:t>
      </w:r>
      <w:r>
        <w:rPr>
          <w:rFonts w:hint="eastAsia"/>
        </w:rPr>
        <w:t>：逻辑越具体，越容易知道什么时候错了；看错时有规则，比每次看对更重要。</w:t>
      </w:r>
    </w:p>
    <w:bookmarkEnd w:id="0"/>
    <w:bookmarkEnd w:id="1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2"/>
    <w:multiLevelType w:val="multilevel"/>
    <w:tmpl w:val="0000A992"/>
    <w:lvl w:ilvl="0" w:tentative="0">
      <w:start w:val="0"/>
      <w:numFmt w:val="bullet"/>
      <w:lvlText w:val="☐"/>
      <w:lvlJc w:val="left"/>
      <w:pPr>
        <w:ind w:left="720" w:hanging="360"/>
      </w:pPr>
    </w:lvl>
    <w:lvl w:ilvl="1" w:tentative="0">
      <w:start w:val="0"/>
      <w:numFmt w:val="bullet"/>
      <w:lvlText w:val="☐"/>
      <w:lvlJc w:val="left"/>
      <w:pPr>
        <w:ind w:left="1440" w:hanging="360"/>
      </w:pPr>
    </w:lvl>
    <w:lvl w:ilvl="2" w:tentative="0">
      <w:start w:val="0"/>
      <w:numFmt w:val="bullet"/>
      <w:lvlText w:val="☐"/>
      <w:lvlJc w:val="left"/>
      <w:pPr>
        <w:ind w:left="2160" w:hanging="360"/>
      </w:pPr>
    </w:lvl>
    <w:lvl w:ilvl="3" w:tentative="0">
      <w:start w:val="0"/>
      <w:numFmt w:val="bullet"/>
      <w:lvlText w:val="☐"/>
      <w:lvlJc w:val="left"/>
      <w:pPr>
        <w:ind w:left="2880" w:hanging="360"/>
      </w:pPr>
    </w:lvl>
    <w:lvl w:ilvl="4" w:tentative="0">
      <w:start w:val="0"/>
      <w:numFmt w:val="bullet"/>
      <w:lvlText w:val="☐"/>
      <w:lvlJc w:val="left"/>
      <w:pPr>
        <w:ind w:left="3600" w:hanging="360"/>
      </w:pPr>
    </w:lvl>
    <w:lvl w:ilvl="5" w:tentative="0">
      <w:start w:val="0"/>
      <w:numFmt w:val="bullet"/>
      <w:lvlText w:val="☐"/>
      <w:lvlJc w:val="left"/>
      <w:pPr>
        <w:ind w:left="4320" w:hanging="360"/>
      </w:pPr>
    </w:lvl>
    <w:lvl w:ilvl="6" w:tentative="0">
      <w:start w:val="0"/>
      <w:numFmt w:val="bullet"/>
      <w:lvlText w:val="☐"/>
      <w:lvlJc w:val="left"/>
      <w:pPr>
        <w:ind w:left="5040" w:hanging="360"/>
      </w:pPr>
    </w:lvl>
    <w:lvl w:ilvl="7" w:tentative="0">
      <w:start w:val="0"/>
      <w:numFmt w:val="bullet"/>
      <w:lvlText w:val="☐"/>
      <w:lvlJc w:val="left"/>
      <w:pPr>
        <w:ind w:left="5760" w:hanging="360"/>
      </w:pPr>
    </w:lvl>
    <w:lvl w:ilvl="8" w:tentative="0">
      <w:start w:val="0"/>
      <w:numFmt w:val="bullet"/>
      <w:lvlText w:val="☐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17F505A2"/>
    <w:rsid w:val="3FEF11C9"/>
    <w:rsid w:val="78271F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1463</Words>
  <Characters>2516</Characters>
  <Lines>12</Lines>
  <Paragraphs>8</Paragraphs>
  <TotalTime>2</TotalTime>
  <ScaleCrop>false</ScaleCrop>
  <LinksUpToDate>false</LinksUpToDate>
  <CharactersWithSpaces>2631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2026-07-01T11:04:00Z</dcterms:created>
  <dc:creator>sam</dc:creator>
  <cp:lastModifiedBy>sam</cp:lastModifiedBy>
  <dcterms:modified xsi:type="dcterms:W3CDTF">2026-07-01T11:09:31Z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eyJoZGlkIjoiNGJjOGU5YzA0YTU3MmIwMjhkMjQ3MDBmM2Y5MWQ2MjUiLCJ1c2VySWQiOiIxMzYyNTQxODMzIn0=</vt:lpwstr>
  </property>
  <property fmtid="{D5CDD505-2E9C-101B-9397-08002B2CF9AE}" pid="3" name="KSOProductBuildVer">
    <vt:lpwstr>2052-12.1.0.26895</vt:lpwstr>
  </property>
  <property fmtid="{D5CDD505-2E9C-101B-9397-08002B2CF9AE}" pid="4" name="ICV">
    <vt:lpwstr>4EDC24F7466C401092C9BB150521357E_12</vt:lpwstr>
  </property>
</Properties>
</file>