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Hiragino Sans GB"/>
          <w:b/>
          <w:color w:val="2F75B5"/>
          <w:sz w:val="22"/>
        </w:rPr>
        <w:t>题目三 · 总体设计方案</w:t>
      </w:r>
    </w:p>
    <w:p>
      <w:pPr>
        <w:pStyle w:val="Title"/>
        <w:jc w:val="center"/>
      </w:pPr>
      <w:r>
        <w:rPr>
          <w:rFonts w:ascii="Calibri" w:hAnsi="Calibri" w:eastAsia="Hiragino Sans GB"/>
          <w:b/>
          <w:color w:val="17365D"/>
          <w:sz w:val="56"/>
        </w:rPr>
        <w:t>智能体驱动的知识图谱</w:t>
        <w:br/>
        <w:t>自动构建系统</w:t>
      </w:r>
    </w:p>
    <w:p>
      <w:pPr>
        <w:pStyle w:val="Subtitle"/>
        <w:jc w:val="center"/>
      </w:pPr>
      <w:r>
        <w:rPr>
          <w:rFonts w:ascii="Calibri" w:hAnsi="Calibri" w:eastAsia="Hiragino Sans GB"/>
          <w:color w:val="5B6573"/>
          <w:sz w:val="26"/>
        </w:rPr>
        <w:t>MedGraph：面向医疗文本的数据采集、知识抽取、图谱构建与可视化平台</w:t>
      </w:r>
    </w:p>
    <w:p/>
    <w:p>
      <w:pPr>
        <w:pStyle w:val="Callout"/>
        <w:shd w:fill="EAF2F8"/>
      </w:pPr>
      <w:r>
        <w:rPr>
          <w:rFonts w:ascii="Calibri" w:hAnsi="Calibri" w:eastAsia="Hiragino Sans GB"/>
          <w:b/>
          <w:color w:val="17365D"/>
        </w:rPr>
        <w:t xml:space="preserve">方案定位  </w:t>
      </w:r>
      <w:r>
        <w:rPr>
          <w:rFonts w:ascii="Calibri" w:hAnsi="Calibri" w:eastAsia="Hiragino Sans GB"/>
          <w:color w:val="17365D"/>
        </w:rPr>
        <w:t>以多智能体工作流贯通数据采集、清洗、实体关系抽取、质量审查、图谱入库与可视化展示；按可验收口径设计，目标覆盖 120 个类别、3,600 条文本，形成可追溯的实体、属性与关系三元组。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9"/>
              </w:rPr>
              <w:t>文档性质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9"/>
              </w:rPr>
              <w:t>立项与技术设计方案（暂不包含实现代码）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9"/>
              </w:rPr>
              <w:t>建议版本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9"/>
              </w:rPr>
              <w:t>适用阶段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9"/>
              </w:rPr>
              <w:t>需求评审、技术选型、任务分工、答辩准备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9"/>
              </w:rPr>
              <w:t>建议周期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9"/>
              </w:rPr>
              <w:t>8 周，可按课程节点压缩为 6 周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 w:eastAsia="Hiragino Sans GB"/>
          <w:color w:val="5B6573"/>
        </w:rPr>
        <w:t>编制日期：2026 年 9 月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Callout"/>
        <w:shd w:fill="EAF2F8"/>
      </w:pPr>
      <w:r>
        <w:rPr>
          <w:rFonts w:ascii="Calibri" w:hAnsi="Calibri" w:eastAsia="Hiragino Sans GB"/>
          <w:b/>
          <w:color w:val="17365D"/>
        </w:rPr>
        <w:t xml:space="preserve">一句话方案  </w:t>
      </w:r>
      <w:r>
        <w:rPr>
          <w:rFonts w:ascii="Calibri" w:hAnsi="Calibri" w:eastAsia="Hiragino Sans GB"/>
          <w:color w:val="17365D"/>
        </w:rPr>
        <w:t>构建一个“可配置、可追踪、可复核”的多智能体流水线：自动采集医疗文本，经规则 + 领域模型 + 大语言模型协同抽取知识，写入图数据库，并通过 Web 界面提供浏览、查询和关系展示。</w:t>
      </w:r>
    </w:p>
    <w:p>
      <w:pPr>
        <w:pStyle w:val="Heading2"/>
      </w:pPr>
      <w:r>
        <w:t>1.1 建设目标</w:t>
      </w:r>
    </w:p>
    <w:p>
      <w:pPr>
        <w:pStyle w:val="ListBullet"/>
      </w:pPr>
      <w:r>
        <w:rPr>
          <w:rFonts w:ascii="Calibri" w:hAnsi="Calibri" w:eastAsia="Hiragino Sans GB"/>
        </w:rPr>
        <w:t>规模目标：覆盖不少于 120 个医疗类别，采集并保留不少于 3,600 条有效文本；最终验收底线仍按题目要求的 100 类、3,000 条计算。</w:t>
      </w:r>
    </w:p>
    <w:p>
      <w:pPr>
        <w:pStyle w:val="ListBullet"/>
      </w:pPr>
      <w:r>
        <w:rPr>
          <w:rFonts w:ascii="Calibri" w:hAnsi="Calibri" w:eastAsia="Hiragino Sans GB"/>
        </w:rPr>
        <w:t>能力目标：自动识别实体、实体属性和实体关系，生成结构化三元组并完成去重、校验、溯源和入库。</w:t>
      </w:r>
    </w:p>
    <w:p>
      <w:pPr>
        <w:pStyle w:val="ListBullet"/>
      </w:pPr>
      <w:r>
        <w:rPr>
          <w:rFonts w:ascii="Calibri" w:hAnsi="Calibri" w:eastAsia="Hiragino Sans GB"/>
        </w:rPr>
        <w:t>系统目标：实现智能体调度、任务状态跟踪、失败重试、人工复核入口和增量更新机制。</w:t>
      </w:r>
    </w:p>
    <w:p>
      <w:pPr>
        <w:pStyle w:val="ListBullet"/>
      </w:pPr>
      <w:r>
        <w:rPr>
          <w:rFonts w:ascii="Calibri" w:hAnsi="Calibri" w:eastAsia="Hiragino Sans GB"/>
        </w:rPr>
        <w:t>展示目标：提供图谱全局浏览、实体查询、邻居展开、关系路径展示、来源证据查看和基础统计面板。</w:t>
      </w:r>
    </w:p>
    <w:p>
      <w:pPr>
        <w:pStyle w:val="ListBullet"/>
      </w:pPr>
      <w:r>
        <w:rPr>
          <w:rFonts w:ascii="Calibri" w:hAnsi="Calibri" w:eastAsia="Hiragino Sans GB"/>
        </w:rPr>
        <w:t>交付目标：形成完整源代码、知识图谱数据文件、运行说明、评测报告和项目展示 PPT。</w:t>
      </w:r>
    </w:p>
    <w:p>
      <w:pPr>
        <w:pStyle w:val="Heading2"/>
      </w:pPr>
      <w:r>
        <w:t>1.2 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5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设计含义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可验收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每项题目要求均映射到数据指标、接口、页面或交付文件。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可追溯</w:t>
            </w:r>
          </w:p>
        </w:tc>
        <w:tc>
          <w:tcPr>
            <w:tcW w:type="dxa" w:w="7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实体和关系保存来源 URL、文本片段、采集时间、抽取模型与置信度。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可扩展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类别、采集器、模型、提示词、图谱模式和存储后端均可配置。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可复核</w:t>
            </w:r>
          </w:p>
        </w:tc>
        <w:tc>
          <w:tcPr>
            <w:tcW w:type="dxa" w:w="7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低置信度、冲突知识和异常样本进入人工审核队列。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合规优先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只采集公开授权或允许使用的数据，遵守 robots、许可协议和隐私要求。</w:t>
            </w:r>
          </w:p>
        </w:tc>
      </w:tr>
    </w:tbl>
    <w:p>
      <w:pPr>
        <w:spacing w:after="20"/>
      </w:pPr>
    </w:p>
    <w:p>
      <w:pPr>
        <w:pStyle w:val="Heading1"/>
      </w:pPr>
      <w:r>
        <w:t>2. 题目要求与验收口径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50"/>
        <w:gridCol w:w="3210"/>
      </w:tblGrid>
      <w:tr>
        <w:trPr>
          <w:tblHeader w:val="true"/>
          <w:cantSplit/>
        </w:trPr>
        <w:tc>
          <w:tcPr>
            <w:tcW w:type="dxa" w:w="21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题目要求</w:t>
            </w:r>
          </w:p>
        </w:tc>
        <w:tc>
          <w:tcPr>
            <w:tcW w:type="dxa" w:w="405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方案响应</w:t>
            </w:r>
          </w:p>
        </w:tc>
        <w:tc>
          <w:tcPr>
            <w:tcW w:type="dxa" w:w="321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建议验收证据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自动完成四个阶段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采集、抽取、构建、展示由智能体工作流串联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任务日志、运行录像、流程状态页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不少于 100 个类别</w:t>
            </w:r>
          </w:p>
        </w:tc>
        <w:tc>
          <w:tcPr>
            <w:tcW w:type="dxa" w:w="4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规划 120 个疾病/主题类别</w:t>
            </w:r>
          </w:p>
        </w:tc>
        <w:tc>
          <w:tcPr>
            <w:tcW w:type="dxa" w:w="32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category.csv、类别统计页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不少于 3,000 条文本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规划 3,600 条清洗后有效文档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documents.jsonl、哈希去重报告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识别实体、属性、关系</w:t>
            </w:r>
          </w:p>
        </w:tc>
        <w:tc>
          <w:tcPr>
            <w:tcW w:type="dxa" w:w="4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规则 + NER/RE 模型 + LLM 结构化抽取</w:t>
            </w:r>
          </w:p>
        </w:tc>
        <w:tc>
          <w:tcPr>
            <w:tcW w:type="dxa" w:w="32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标注样例、评测集、抽取结果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形成三元组并存储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RDF/CSV 导出 + Neo4j 图数据库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triples.csv、Neo4j 数据库截图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图谱浏览与查询</w:t>
            </w:r>
          </w:p>
        </w:tc>
        <w:tc>
          <w:tcPr>
            <w:tcW w:type="dxa" w:w="4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Web 可视化、实体详情、邻居与路径展示</w:t>
            </w:r>
          </w:p>
        </w:tc>
        <w:tc>
          <w:tcPr>
            <w:tcW w:type="dxa" w:w="32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可运行页面和功能测试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完整交付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代码、数据、文档、PPT、启动脚本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交付目录与 README</w:t>
            </w:r>
          </w:p>
        </w:tc>
      </w:tr>
    </w:tbl>
    <w:p>
      <w:pPr>
        <w:spacing w:after="20"/>
      </w:pPr>
    </w:p>
    <w:p>
      <w:pPr>
        <w:pStyle w:val="Callout"/>
        <w:shd w:fill="FFF3CD"/>
      </w:pPr>
      <w:r>
        <w:rPr>
          <w:rFonts w:ascii="Calibri" w:hAnsi="Calibri" w:eastAsia="Hiragino Sans GB"/>
          <w:b/>
          <w:color w:val="17365D"/>
        </w:rPr>
        <w:t xml:space="preserve">统计口径约定  </w:t>
      </w:r>
      <w:r>
        <w:rPr>
          <w:rFonts w:ascii="Calibri" w:hAnsi="Calibri" w:eastAsia="Hiragino Sans GB"/>
          <w:color w:val="17365D"/>
        </w:rPr>
        <w:t>“类别数”以 category_id 去重；“文本数”以清洗后文档 document_id 去重；“实体数”以规范化 entity_id 去重；“三元组数”以 (subject_id, predicate, object_id/value) 去重。四项必须分别统计。</w:t>
      </w:r>
    </w:p>
    <w:p>
      <w:pPr>
        <w:pStyle w:val="Heading1"/>
      </w:pPr>
      <w:r>
        <w:t>3. 业务范围与数据方案</w:t>
      </w:r>
    </w:p>
    <w:p>
      <w:pPr>
        <w:pStyle w:val="Heading2"/>
      </w:pPr>
      <w:r>
        <w:t>3.1 领域选择</w:t>
      </w:r>
    </w:p>
    <w:p>
      <w:r>
        <w:rPr>
          <w:rFonts w:ascii="Calibri" w:hAnsi="Calibri" w:eastAsia="Hiragino Sans GB"/>
        </w:rPr>
        <w:t>建议选择“常见疾病与临床知识”作为 R 大类文本的业务主题，将类别层定义为疾病类别或临床专题。医疗领域实体类型稳定、关系语义清晰，适合展示知识图谱价值，也与项目名 MedGraph 一致。若题目中的“R 大类”有特定赛题含义，只需替换领域配置与本体，不改变平台架构。</w:t>
      </w:r>
    </w:p>
    <w:p>
      <w:pPr>
        <w:pStyle w:val="Heading2"/>
      </w:pPr>
      <w:r>
        <w:t>3.2 类别与数据规模规划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1300"/>
        <w:gridCol w:w="1300"/>
        <w:gridCol w:w="1660"/>
      </w:tblGrid>
      <w:tr>
        <w:trPr>
          <w:tblHeader w:val="true"/>
          <w:cantSplit/>
        </w:trPr>
        <w:tc>
          <w:tcPr>
            <w:tcW w:type="dxa" w:w="18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一级主题</w:t>
            </w:r>
          </w:p>
        </w:tc>
        <w:tc>
          <w:tcPr>
            <w:tcW w:type="dxa" w:w="33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示例类别</w:t>
            </w:r>
          </w:p>
        </w:tc>
        <w:tc>
          <w:tcPr>
            <w:tcW w:type="dxa" w:w="13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计划类别数</w:t>
            </w:r>
          </w:p>
        </w:tc>
        <w:tc>
          <w:tcPr>
            <w:tcW w:type="dxa" w:w="13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每类文本</w:t>
            </w:r>
          </w:p>
        </w:tc>
        <w:tc>
          <w:tcPr>
            <w:tcW w:type="dxa" w:w="16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计划文本量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内科系统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呼吸、消化、心血管、内分泌等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32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30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960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外科与急症</w:t>
            </w:r>
          </w:p>
        </w:tc>
        <w:tc>
          <w:tcPr>
            <w:tcW w:type="dxa" w:w="3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普外、骨科、神外、创伤等</w:t>
            </w:r>
          </w:p>
        </w:tc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20</w:t>
            </w:r>
          </w:p>
        </w:tc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30</w:t>
            </w:r>
          </w:p>
        </w:tc>
        <w:tc>
          <w:tcPr>
            <w:tcW w:type="dxa" w:w="1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妇儿与生殖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妇科、产科、儿科、新生儿等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16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30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480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专科疾病</w:t>
            </w:r>
          </w:p>
        </w:tc>
        <w:tc>
          <w:tcPr>
            <w:tcW w:type="dxa" w:w="3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眼科、耳鼻喉、口腔、皮肤等</w:t>
            </w:r>
          </w:p>
        </w:tc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20</w:t>
            </w:r>
          </w:p>
        </w:tc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30</w:t>
            </w:r>
          </w:p>
        </w:tc>
        <w:tc>
          <w:tcPr>
            <w:tcW w:type="dxa" w:w="1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600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感染与免疫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传染病、风湿免疫、过敏等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16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30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480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肿瘤与慢病管理</w:t>
            </w:r>
          </w:p>
        </w:tc>
        <w:tc>
          <w:tcPr>
            <w:tcW w:type="dxa" w:w="3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常见肿瘤、康复、营养等</w:t>
            </w:r>
          </w:p>
        </w:tc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16</w:t>
            </w:r>
          </w:p>
        </w:tc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30</w:t>
            </w:r>
          </w:p>
        </w:tc>
        <w:tc>
          <w:tcPr>
            <w:tcW w:type="dxa" w:w="1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480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合计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120 个可配置类别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120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平均 30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3,600</w:t>
            </w:r>
          </w:p>
        </w:tc>
      </w:tr>
    </w:tbl>
    <w:p>
      <w:pPr>
        <w:spacing w:after="20"/>
      </w:pPr>
    </w:p>
    <w:p>
      <w:pPr>
        <w:pStyle w:val="Heading2"/>
      </w:pPr>
      <w:r>
        <w:t>3.3 数据源策略</w:t>
      </w:r>
    </w:p>
    <w:p>
      <w:pPr>
        <w:pStyle w:val="ListBullet"/>
      </w:pPr>
      <w:r>
        <w:rPr>
          <w:rFonts w:ascii="Calibri" w:hAnsi="Calibri" w:eastAsia="Hiragino Sans GB"/>
        </w:rPr>
        <w:t>首选公开、稳定、可引用的数据源：政府/医院科普页面、开放医学百科、开放论文摘要、公开药品或疾病说明数据集。</w:t>
      </w:r>
    </w:p>
    <w:p>
      <w:pPr>
        <w:pStyle w:val="ListBullet"/>
      </w:pPr>
      <w:r>
        <w:rPr>
          <w:rFonts w:ascii="Calibri" w:hAnsi="Calibri" w:eastAsia="Hiragino Sans GB"/>
        </w:rPr>
        <w:t>每个来源配置独立采集器，限制抓取频率，并记录许可证、robots 策略、URL、发布时间和采集时间。</w:t>
      </w:r>
    </w:p>
    <w:p>
      <w:pPr>
        <w:pStyle w:val="ListBullet"/>
      </w:pPr>
      <w:r>
        <w:rPr>
          <w:rFonts w:ascii="Calibri" w:hAnsi="Calibri" w:eastAsia="Hiragino Sans GB"/>
        </w:rPr>
        <w:t>对动态页面使用浏览器渲染采集；对静态页面优先 HTTP 抓取；对开放数据集优先直接下载并校验哈希。</w:t>
      </w:r>
    </w:p>
    <w:p>
      <w:pPr>
        <w:pStyle w:val="ListBullet"/>
      </w:pPr>
      <w:r>
        <w:rPr>
          <w:rFonts w:ascii="Calibri" w:hAnsi="Calibri" w:eastAsia="Hiragino Sans GB"/>
        </w:rPr>
        <w:t>不采集患者隐私、付费墙内容或禁止自动抓取的站点；演示数据保留证据片段但不展示敏感信息。</w:t>
      </w:r>
    </w:p>
    <w:p>
      <w:pPr>
        <w:pStyle w:val="Heading2"/>
      </w:pPr>
      <w:r>
        <w:t>3.4 文档数据结构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8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6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document_id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清洗后文档唯一标识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doc_sha256_...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category_id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类别标识，可多标签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respiratory_asthma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title / content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标题与正文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支气管哮喘的症状……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source_url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来源地址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https://...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license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使用许可或来源声明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open / public-info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collected_at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采集时间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2026-09-01T...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content_hash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正文哈希，用于去重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quality_score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清洗后质量分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0.92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系统总体架构</w:t>
      </w:r>
    </w:p>
    <w:p>
      <w:r>
        <w:rPr>
          <w:rFonts w:ascii="Calibri" w:hAnsi="Calibri" w:eastAsia="Hiragino Sans GB"/>
        </w:rPr>
        <w:t>系统采用前后端分离、任务队列驱动和双存储架构。关系数据库保存任务、文档、审核与统计元数据；图数据库保存实体和关系；对象/文件存储保留原文、抽取结果和可导出的数据文件。</w:t>
      </w:r>
    </w:p>
    <w:p>
      <w:pPr>
        <w:pStyle w:val="Heading2"/>
      </w:pPr>
      <w:r>
        <w:t>4.1 分层架构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rPr>
          <w:tblHeader w:val="true"/>
          <w:cantSplit/>
        </w:trPr>
        <w:tc>
          <w:tcPr>
            <w:tcW w:type="dxa" w:w="15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核心组件</w:t>
            </w:r>
          </w:p>
        </w:tc>
        <w:tc>
          <w:tcPr>
            <w:tcW w:type="dxa" w:w="44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展示层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Vue 3 / React、ECharts 或 Cytoscape.js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图谱浏览、查询、详情、路径、统计、任务状态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服务层</w:t>
            </w:r>
          </w:p>
        </w:tc>
        <w:tc>
          <w:tcPr>
            <w:tcW w:type="dxa" w:w="3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FastAPI</w:t>
            </w:r>
          </w:p>
        </w:tc>
        <w:tc>
          <w:tcPr>
            <w:tcW w:type="dxa" w:w="4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统一 REST API、鉴权、查询编排、文件导出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智能体编排层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LangGraph/自研状态机 + Celery/RQ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多智能体协作、状态持久化、重试和断点续跑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处理层</w:t>
            </w:r>
          </w:p>
        </w:tc>
        <w:tc>
          <w:tcPr>
            <w:tcW w:type="dxa" w:w="3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采集器、清洗器、NER、RE、LLM、实体链接</w:t>
            </w:r>
          </w:p>
        </w:tc>
        <w:tc>
          <w:tcPr>
            <w:tcW w:type="dxa" w:w="4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数据获取与知识抽取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存储层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PostgreSQL/SQLite、Neo4j、JSONL/CSV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元数据、图数据、原始与交付数据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观测层</w:t>
            </w:r>
          </w:p>
        </w:tc>
        <w:tc>
          <w:tcPr>
            <w:tcW w:type="dxa" w:w="3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结构化日志、指标、审计记录</w:t>
            </w:r>
          </w:p>
        </w:tc>
        <w:tc>
          <w:tcPr>
            <w:tcW w:type="dxa" w:w="4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追踪任务耗时、错误、模型版本和质量</w:t>
            </w:r>
          </w:p>
        </w:tc>
      </w:tr>
    </w:tbl>
    <w:p>
      <w:pPr>
        <w:spacing w:after="20"/>
      </w:pPr>
    </w:p>
    <w:p>
      <w:pPr>
        <w:pStyle w:val="Heading2"/>
      </w:pPr>
      <w:r>
        <w:t>4.2 端到端数据流</w:t>
      </w:r>
    </w:p>
    <w:p>
      <w:pPr>
        <w:pStyle w:val="ListNumber"/>
      </w:pPr>
      <w:r>
        <w:rPr>
          <w:rFonts w:ascii="Calibri" w:hAnsi="Calibri" w:eastAsia="Hiragino Sans GB"/>
        </w:rPr>
        <w:t>任务规划：读取类别清单、来源配置和数量目标，生成分批采集任务。</w:t>
      </w:r>
    </w:p>
    <w:p>
      <w:pPr>
        <w:pStyle w:val="ListNumber"/>
      </w:pPr>
      <w:r>
        <w:rPr>
          <w:rFonts w:ascii="Calibri" w:hAnsi="Calibri" w:eastAsia="Hiragino Sans GB"/>
        </w:rPr>
        <w:t>采集与清洗：抓取文本，抽取正文，进行语言检测、去噪、去重和质量评分。</w:t>
      </w:r>
    </w:p>
    <w:p>
      <w:pPr>
        <w:pStyle w:val="ListNumber"/>
      </w:pPr>
      <w:r>
        <w:rPr>
          <w:rFonts w:ascii="Calibri" w:hAnsi="Calibri" w:eastAsia="Hiragino Sans GB"/>
        </w:rPr>
        <w:t>候选知识抽取：规则和领域模型识别实体，关系模型/LLM 输出符合 JSON Schema 的候选事实。</w:t>
      </w:r>
    </w:p>
    <w:p>
      <w:pPr>
        <w:pStyle w:val="ListNumber"/>
      </w:pPr>
      <w:r>
        <w:rPr>
          <w:rFonts w:ascii="Calibri" w:hAnsi="Calibri" w:eastAsia="Hiragino Sans GB"/>
        </w:rPr>
        <w:t>规范化与融合：执行别名归一、实体链接、单位标准化、重复关系合并和冲突检测。</w:t>
      </w:r>
    </w:p>
    <w:p>
      <w:pPr>
        <w:pStyle w:val="ListNumber"/>
      </w:pPr>
      <w:r>
        <w:rPr>
          <w:rFonts w:ascii="Calibri" w:hAnsi="Calibri" w:eastAsia="Hiragino Sans GB"/>
        </w:rPr>
        <w:t>质量审查：验证本体约束、证据跨度与置信度；低置信度结果转人工审核。</w:t>
      </w:r>
    </w:p>
    <w:p>
      <w:pPr>
        <w:pStyle w:val="ListNumber"/>
      </w:pPr>
      <w:r>
        <w:rPr>
          <w:rFonts w:ascii="Calibri" w:hAnsi="Calibri" w:eastAsia="Hiragino Sans GB"/>
        </w:rPr>
        <w:t>图谱入库：通过幂等 Upsert 写入 Neo4j，同时导出 nodes.csv、edges.csv 和 triples.csv。</w:t>
      </w:r>
    </w:p>
    <w:p>
      <w:pPr>
        <w:pStyle w:val="ListNumber"/>
      </w:pPr>
      <w:r>
        <w:rPr>
          <w:rFonts w:ascii="Calibri" w:hAnsi="Calibri" w:eastAsia="Hiragino Sans GB"/>
        </w:rPr>
        <w:t>查询与展示：API 将图查询结果转换为前端节点边格式，支持按需展开以控制渲染规模。</w:t>
      </w:r>
    </w:p>
    <w:p>
      <w:pPr>
        <w:pStyle w:val="Heading2"/>
      </w:pPr>
      <w:r>
        <w:t>4.3 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200"/>
        <w:gridCol w:w="4560"/>
      </w:tblGrid>
      <w:tr>
        <w:trPr>
          <w:tblHeader w:val="true"/>
          <w:cantSplit/>
        </w:trPr>
        <w:tc>
          <w:tcPr>
            <w:tcW w:type="dxa" w:w="16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推荐选型</w:t>
            </w:r>
          </w:p>
        </w:tc>
        <w:tc>
          <w:tcPr>
            <w:tcW w:type="dxa" w:w="45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备选/说明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后端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Python 3.11 + FastAPI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生态成熟，便于调用 NLP/LLM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智能体</w:t>
            </w:r>
          </w:p>
        </w:tc>
        <w:tc>
          <w:tcPr>
            <w:tcW w:type="dxa" w:w="3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LangGraph 或轻量状态机</w:t>
            </w:r>
          </w:p>
        </w:tc>
        <w:tc>
          <w:tcPr>
            <w:tcW w:type="dxa" w:w="4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课程项目建议显式状态机，便于解释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异步任务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Celery + Redis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小规模演示可用 FastAPI BackgroundTasks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NLP</w:t>
            </w:r>
          </w:p>
        </w:tc>
        <w:tc>
          <w:tcPr>
            <w:tcW w:type="dxa" w:w="3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HanLP / Transformers</w:t>
            </w:r>
          </w:p>
        </w:tc>
        <w:tc>
          <w:tcPr>
            <w:tcW w:type="dxa" w:w="4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结合词典和正则规则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LLM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可替换的模型适配器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云端 API 或本地 Qwen 类模型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图数据库</w:t>
            </w:r>
          </w:p>
        </w:tc>
        <w:tc>
          <w:tcPr>
            <w:tcW w:type="dxa" w:w="3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Neo4j Community</w:t>
            </w:r>
          </w:p>
        </w:tc>
        <w:tc>
          <w:tcPr>
            <w:tcW w:type="dxa" w:w="4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演示友好，Cypher 查询直观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元数据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PostgreSQL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开发期可先用 SQLite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前端</w:t>
            </w:r>
          </w:p>
        </w:tc>
        <w:tc>
          <w:tcPr>
            <w:tcW w:type="dxa" w:w="3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Vue 3 + TypeScript + Cytoscape.js</w:t>
            </w:r>
          </w:p>
        </w:tc>
        <w:tc>
          <w:tcPr>
            <w:tcW w:type="dxa" w:w="4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ECharts Graph 亦可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部署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Docker Compose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一条命令启动服务依赖</w:t>
            </w:r>
          </w:p>
        </w:tc>
      </w:tr>
    </w:tbl>
    <w:p>
      <w:pPr>
        <w:spacing w:after="20"/>
      </w:pPr>
    </w:p>
    <w:p>
      <w:pPr>
        <w:pStyle w:val="Heading1"/>
      </w:pPr>
      <w:r>
        <w:t>5. 多智能体设计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50"/>
        <w:gridCol w:w="3100"/>
        <w:gridCol w:w="2860"/>
      </w:tblGrid>
      <w:tr>
        <w:trPr>
          <w:tblHeader w:val="true"/>
          <w:cantSplit/>
        </w:trPr>
        <w:tc>
          <w:tcPr>
            <w:tcW w:type="dxa" w:w="145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6"/>
              </w:rPr>
              <w:t>智能体</w:t>
            </w:r>
          </w:p>
        </w:tc>
        <w:tc>
          <w:tcPr>
            <w:tcW w:type="dxa" w:w="195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1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6"/>
              </w:rPr>
              <w:t>主要动作</w:t>
            </w:r>
          </w:p>
        </w:tc>
        <w:tc>
          <w:tcPr>
            <w:tcW w:type="dxa" w:w="28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6"/>
              </w:rPr>
              <w:t>输出/终止条件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Orchestrator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目标类别与数量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拆解任务、调度、重试、汇总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所有批次达标或触发人工介入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Collector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来源与采集策略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请求、解析、限速、分页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原始文档与采集日志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Cleaner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原始 HTML/文本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正文提取、去噪、去重、评分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合格标准文档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Extractor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标准文档、本体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NER、属性与关系抽取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候选实体和三元组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Linker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候选实体、词典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别名归一、实体链接、消歧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规范实体 ID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Reviewer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候选知识与证据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规则校验、冲突检测、置信度融合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通过、驳回或人工复核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GraphWriter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审核通过的知识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幂等写入、版本与溯源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节点边及导出文件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6"/>
              </w:rPr>
              <w:t>Reporter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全流程指标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统计规模、质量、失败原因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6"/>
              </w:rPr>
              <w:t>验收报告与看板数据</w:t>
            </w:r>
          </w:p>
        </w:tc>
      </w:tr>
    </w:tbl>
    <w:p>
      <w:pPr>
        <w:spacing w:after="20"/>
      </w:pPr>
    </w:p>
    <w:p>
      <w:pPr>
        <w:pStyle w:val="Callout"/>
        <w:shd w:fill="EAF2F8"/>
      </w:pPr>
      <w:r>
        <w:rPr>
          <w:rFonts w:ascii="Calibri" w:hAnsi="Calibri" w:eastAsia="Hiragino Sans GB"/>
          <w:b/>
          <w:color w:val="17365D"/>
        </w:rPr>
        <w:t xml:space="preserve">智能体边界  </w:t>
      </w:r>
      <w:r>
        <w:rPr>
          <w:rFonts w:ascii="Calibri" w:hAnsi="Calibri" w:eastAsia="Hiragino Sans GB"/>
          <w:color w:val="17365D"/>
        </w:rPr>
        <w:t>智能体不是简单地“调用一次大模型”。每个智能体具有明确的目标、输入输出 Schema、可用工具、状态、最大重试次数与停止条件；编排器只在状态转换中传递结构化数据。</w:t>
      </w:r>
    </w:p>
    <w:p>
      <w:pPr>
        <w:pStyle w:val="Heading2"/>
      </w:pPr>
      <w:r>
        <w:t>5.1 状态机与容错</w:t>
      </w:r>
    </w:p>
    <w:p>
      <w:pPr>
        <w:pStyle w:val="ListBullet"/>
      </w:pPr>
      <w:r>
        <w:rPr>
          <w:rFonts w:ascii="Calibri" w:hAnsi="Calibri" w:eastAsia="Hiragino Sans GB"/>
        </w:rPr>
        <w:t>主状态：PENDING → COLLECTED → CLEANED → EXTRACTED → REVIEWED → STORED → COMPLETED。</w:t>
      </w:r>
    </w:p>
    <w:p>
      <w:pPr>
        <w:pStyle w:val="ListBullet"/>
      </w:pPr>
      <w:r>
        <w:rPr>
          <w:rFonts w:ascii="Calibri" w:hAnsi="Calibri" w:eastAsia="Hiragino Sans GB"/>
        </w:rPr>
        <w:t>异常状态：RETRYABLE、REJECTED、NEEDS_REVIEW、FAILED；每一步保存检查点，支持断点续跑。</w:t>
      </w:r>
    </w:p>
    <w:p>
      <w:pPr>
        <w:pStyle w:val="ListBullet"/>
      </w:pPr>
      <w:r>
        <w:rPr>
          <w:rFonts w:ascii="Calibri" w:hAnsi="Calibri" w:eastAsia="Hiragino Sans GB"/>
        </w:rPr>
        <w:t>幂等策略：document_id、entity_id、triple_key 建唯一约束；重复执行不产生重复节点或边。</w:t>
      </w:r>
    </w:p>
    <w:p>
      <w:pPr>
        <w:pStyle w:val="ListBullet"/>
      </w:pPr>
      <w:r>
        <w:rPr>
          <w:rFonts w:ascii="Calibri" w:hAnsi="Calibri" w:eastAsia="Hiragino Sans GB"/>
        </w:rPr>
        <w:t>降级策略：LLM 不可用时保留规则与本地模型结果；Neo4j 不可用时先写入待导入文件。</w:t>
      </w:r>
    </w:p>
    <w:p>
      <w:pPr>
        <w:pStyle w:val="Heading2"/>
      </w:pPr>
      <w:r>
        <w:t>5.2 提示词与结构化输出</w:t>
      </w:r>
    </w:p>
    <w:p>
      <w:r>
        <w:rPr>
          <w:rFonts w:ascii="Calibri" w:hAnsi="Calibri" w:eastAsia="Hiragino Sans GB"/>
        </w:rPr>
        <w:t>LLM 抽取必须通过 JSON Schema 限制字段，禁止直接生成 Cypher。输出至少包含 subject、predicate、object、subject_type、object_type、evidence、confidence；随后由 Reviewer 校验实体类型、关系域/值域、证据是否出现在原文及置信度阈值。</w:t>
      </w:r>
    </w:p>
    <w:p>
      <w:pPr>
        <w:pStyle w:val="Heading1"/>
      </w:pPr>
      <w:r>
        <w:t>6. 知识图谱模式设计</w:t>
      </w:r>
    </w:p>
    <w:p>
      <w:pPr>
        <w:pStyle w:val="Heading2"/>
      </w:pPr>
      <w:r>
        <w:t>6.1 核心实体类型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tblHeader w:val="true"/>
          <w:cantSplit/>
        </w:trPr>
        <w:tc>
          <w:tcPr>
            <w:tcW w:type="dxa" w:w="2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实体类型</w:t>
            </w:r>
          </w:p>
        </w:tc>
        <w:tc>
          <w:tcPr>
            <w:tcW w:type="dxa" w:w="4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关键属性</w:t>
            </w:r>
          </w:p>
        </w:tc>
        <w:tc>
          <w:tcPr>
            <w:tcW w:type="dxa" w:w="29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Disease 疾病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name、aliases、definition、icd_code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支气管哮喘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Symptom 症状</w:t>
            </w:r>
          </w:p>
        </w:tc>
        <w:tc>
          <w:tcPr>
            <w:tcW w:type="dxa" w:w="4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name、body_site、severity</w:t>
            </w:r>
          </w:p>
        </w:tc>
        <w:tc>
          <w:tcPr>
            <w:tcW w:type="dxa" w:w="2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喘息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Drug 药物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generic_name、dosage_form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布地奈德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Treatment 治疗</w:t>
            </w:r>
          </w:p>
        </w:tc>
        <w:tc>
          <w:tcPr>
            <w:tcW w:type="dxa" w:w="4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name、type</w:t>
            </w:r>
          </w:p>
        </w:tc>
        <w:tc>
          <w:tcPr>
            <w:tcW w:type="dxa" w:w="2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吸入治疗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Examination 检查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name、method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肺功能检查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Department 科室</w:t>
            </w:r>
          </w:p>
        </w:tc>
        <w:tc>
          <w:tcPr>
            <w:tcW w:type="dxa" w:w="4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</w:t>
            </w:r>
          </w:p>
        </w:tc>
        <w:tc>
          <w:tcPr>
            <w:tcW w:type="dxa" w:w="2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呼吸内科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Population 人群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name、age_range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儿童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RiskFactor 危险因素</w:t>
            </w:r>
          </w:p>
        </w:tc>
        <w:tc>
          <w:tcPr>
            <w:tcW w:type="dxa" w:w="4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name、category</w:t>
            </w:r>
          </w:p>
        </w:tc>
        <w:tc>
          <w:tcPr>
            <w:tcW w:type="dxa" w:w="2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过敏原暴露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Complication 并发症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name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呼吸衰竭</w:t>
            </w:r>
          </w:p>
        </w:tc>
      </w:tr>
    </w:tbl>
    <w:p>
      <w:pPr>
        <w:spacing w:after="20"/>
      </w:pPr>
    </w:p>
    <w:p>
      <w:pPr>
        <w:pStyle w:val="Heading2"/>
      </w:pPr>
      <w:r>
        <w:t>6.2 核心关系类型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  <w:cantSplit/>
        </w:trPr>
        <w:tc>
          <w:tcPr>
            <w:tcW w:type="dxa" w:w="2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31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主语 → 宾语</w:t>
            </w:r>
          </w:p>
        </w:tc>
        <w:tc>
          <w:tcPr>
            <w:tcW w:type="dxa" w:w="40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HAS_SYMPTOM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→ Symptom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哮喘 → 喘息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TREATED_BY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→ Drug/Treatment</w:t>
            </w:r>
          </w:p>
        </w:tc>
        <w:tc>
          <w:tcPr>
            <w:tcW w:type="dxa" w:w="4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哮喘 → 布地奈德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DIAGNOSED_BY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→ Examination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哮喘 → 肺功能检查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BELONGS_TO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→ Department</w:t>
            </w:r>
          </w:p>
        </w:tc>
        <w:tc>
          <w:tcPr>
            <w:tcW w:type="dxa" w:w="4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哮喘 → 呼吸内科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HIGH_RISK_FOR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Population → Disease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过敏体质人群 → 哮喘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HAS_RISK_FACTOR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→ RiskFactor</w:t>
            </w:r>
          </w:p>
        </w:tc>
        <w:tc>
          <w:tcPr>
            <w:tcW w:type="dxa" w:w="4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哮喘 → 过敏原暴露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MAY_CAUSE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→ Complication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重症哮喘 → 呼吸衰竭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CO_OCCURS_WITH</w:t>
            </w:r>
          </w:p>
        </w:tc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Disease ↔ Disease</w:t>
            </w:r>
          </w:p>
        </w:tc>
        <w:tc>
          <w:tcPr>
            <w:tcW w:type="dxa" w:w="4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哮喘 ↔ 过敏性鼻炎</w:t>
            </w:r>
          </w:p>
        </w:tc>
      </w:tr>
    </w:tbl>
    <w:p>
      <w:pPr>
        <w:spacing w:after="20"/>
      </w:pPr>
    </w:p>
    <w:p>
      <w:pPr>
        <w:pStyle w:val="Heading2"/>
      </w:pPr>
      <w:r>
        <w:t>6.3 三元组与溯源模型</w:t>
      </w:r>
    </w:p>
    <w:p>
      <w:r>
        <w:rPr>
          <w:rFonts w:ascii="Calibri" w:hAnsi="Calibri" w:eastAsia="Hiragino Sans GB"/>
        </w:rPr>
        <w:t>示例三元组：(支气管哮喘, HAS_SYMPTOM, 喘息)。关系边同时保存 confidence、source_document_id、evidence_text、extractor、model_version、created_at。实体属性采用键值方式存储，但在导出时也可转换为 (实体, 属性名, 属性值) 三元组，以满足题目对属性抽取的要求。</w:t>
      </w:r>
    </w:p>
    <w:p>
      <w:pPr>
        <w:pStyle w:val="Callout"/>
        <w:shd w:fill="EAF2F8"/>
      </w:pPr>
      <w:r>
        <w:rPr>
          <w:rFonts w:ascii="Calibri" w:hAnsi="Calibri" w:eastAsia="Hiragino Sans GB"/>
          <w:b/>
          <w:color w:val="17365D"/>
        </w:rPr>
        <w:t xml:space="preserve">版本策略  </w:t>
      </w:r>
      <w:r>
        <w:rPr>
          <w:rFonts w:ascii="Calibri" w:hAnsi="Calibri" w:eastAsia="Hiragino Sans GB"/>
          <w:color w:val="17365D"/>
        </w:rPr>
        <w:t>知识不是覆盖式更新。对同一事实保留来源集合与首次/最近发现时间；冲突事实进入审查队列，最终状态标记为 accepted、disputed 或 deprecated。</w:t>
      </w:r>
    </w:p>
    <w:p>
      <w:r>
        <w:br w:type="page"/>
      </w:r>
    </w:p>
    <w:p>
      <w:pPr>
        <w:pStyle w:val="Heading1"/>
      </w:pPr>
      <w:r>
        <w:t>7. 信息抽取与知识融合方案</w:t>
      </w:r>
    </w:p>
    <w:p>
      <w:pPr>
        <w:pStyle w:val="Heading2"/>
      </w:pPr>
      <w:r>
        <w:t>7.1 混合抽取路线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1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候选识别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医学词典、正则、Aho–Corasick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高精度识别药名、疾病名、数值和单位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实体识别</w:t>
            </w:r>
          </w:p>
        </w:tc>
        <w:tc>
          <w:tcPr>
            <w:tcW w:type="dxa" w:w="3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中文预训练模型微调或现成 NER</w:t>
            </w:r>
          </w:p>
        </w:tc>
        <w:tc>
          <w:tcPr>
            <w:tcW w:type="dxa" w:w="4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补充上下文相关实体和新词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关系抽取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规则模板 + 分类模型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处理高频、稳定关系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复杂抽取</w:t>
            </w:r>
          </w:p>
        </w:tc>
        <w:tc>
          <w:tcPr>
            <w:tcW w:type="dxa" w:w="3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LLM few-shot + JSON Schema</w:t>
            </w:r>
          </w:p>
        </w:tc>
        <w:tc>
          <w:tcPr>
            <w:tcW w:type="dxa" w:w="4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处理跨句关系、属性与长尾表达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实体链接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别名词典 + 字符/向量相似度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归并同义词并连接规范实体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质量融合</w:t>
            </w:r>
          </w:p>
        </w:tc>
        <w:tc>
          <w:tcPr>
            <w:tcW w:type="dxa" w:w="3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规则投票 + 模型置信度 + 来源权重</w:t>
            </w:r>
          </w:p>
        </w:tc>
        <w:tc>
          <w:tcPr>
            <w:tcW w:type="dxa" w:w="4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计算最终可信度并识别冲突</w:t>
            </w:r>
          </w:p>
        </w:tc>
      </w:tr>
    </w:tbl>
    <w:p>
      <w:pPr>
        <w:spacing w:after="20"/>
      </w:pPr>
    </w:p>
    <w:p>
      <w:pPr>
        <w:pStyle w:val="Heading2"/>
      </w:pPr>
      <w:r>
        <w:t>7.2 质量控制规则</w:t>
      </w:r>
    </w:p>
    <w:p>
      <w:pPr>
        <w:pStyle w:val="ListBullet"/>
      </w:pPr>
      <w:r>
        <w:rPr>
          <w:rFonts w:ascii="Calibri" w:hAnsi="Calibri" w:eastAsia="Hiragino Sans GB"/>
        </w:rPr>
        <w:t>Schema 校验：实体类型、关系名称、属性类型、关系域和值域必须符合本体。</w:t>
      </w:r>
    </w:p>
    <w:p>
      <w:pPr>
        <w:pStyle w:val="ListBullet"/>
      </w:pPr>
      <w:r>
        <w:rPr>
          <w:rFonts w:ascii="Calibri" w:hAnsi="Calibri" w:eastAsia="Hiragino Sans GB"/>
        </w:rPr>
        <w:t>证据校验：evidence_text 必须能在原文定位，并保存起止字符位置。</w:t>
      </w:r>
    </w:p>
    <w:p>
      <w:pPr>
        <w:pStyle w:val="ListBullet"/>
      </w:pPr>
      <w:r>
        <w:rPr>
          <w:rFonts w:ascii="Calibri" w:hAnsi="Calibri" w:eastAsia="Hiragino Sans GB"/>
        </w:rPr>
        <w:t>一致性校验：同一实体不得同时拥有明显互斥属性；数值单位统一后再比较。</w:t>
      </w:r>
    </w:p>
    <w:p>
      <w:pPr>
        <w:pStyle w:val="ListBullet"/>
      </w:pPr>
      <w:r>
        <w:rPr>
          <w:rFonts w:ascii="Calibri" w:hAnsi="Calibri" w:eastAsia="Hiragino Sans GB"/>
        </w:rPr>
        <w:t>置信度策略：≥0.85 自动通过；0.60–0.85 进入抽样或人工复核；&lt;0.60 默认不入库。</w:t>
      </w:r>
    </w:p>
    <w:p>
      <w:pPr>
        <w:pStyle w:val="ListBullet"/>
      </w:pPr>
      <w:r>
        <w:rPr>
          <w:rFonts w:ascii="Calibri" w:hAnsi="Calibri" w:eastAsia="Hiragino Sans GB"/>
        </w:rPr>
        <w:t>抽样复核：每个类别至少复核固定数量样本，避免总体指标掩盖长尾类别质量问题。</w:t>
      </w:r>
    </w:p>
    <w:p>
      <w:pPr>
        <w:pStyle w:val="Heading2"/>
      </w:pPr>
      <w:r>
        <w:t>7.3 评测集设计</w:t>
      </w:r>
    </w:p>
    <w:p>
      <w:r>
        <w:rPr>
          <w:rFonts w:ascii="Calibri" w:hAnsi="Calibri" w:eastAsia="Hiragino Sans GB"/>
        </w:rPr>
        <w:t>从 120 个类别中分层抽取不少于 30 个类别，每类人工标注 5–10 条文本，形成 200–300 条金标准评测集。标注实体边界、实体类型、实体规范名和关系三元组，双人标注并解决分歧。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100"/>
        <w:gridCol w:w="2660"/>
      </w:tblGrid>
      <w:tr>
        <w:trPr>
          <w:tblHeader w:val="true"/>
          <w:cantSplit/>
        </w:trPr>
        <w:tc>
          <w:tcPr>
            <w:tcW w:type="dxa" w:w="26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1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计算/目标</w:t>
            </w:r>
          </w:p>
        </w:tc>
        <w:tc>
          <w:tcPr>
            <w:tcW w:type="dxa" w:w="26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 Precision / Recall / F1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严格边界匹配；F1 建议 ≥ 0.80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衡量实体识别质量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关系 Precision / Recall / F1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实体与关系均正确；F1 建议 ≥ 0.70</w:t>
            </w:r>
          </w:p>
        </w:tc>
        <w:tc>
          <w:tcPr>
            <w:tcW w:type="dxa" w:w="2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衡量三元组质量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实体链接准确率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正确规范实体数 / 总链接数；≥ 0.85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衡量去重与消歧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证据可定位率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可回溯三元组 / 总三元组；≥ 0.95</w:t>
            </w:r>
          </w:p>
        </w:tc>
        <w:tc>
          <w:tcPr>
            <w:tcW w:type="dxa" w:w="2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保障可解释性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重复率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重复文档或三元组占比；≤ 0.02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保障数据有效规模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流程成功率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成功批次 / 总批次；≥ 0.95</w:t>
            </w:r>
          </w:p>
        </w:tc>
        <w:tc>
          <w:tcPr>
            <w:tcW w:type="dxa" w:w="2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衡量系统稳定性</w:t>
            </w:r>
          </w:p>
        </w:tc>
      </w:tr>
    </w:tbl>
    <w:p>
      <w:pPr>
        <w:spacing w:after="20"/>
      </w:pPr>
    </w:p>
    <w:p>
      <w:pPr>
        <w:pStyle w:val="Heading1"/>
      </w:pPr>
      <w:r>
        <w:t>8. 图数据库与接口设计</w:t>
      </w:r>
    </w:p>
    <w:p>
      <w:pPr>
        <w:pStyle w:val="Heading2"/>
      </w:pPr>
      <w:r>
        <w:t>8.1 Neo4j 存储</w:t>
      </w:r>
    </w:p>
    <w:p>
      <w:pPr>
        <w:pStyle w:val="ListBullet"/>
      </w:pPr>
      <w:r>
        <w:rPr>
          <w:rFonts w:ascii="Calibri" w:hAnsi="Calibri" w:eastAsia="Hiragino Sans GB"/>
        </w:rPr>
        <w:t>节点以 entity_id 建唯一约束，name 和 aliases 建全文索引；类别与文档节点用于追溯。</w:t>
      </w:r>
    </w:p>
    <w:p>
      <w:pPr>
        <w:pStyle w:val="ListBullet"/>
      </w:pPr>
      <w:r>
        <w:rPr>
          <w:rFonts w:ascii="Calibri" w:hAnsi="Calibri" w:eastAsia="Hiragino Sans GB"/>
        </w:rPr>
        <w:t>关系使用规范谓词名称，边属性保存置信度、证据、来源、抽取器和时间戳。</w:t>
      </w:r>
    </w:p>
    <w:p>
      <w:pPr>
        <w:pStyle w:val="ListBullet"/>
      </w:pPr>
      <w:r>
        <w:rPr>
          <w:rFonts w:ascii="Calibri" w:hAnsi="Calibri" w:eastAsia="Hiragino Sans GB"/>
        </w:rPr>
        <w:t>写入采用批量 UNWIND + MERGE，避免逐条请求；所有写入操作支持重复执行。</w:t>
      </w:r>
    </w:p>
    <w:p>
      <w:pPr>
        <w:pStyle w:val="ListBullet"/>
      </w:pPr>
      <w:r>
        <w:rPr>
          <w:rFonts w:ascii="Calibri" w:hAnsi="Calibri" w:eastAsia="Hiragino Sans GB"/>
        </w:rPr>
        <w:t>大图浏览默认限制深度、节点数和超时时间，防止一次查询加载整个图谱。</w:t>
      </w:r>
    </w:p>
    <w:p>
      <w:pPr>
        <w:pStyle w:val="Heading2"/>
      </w:pPr>
      <w:r>
        <w:t>8.2 核心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00"/>
        <w:gridCol w:w="3960"/>
      </w:tblGrid>
      <w:tr>
        <w:trPr>
          <w:tblHeader w:val="true"/>
          <w:cantSplit/>
        </w:trPr>
        <w:tc>
          <w:tcPr>
            <w:tcW w:type="dxa" w:w="26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方法与路径</w:t>
            </w:r>
          </w:p>
        </w:tc>
        <w:tc>
          <w:tcPr>
            <w:tcW w:type="dxa" w:w="28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9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关键参数/返回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POST /api/jobs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创建构建任务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category_ids、target_count、sources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/api/jobs/{id}</w:t>
            </w:r>
          </w:p>
        </w:tc>
        <w:tc>
          <w:tcPr>
            <w:tcW w:type="dxa" w:w="2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查看任务状态</w:t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阶段、进度、错误、统计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/api/entities/search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实体搜索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q、type、limit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/api/entities/{id}</w:t>
            </w:r>
          </w:p>
        </w:tc>
        <w:tc>
          <w:tcPr>
            <w:tcW w:type="dxa" w:w="2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实体详情</w:t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属性、来源、相邻关系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/api/graph/neighbors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邻居展开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entity_id、depth、relation_types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/api/graph/path</w:t>
            </w:r>
          </w:p>
        </w:tc>
        <w:tc>
          <w:tcPr>
            <w:tcW w:type="dxa" w:w="2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关系路径</w:t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source_id、target_id、max_depth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/api/stats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规模与质量统计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类别、文本、实体、边、指标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GET /api/export</w:t>
            </w:r>
          </w:p>
        </w:tc>
        <w:tc>
          <w:tcPr>
            <w:tcW w:type="dxa" w:w="2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导出数据</w:t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format=csv/jsonl/rdf</w:t>
            </w:r>
          </w:p>
        </w:tc>
      </w:tr>
    </w:tbl>
    <w:p>
      <w:pPr>
        <w:spacing w:after="20"/>
      </w:pPr>
    </w:p>
    <w:p>
      <w:pPr>
        <w:pStyle w:val="Heading1"/>
      </w:pPr>
      <w:r>
        <w:t>9. 可视化界面设计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3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31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验收点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总览仪表盘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类别、文本、实体、关系、任务进度和质量指标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数字与数据文件统计一致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图谱浏览</w:t>
            </w:r>
          </w:p>
        </w:tc>
        <w:tc>
          <w:tcPr>
            <w:tcW w:type="dxa" w:w="4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节点拖拽、缩放、筛选、按需展开、布局切换</w:t>
            </w:r>
          </w:p>
        </w:tc>
        <w:tc>
          <w:tcPr>
            <w:tcW w:type="dxa" w:w="3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可浏览且不卡死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实体查询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名称/别名模糊搜索、类型过滤、结果排序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可查到实体并定位节点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实体详情</w:t>
            </w:r>
          </w:p>
        </w:tc>
        <w:tc>
          <w:tcPr>
            <w:tcW w:type="dxa" w:w="4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属性、邻居、来源证据、置信度</w:t>
            </w:r>
          </w:p>
        </w:tc>
        <w:tc>
          <w:tcPr>
            <w:tcW w:type="dxa" w:w="3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信息完整、可追溯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关系展示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直接关系、按类型过滤、最短路径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关系方向和类型清晰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任务中心</w:t>
            </w:r>
          </w:p>
        </w:tc>
        <w:tc>
          <w:tcPr>
            <w:tcW w:type="dxa" w:w="4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启动、暂停、状态、失败原因、重试</w:t>
            </w:r>
          </w:p>
        </w:tc>
        <w:tc>
          <w:tcPr>
            <w:tcW w:type="dxa" w:w="3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体现智能体自动化过程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人工审核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候选三元组通过、驳回、修改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低置信度知识可处理</w:t>
            </w:r>
          </w:p>
        </w:tc>
      </w:tr>
    </w:tbl>
    <w:p>
      <w:pPr>
        <w:spacing w:after="20"/>
      </w:pPr>
    </w:p>
    <w:p>
      <w:pPr>
        <w:pStyle w:val="Heading2"/>
      </w:pPr>
      <w:r>
        <w:t>9.1 交互与性能策略</w:t>
      </w:r>
    </w:p>
    <w:p>
      <w:pPr>
        <w:pStyle w:val="ListBullet"/>
      </w:pPr>
      <w:r>
        <w:rPr>
          <w:rFonts w:ascii="Calibri" w:hAnsi="Calibri" w:eastAsia="Hiragino Sans GB"/>
        </w:rPr>
        <w:t>首次只展示中心实体及一跳邻居，用户点击后继续展开；默认节点上限 150–300。</w:t>
      </w:r>
    </w:p>
    <w:p>
      <w:pPr>
        <w:pStyle w:val="ListBullet"/>
      </w:pPr>
      <w:r>
        <w:rPr>
          <w:rFonts w:ascii="Calibri" w:hAnsi="Calibri" w:eastAsia="Hiragino Sans GB"/>
        </w:rPr>
        <w:t>节点按实体类型着色、关系按谓词分组，提供图例；悬停显示摘要，点击打开详情侧栏。</w:t>
      </w:r>
    </w:p>
    <w:p>
      <w:pPr>
        <w:pStyle w:val="ListBullet"/>
      </w:pPr>
      <w:r>
        <w:rPr>
          <w:rFonts w:ascii="Calibri" w:hAnsi="Calibri" w:eastAsia="Hiragino Sans GB"/>
        </w:rPr>
        <w:t>查询结果保存视图状态，支持复制实体链接和导出当前子图 PNG/JSON。</w:t>
      </w:r>
    </w:p>
    <w:p>
      <w:pPr>
        <w:pStyle w:val="ListBullet"/>
      </w:pPr>
      <w:r>
        <w:rPr>
          <w:rFonts w:ascii="Calibri" w:hAnsi="Calibri" w:eastAsia="Hiragino Sans GB"/>
        </w:rPr>
        <w:t>布局优先使用力导向与同心圆；大规模统计使用聚合图，不直接渲染全量节点。</w:t>
      </w:r>
    </w:p>
    <w:p>
      <w:r>
        <w:br w:type="page"/>
      </w:r>
    </w:p>
    <w:p>
      <w:pPr>
        <w:pStyle w:val="Heading1"/>
      </w:pPr>
      <w:r>
        <w:t>10. 安全、合规与可观测性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风险面</w:t>
            </w:r>
          </w:p>
        </w:tc>
        <w:tc>
          <w:tcPr>
            <w:tcW w:type="dxa" w:w="72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数据合规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建立来源白名单、许可记录、robots 检查、限速与删除机制。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隐私</w:t>
            </w:r>
          </w:p>
        </w:tc>
        <w:tc>
          <w:tcPr>
            <w:tcW w:type="dxa" w:w="72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禁止采集病例身份信息；入库前执行手机号、证件号等敏感信息检测。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提示注入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网页文本仅作为数据，不允许覆盖系统指令；工具调用使用白名单参数。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模型幻觉</w:t>
            </w:r>
          </w:p>
        </w:tc>
        <w:tc>
          <w:tcPr>
            <w:tcW w:type="dxa" w:w="72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必须返回原文证据；无证据事实不得入库；低置信度转人工。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凭据安全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API Key 通过环境变量/密钥文件注入，禁止提交到 Git。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审计</w:t>
            </w:r>
          </w:p>
        </w:tc>
        <w:tc>
          <w:tcPr>
            <w:tcW w:type="dxa" w:w="72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记录每条知识的来源、抽取器、模型版本、审核动作和写入时间。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10.1 关键观测指标</w:t>
      </w:r>
    </w:p>
    <w:p>
      <w:pPr>
        <w:pStyle w:val="ListBullet"/>
      </w:pPr>
      <w:r>
        <w:rPr>
          <w:rFonts w:ascii="Calibri" w:hAnsi="Calibri" w:eastAsia="Hiragino Sans GB"/>
        </w:rPr>
        <w:t>采集：请求成功率、平均延迟、空页率、重复率、各类别完成度。</w:t>
      </w:r>
    </w:p>
    <w:p>
      <w:pPr>
        <w:pStyle w:val="ListBullet"/>
      </w:pPr>
      <w:r>
        <w:rPr>
          <w:rFonts w:ascii="Calibri" w:hAnsi="Calibri" w:eastAsia="Hiragino Sans GB"/>
        </w:rPr>
        <w:t>抽取：每千字实体数、三元组数、JSON 解析失败率、模型调用耗时与成本。</w:t>
      </w:r>
    </w:p>
    <w:p>
      <w:pPr>
        <w:pStyle w:val="ListBullet"/>
      </w:pPr>
      <w:r>
        <w:rPr>
          <w:rFonts w:ascii="Calibri" w:hAnsi="Calibri" w:eastAsia="Hiragino Sans GB"/>
        </w:rPr>
        <w:t>图谱：新增/合并实体数、冲突数、孤立节点率、写入吞吐与失败数。</w:t>
      </w:r>
    </w:p>
    <w:p>
      <w:pPr>
        <w:pStyle w:val="ListBullet"/>
      </w:pPr>
      <w:r>
        <w:rPr>
          <w:rFonts w:ascii="Calibri" w:hAnsi="Calibri" w:eastAsia="Hiragino Sans GB"/>
        </w:rPr>
        <w:t>应用：查询 P95 延迟、子图节点数、页面错误率、人工审核积压。</w:t>
      </w:r>
    </w:p>
    <w:p>
      <w:pPr>
        <w:pStyle w:val="Heading1"/>
      </w:pPr>
      <w:r>
        <w:t>11. 实施计划与团队分工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200"/>
        <w:gridCol w:w="4400"/>
        <w:gridCol w:w="2460"/>
      </w:tblGrid>
      <w:tr>
        <w:trPr>
          <w:tblHeader w:val="true"/>
          <w:cantSplit/>
        </w:trPr>
        <w:tc>
          <w:tcPr>
            <w:tcW w:type="dxa" w:w="13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44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4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里程碑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需求与本体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1 周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明确类别、来源、Schema、验收口径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设计评审通过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采集与清洗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2 周</w:t>
            </w:r>
          </w:p>
        </w:tc>
        <w:tc>
          <w:tcPr>
            <w:tcW w:type="dxa" w:w="4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实现来源适配器、去重、质量评分</w:t>
            </w:r>
          </w:p>
        </w:tc>
        <w:tc>
          <w:tcPr>
            <w:tcW w:type="dxa" w:w="2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≥1,000 条样本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抽取与融合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3–4 周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NER/RE/LLM、实体链接、评测集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三元组可稳定产出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图谱与 API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5 周</w:t>
            </w:r>
          </w:p>
        </w:tc>
        <w:tc>
          <w:tcPr>
            <w:tcW w:type="dxa" w:w="4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Neo4j 入库、查询、导出</w:t>
            </w:r>
          </w:p>
        </w:tc>
        <w:tc>
          <w:tcPr>
            <w:tcW w:type="dxa" w:w="2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图查询接口通过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前端展示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6 周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浏览、搜索、详情、路径、任务页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完成端到端演示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规模化与优化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7 周</w:t>
            </w:r>
          </w:p>
        </w:tc>
        <w:tc>
          <w:tcPr>
            <w:tcW w:type="dxa" w:w="4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跑满 120 类/3,600 条、修复质量问题</w:t>
            </w:r>
          </w:p>
        </w:tc>
        <w:tc>
          <w:tcPr>
            <w:tcW w:type="dxa" w:w="2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数据指标达标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交付与答辩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8 周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测试、README、PPT、演示视频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完整交付包</w:t>
            </w:r>
          </w:p>
        </w:tc>
      </w:tr>
    </w:tbl>
    <w:p>
      <w:pPr>
        <w:spacing w:after="20"/>
      </w:pPr>
    </w:p>
    <w:p>
      <w:pPr>
        <w:pStyle w:val="Heading2"/>
      </w:pPr>
      <w:r>
        <w:t>11.1 建议分工（4 人）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  <w:cantSplit/>
        </w:trPr>
        <w:tc>
          <w:tcPr>
            <w:tcW w:type="dxa" w:w="18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1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34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协作事项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A：架构/后端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编排、API、任务状态、部署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统一 Schema 与集成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B：数据/NLP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采集、清洗、NER/RE、评测</w:t>
            </w:r>
          </w:p>
        </w:tc>
        <w:tc>
          <w:tcPr>
            <w:tcW w:type="dxa" w:w="3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本体和提示词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C：图谱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Neo4j、实体融合、查询、导出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质量规则与统计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D：前端/展示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可视化、搜索、详情、PPT</w:t>
            </w:r>
          </w:p>
        </w:tc>
        <w:tc>
          <w:tcPr>
            <w:tcW w:type="dxa" w:w="3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端到端测试与演示</w:t>
            </w:r>
          </w:p>
        </w:tc>
      </w:tr>
    </w:tbl>
    <w:p>
      <w:pPr>
        <w:spacing w:after="20"/>
      </w:pPr>
    </w:p>
    <w:p>
      <w:pPr>
        <w:pStyle w:val="Heading1"/>
      </w:pPr>
      <w:r>
        <w:t>12. 测试与验收方案</w:t>
      </w:r>
    </w:p>
    <w:p>
      <w:pPr>
        <w:pStyle w:val="Heading2"/>
      </w:pPr>
      <w:r>
        <w:t>12.1 功能验收清单</w:t>
      </w:r>
    </w:p>
    <w:p>
      <w:pPr>
        <w:pStyle w:val="ListBullet"/>
      </w:pPr>
      <w:r>
        <w:rPr>
          <w:rFonts w:ascii="Calibri" w:hAnsi="Calibri" w:eastAsia="Hiragino Sans GB"/>
        </w:rPr>
        <w:t>能够选择类别和来源启动构建任务，并看到各阶段状态与失败原因。</w:t>
      </w:r>
    </w:p>
    <w:p>
      <w:pPr>
        <w:pStyle w:val="ListBullet"/>
      </w:pPr>
      <w:r>
        <w:rPr>
          <w:rFonts w:ascii="Calibri" w:hAnsi="Calibri" w:eastAsia="Hiragino Sans GB"/>
        </w:rPr>
        <w:t>清洗后有效类别数 ≥100、有效文本数 ≥3,000；建议交付值达到 120/3,600。</w:t>
      </w:r>
    </w:p>
    <w:p>
      <w:pPr>
        <w:pStyle w:val="ListBullet"/>
      </w:pPr>
      <w:r>
        <w:rPr>
          <w:rFonts w:ascii="Calibri" w:hAnsi="Calibri" w:eastAsia="Hiragino Sans GB"/>
        </w:rPr>
        <w:t>能够从文本自动得到实体、属性和实体关系，且结果包含证据与置信度。</w:t>
      </w:r>
    </w:p>
    <w:p>
      <w:pPr>
        <w:pStyle w:val="ListBullet"/>
      </w:pPr>
      <w:r>
        <w:rPr>
          <w:rFonts w:ascii="Calibri" w:hAnsi="Calibri" w:eastAsia="Hiragino Sans GB"/>
        </w:rPr>
        <w:t>能够把知识幂等写入图数据库，并导出节点、边、三元组和源文档数据文件。</w:t>
      </w:r>
    </w:p>
    <w:p>
      <w:pPr>
        <w:pStyle w:val="ListBullet"/>
      </w:pPr>
      <w:r>
        <w:rPr>
          <w:rFonts w:ascii="Calibri" w:hAnsi="Calibri" w:eastAsia="Hiragino Sans GB"/>
        </w:rPr>
        <w:t>可视化页面支持图谱浏览、实体查询、实体详情和关系展示/路径查询。</w:t>
      </w:r>
    </w:p>
    <w:p>
      <w:pPr>
        <w:pStyle w:val="ListBullet"/>
      </w:pPr>
      <w:r>
        <w:rPr>
          <w:rFonts w:ascii="Calibri" w:hAnsi="Calibri" w:eastAsia="Hiragino Sans GB"/>
        </w:rPr>
        <w:t>评测报告包含实体、关系、链接、可追溯率、重复率和流程成功率。</w:t>
      </w:r>
    </w:p>
    <w:p>
      <w:pPr>
        <w:pStyle w:val="ListBullet"/>
      </w:pPr>
      <w:r>
        <w:rPr>
          <w:rFonts w:ascii="Calibri" w:hAnsi="Calibri" w:eastAsia="Hiragino Sans GB"/>
        </w:rPr>
        <w:t>换一小批新数据可进行增量构建，证明系统并非一次性静态演示。</w:t>
      </w:r>
    </w:p>
    <w:p>
      <w:pPr>
        <w:pStyle w:val="Heading2"/>
      </w:pPr>
      <w:r>
        <w:t>12.2 非功能验收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1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查询性能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常用实体搜索 P95 &lt; 1 秒；一跳邻居查询 P95 &lt; 2 秒。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稳定性</w:t>
            </w:r>
          </w:p>
        </w:tc>
        <w:tc>
          <w:tcPr>
            <w:tcW w:type="dxa" w:w="7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单批任务失败可重试；服务重启后可从检查点继续。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可部署性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Docker Compose 一键启动，README 从空环境可复现。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可维护性</w:t>
            </w:r>
          </w:p>
        </w:tc>
        <w:tc>
          <w:tcPr>
            <w:tcW w:type="dxa" w:w="7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采集器、模型与本体配置解耦；关键模块有单元测试。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可解释性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≥95% 入库关系可查看来源文档与证据片段。</w:t>
            </w:r>
          </w:p>
        </w:tc>
      </w:tr>
    </w:tbl>
    <w:p>
      <w:pPr>
        <w:spacing w:after="20"/>
      </w:pPr>
    </w:p>
    <w:p>
      <w:pPr>
        <w:pStyle w:val="Heading1"/>
      </w:pPr>
      <w:r>
        <w:t>13. 项目交付物与目录建议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9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完整源代码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backend/、frontend/、agents/、extractors/、collectors/、tests/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图谱数据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categories.csv、documents.jsonl、entities.csv、relations.csv、triples.csv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配置与部署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configs/、ontology/、docker-compose.yml、.env.example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文档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README、系统设计、API、数据字典、评测与测试报告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8"/>
              </w:rPr>
              <w:t>展示材料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8"/>
              </w:rPr>
              <w:t>项目展示 PPT、演示脚本、可选演示视频</w:t>
            </w:r>
          </w:p>
        </w:tc>
      </w:tr>
    </w:tbl>
    <w:p>
      <w:pPr>
        <w:spacing w:after="20"/>
      </w:pPr>
    </w:p>
    <w:p>
      <w:pPr>
        <w:pStyle w:val="Heading2"/>
      </w:pPr>
      <w:r>
        <w:t>13.1 PPT 建议结构（12–15 页）</w:t>
      </w:r>
    </w:p>
    <w:p>
      <w:pPr>
        <w:pStyle w:val="ListNumber"/>
      </w:pPr>
      <w:r>
        <w:rPr>
          <w:rFonts w:ascii="Calibri" w:hAnsi="Calibri" w:eastAsia="Hiragino Sans GB"/>
        </w:rPr>
        <w:t>题目与项目目标；2. 痛点与方案亮点；3. 验收指标；4. 总体架构；5. 多智能体流程；</w:t>
      </w:r>
    </w:p>
    <w:p>
      <w:pPr>
        <w:pStyle w:val="ListNumber"/>
      </w:pPr>
      <w:r>
        <w:rPr>
          <w:rFonts w:ascii="Calibri" w:hAnsi="Calibri" w:eastAsia="Hiragino Sans GB"/>
        </w:rPr>
        <w:t>6. 数据来源与规模；7. 本体设计；8. 混合抽取方案；9. 知识融合与质量控制；</w:t>
      </w:r>
    </w:p>
    <w:p>
      <w:pPr>
        <w:pStyle w:val="ListNumber"/>
      </w:pPr>
      <w:r>
        <w:rPr>
          <w:rFonts w:ascii="Calibri" w:hAnsi="Calibri" w:eastAsia="Hiragino Sans GB"/>
        </w:rPr>
        <w:t>10. 图数据库与查询；11. 可视化界面；12. 评测结果；13. 现场演示流程；14. 总结与展望。</w:t>
      </w:r>
    </w:p>
    <w:p>
      <w:pPr>
        <w:pStyle w:val="Heading1"/>
      </w:pPr>
      <w:r>
        <w:t>14. 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/>
        </w:trPr>
        <w:tc>
          <w:tcPr>
            <w:tcW w:type="dxa" w:w="20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20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5160"/>
            <w:shd w:fill="2F75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Hiragino Sans GB"/>
                <w:b/>
                <w:color w:val="FFFFFF"/>
                <w:sz w:val="17"/>
              </w:rPr>
              <w:t>应对策略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100 类定义不清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规模被质疑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立项时固定类别表和统计脚本，类别可追溯到文档。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来源不可抓取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文本量不足</w:t>
            </w:r>
          </w:p>
        </w:tc>
        <w:tc>
          <w:tcPr>
            <w:tcW w:type="dxa" w:w="5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准备多来源白名单和开放数据集兜底。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LLM 成本或不可用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抽取中断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批处理、缓存、本地模型与规则降级。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医疗知识幻觉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知识错误</w:t>
            </w:r>
          </w:p>
        </w:tc>
        <w:tc>
          <w:tcPr>
            <w:tcW w:type="dxa" w:w="5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证据强约束、置信度门槛、分层抽检。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实体重复严重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图谱碎片化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别名词典、标准编码、向量召回 + 人工确认。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大图渲染卡顿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演示失败</w:t>
            </w:r>
          </w:p>
        </w:tc>
        <w:tc>
          <w:tcPr>
            <w:tcW w:type="dxa" w:w="5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按需展开、节点上限、服务端聚合。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Hiragino Sans GB"/>
                <w:sz w:val="17"/>
              </w:rPr>
              <w:t>最后才跑全量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临近答辩暴露问题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Hiragino Sans GB"/>
                <w:sz w:val="17"/>
              </w:rPr>
              <w:t>第 2 周开始持续跑数，每周冻结一版数据。</w:t>
            </w:r>
          </w:p>
        </w:tc>
      </w:tr>
    </w:tbl>
    <w:p>
      <w:pPr>
        <w:spacing w:after="20"/>
      </w:pPr>
    </w:p>
    <w:p>
      <w:pPr>
        <w:pStyle w:val="Heading1"/>
      </w:pPr>
      <w:r>
        <w:t>15. 推荐的最小可行版本（MVP）</w:t>
      </w:r>
    </w:p>
    <w:p>
      <w:pPr>
        <w:pStyle w:val="Callout"/>
        <w:shd w:fill="EAF2F8"/>
      </w:pPr>
      <w:r>
        <w:rPr>
          <w:rFonts w:ascii="Calibri" w:hAnsi="Calibri" w:eastAsia="Hiragino Sans GB"/>
          <w:b/>
          <w:color w:val="17365D"/>
        </w:rPr>
        <w:t xml:space="preserve">MVP 边界  </w:t>
      </w:r>
      <w:r>
        <w:rPr>
          <w:rFonts w:ascii="Calibri" w:hAnsi="Calibri" w:eastAsia="Hiragino Sans GB"/>
          <w:color w:val="17365D"/>
        </w:rPr>
        <w:t>先用 10 个类别、300 条文本贯通全链路，再横向扩展到 120 类、3,600 条。MVP 必须包含真实的自动采集/导入、结构化抽取、Neo4j 入库、实体查询和一跳关系展示，不以手工造图代替。</w:t>
      </w:r>
    </w:p>
    <w:p>
      <w:pPr>
        <w:pStyle w:val="ListNumber"/>
      </w:pPr>
      <w:r>
        <w:rPr>
          <w:rFonts w:ascii="Calibri" w:hAnsi="Calibri" w:eastAsia="Hiragino Sans GB"/>
        </w:rPr>
        <w:t>冻结 ontology.yaml、document.schema.json 和 triple.schema.json。</w:t>
      </w:r>
    </w:p>
    <w:p>
      <w:pPr>
        <w:pStyle w:val="ListNumber"/>
      </w:pPr>
      <w:r>
        <w:rPr>
          <w:rFonts w:ascii="Calibri" w:hAnsi="Calibri" w:eastAsia="Hiragino Sans GB"/>
        </w:rPr>
        <w:t>实现 1–2 个稳定数据源与本地文件导入器，完成去重和质量统计。</w:t>
      </w:r>
    </w:p>
    <w:p>
      <w:pPr>
        <w:pStyle w:val="ListNumber"/>
      </w:pPr>
      <w:r>
        <w:rPr>
          <w:rFonts w:ascii="Calibri" w:hAnsi="Calibri" w:eastAsia="Hiragino Sans GB"/>
        </w:rPr>
        <w:t>实现规则 + 一种模型/LLM 的混合抽取，并保存证据与置信度。</w:t>
      </w:r>
    </w:p>
    <w:p>
      <w:pPr>
        <w:pStyle w:val="ListNumber"/>
      </w:pPr>
      <w:r>
        <w:rPr>
          <w:rFonts w:ascii="Calibri" w:hAnsi="Calibri" w:eastAsia="Hiragino Sans GB"/>
        </w:rPr>
        <w:t>实现实体规范化、三元组校验和 Neo4j 幂等写入。</w:t>
      </w:r>
    </w:p>
    <w:p>
      <w:pPr>
        <w:pStyle w:val="ListNumber"/>
      </w:pPr>
      <w:r>
        <w:rPr>
          <w:rFonts w:ascii="Calibri" w:hAnsi="Calibri" w:eastAsia="Hiragino Sans GB"/>
        </w:rPr>
        <w:t>完成查询 API 与图谱页面；最后补任务中心、审核页和规模化运行。</w:t>
      </w:r>
    </w:p>
    <w:p>
      <w:r>
        <w:rPr>
          <w:rFonts w:ascii="Calibri" w:hAnsi="Calibri" w:eastAsia="Hiragino Sans GB"/>
        </w:rPr>
        <w:t>结论：该方案在题目要求之上增加了可追溯、可复核、可增量和可降级能力，既能突出“智能体驱动”的技术特色，也能用明确的数据文件、指标和页面完成客观验收。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Hiragino Sans GB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9E2F3"/>
      </w:pBdr>
    </w:pPr>
    <w:r>
      <w:rPr>
        <w:rFonts w:ascii="Calibri" w:hAnsi="Calibri" w:eastAsia="Hiragino Sans GB"/>
        <w:b/>
        <w:color w:val="5B6573"/>
        <w:sz w:val="17"/>
      </w:rPr>
      <w:t>MEDGRAPH  /  系统设计方案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/>
      <w:ind w:left="259" w:right="173"/>
    </w:pPr>
    <w:rPr>
      <w:rFonts w:ascii="Hiragino Sans GB" w:hAnsi="Hiragino Sans GB" w:eastAsia="Hiragino Sans GB"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智能体驱动的知识图谱自动构建系统设计方案</dc:title>
  <dc:subject>MedGraph 项目总体方案</dc:subject>
  <dc:creator>MedGraph 项目组</dc:creator>
  <cp:keywords>知识图谱, 智能体, 信息抽取, 医疗文本, Neo4j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